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2A9" w:rsidP="005F22A9">
      <w:pPr>
        <w:pStyle w:val="Title"/>
      </w:pPr>
      <w:r>
        <w:fldChar w:fldCharType="begin"/>
      </w:r>
      <w:r>
        <w:instrText xml:space="preserve"> TITLE   \* MERGEFORMAT </w:instrText>
      </w:r>
      <w:r>
        <w:fldChar w:fldCharType="separate"/>
      </w:r>
      <w:r>
        <w:t>PUAEMR037 Manage recovery functions and services</w:t>
      </w:r>
      <w:r>
        <w:fldChar w:fldCharType="end"/>
      </w:r>
    </w:p>
    <w:p w:rsidR="005F22A9" w:rsidP="005F22A9">
      <w:pPr>
        <w:pStyle w:val="Version"/>
        <w:sectPr w:rsidSect="001A7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307" w:rsidP="001A7307">
      <w:pPr>
        <w:pStyle w:val="SuperHeading"/>
      </w:pPr>
      <w:r w:rsidRPr="001A7307">
        <w:t>PUAEMR037 Manage recovery functions and services</w:t>
      </w:r>
    </w:p>
    <w:p w:rsidR="00000000" w:rsidRPr="001A7307" w:rsidP="001A7307">
      <w:pPr>
        <w:pStyle w:val="Heading1"/>
      </w:pPr>
      <w:bookmarkStart w:id="1" w:name="O_1153574"/>
      <w:bookmarkEnd w:id="1"/>
      <w:r w:rsidRPr="001A7307">
        <w:t>Modification History</w:t>
      </w:r>
    </w:p>
    <w:tbl>
      <w:tblPr>
        <w:tblW w:w="9493" w:type="dxa"/>
        <w:tblLayout w:type="fixed"/>
        <w:tblCellMar>
          <w:left w:w="62" w:type="dxa"/>
          <w:right w:w="62" w:type="dxa"/>
        </w:tblCellMar>
        <w:tblLook w:val="0000"/>
      </w:tblPr>
      <w:tblGrid>
        <w:gridCol w:w="9493"/>
      </w:tblGrid>
      <w:tr w:rsidTr="001A7307">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Release 1.0</w:t>
            </w:r>
            <w:r w:rsidRPr="001A7307">
              <w:t xml:space="preserve"> This is the first release of this unit of competency in the PUA Public Safety Training Package.</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2" w:name="O_1153575"/>
      <w:bookmarkEnd w:id="2"/>
      <w:r w:rsidRPr="001A7307">
        <w:t>Application</w:t>
      </w:r>
    </w:p>
    <w:tbl>
      <w:tblPr>
        <w:tblW w:w="9526" w:type="dxa"/>
        <w:tblLayout w:type="fixed"/>
        <w:tblCellMar>
          <w:left w:w="62" w:type="dxa"/>
          <w:right w:w="62" w:type="dxa"/>
        </w:tblCellMar>
        <w:tblLook w:val="0000"/>
      </w:tblPr>
      <w:tblGrid>
        <w:gridCol w:w="9526"/>
      </w:tblGrid>
      <w:tr w:rsidTr="001A7307">
        <w:tblPrEx>
          <w:tblW w:w="9526" w:type="dxa"/>
          <w:tblLayout w:type="fixed"/>
          <w:tblCellMar>
            <w:left w:w="62" w:type="dxa"/>
            <w:right w:w="62" w:type="dxa"/>
          </w:tblCellMar>
          <w:tblLook w:val="0000"/>
        </w:tblPrEx>
        <w:trPr>
          <w:trHeight w:val="3378"/>
        </w:trPr>
        <w:tc>
          <w:tcPr>
            <w:tcW w:w="9526"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 xml:space="preserve">This unit of competency involves the skills and knowledge required to manage a range </w:t>
            </w:r>
            <w:r w:rsidRPr="001A7307">
              <w:t>of recovery functions and services including financial assistance, personal support programs, health services, rebuilding programs and business continuity. It includes obtaining, analysing and sharing information on the impact of the emergency, planning de</w:t>
            </w:r>
            <w:r w:rsidRPr="001A7307">
              <w:t>livery of recovery functions and services, coordinating delivery of recovery functions and services and evaluating the delivery of recovery functions and services.</w:t>
            </w:r>
          </w:p>
          <w:p w:rsidR="00000000" w:rsidRPr="001A7307" w:rsidP="001A7307">
            <w:pPr>
              <w:pStyle w:val="BodyText"/>
            </w:pPr>
            <w:r w:rsidRPr="001A7307">
              <w:t>The unit applies to individuals who are members of a recovery committee or are directly supp</w:t>
            </w:r>
            <w:r w:rsidRPr="001A7307">
              <w:t>orting members. This may include state, territory and municipal recovery coordinators and their deputies, liaison officers and managers, centre and assistance program managers and representatives from government and nongovernment service providers, welfare</w:t>
            </w:r>
            <w:r w:rsidRPr="001A7307">
              <w:t xml:space="preserve"> organisations, allied professionals and community and business leaders.</w:t>
            </w:r>
          </w:p>
          <w:p w:rsidR="00000000" w:rsidRPr="001A7307" w:rsidP="001A7307">
            <w:pPr>
              <w:pStyle w:val="BodyText"/>
            </w:pPr>
            <w:r w:rsidRPr="001A7307">
              <w:t>No licencing, legislative, regulatory or certification requirements apply to this unit at the time of publication.</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3" w:name="O_1153576"/>
      <w:bookmarkEnd w:id="3"/>
      <w:r w:rsidRPr="001A7307">
        <w:t>Pre-requisite Unit</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Not applicable</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4" w:name="O_1153577"/>
      <w:bookmarkEnd w:id="4"/>
      <w:r w:rsidRPr="001A7307">
        <w:t>Competency Field</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Emergency Management</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5" w:name="O_1153578"/>
      <w:bookmarkEnd w:id="5"/>
      <w:r w:rsidRPr="001A7307">
        <w:t>Unit Sector</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Not applicable</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6" w:name="O_1153579"/>
      <w:bookmarkEnd w:id="6"/>
      <w:r w:rsidRPr="001A730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A730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PERFORMANCE CRITERIA</w:t>
            </w:r>
          </w:p>
        </w:tc>
      </w:tr>
      <w:tr w:rsidTr="001A730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Performance criteria describe the performance needed to demonstrate achievement of the element.</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Obtain, analyse and share information on impact of emergency</w:t>
            </w: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Reliable information on extent and impact of the emergency is gathered and analysed to ide</w:t>
            </w:r>
            <w:r w:rsidRPr="001A7307">
              <w:t>ntify patterns and trends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Recovery needs of the affected community, including vulnerable groups, are identified in consultation with entities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Analysis of community needs is regularly reviewed as recovery circumstances change</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Delivery strategies are developed in consultation with entities prior to community endorsement and multi-organisational commitment</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Analysis outcomes and chosen service model are documented and provided to entities and recovery service providers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P</w:t>
            </w:r>
            <w:r w:rsidRPr="001A7307">
              <w:rPr>
                <w:rStyle w:val="SpecialBold"/>
              </w:rPr>
              <w:t>lan 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Organisations, agencies and community representatives are engaged in planning and decision making</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Legislation, regulations and emergency arrangements are identified and applied</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Package of recovery functions and services are identified, developed and adapted to meet community needs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Likely event impacts are modelled to identify how needs and recovery services may change</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Capability and capacity to deliver recovery serv</w:t>
            </w:r>
            <w:r w:rsidRPr="001A7307">
              <w:t>ices is monitored and reviewed</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Recovery priorities are established through consideration of political context, public expectations, required services and available resources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Coordinate</w:t>
            </w:r>
            <w:r w:rsidRPr="001A7307">
              <w:t xml:space="preserve"> </w:t>
            </w:r>
            <w:r w:rsidRPr="001A7307">
              <w:rPr>
                <w:rStyle w:val="SpecialBold"/>
              </w:rPr>
              <w:t>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Incoming information about needs and service delivery is collected, analysed and used to review priorities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7307" w:rsidP="001A7307">
            <w:pPr>
              <w:pStyle w:val="BodyText"/>
            </w:pPr>
          </w:p>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Recovery management organisations and service providers are provided regular up to date information about event, impacts, likely development</w:t>
            </w:r>
            <w:r w:rsidRPr="001A7307">
              <w:t>s and priorities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Resources are managed to ensure recovery functions and services are delivered in accordance with agreed </w:t>
            </w:r>
            <w:r w:rsidRPr="001A7307">
              <w:t>recovery arrangements</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Workloads of personnel are monitored and managed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Delivery of recovery functions and services are adjusted in response to changing circumstances and priorities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Community, political and media expectations and interests are managed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Transition to mainstream services is managed within agreed t</w:t>
            </w:r>
            <w:r w:rsidRPr="001A7307">
              <w:t xml:space="preserve">imelines </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Evaluate 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Lessons management process is applied to recovery activities undertaken and is documented</w:t>
            </w:r>
          </w:p>
        </w:tc>
      </w:tr>
      <w:tr w:rsidTr="001A730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A73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Emergency management plans and arrangements are reviewed and modified in accordance with the evaluation of recovery functions and services</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7" w:name="O_1153580"/>
      <w:bookmarkEnd w:id="7"/>
      <w:r w:rsidRPr="001A7307">
        <w:t>Foundation Skills</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Foundation skills essential to performance are explicit in the performance cri</w:t>
            </w:r>
            <w:r w:rsidRPr="001A7307">
              <w:t>teria of this unit of competency.</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8" w:name="O_1153581"/>
      <w:bookmarkEnd w:id="8"/>
      <w:r w:rsidRPr="001A7307">
        <w:t>Range of Conditions</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Range is restricted to essential operating conditions and any other variables essential to the work environment.</w:t>
            </w:r>
          </w:p>
          <w:p w:rsidR="00000000" w:rsidRPr="001A7307" w:rsidP="001A7307">
            <w:pPr>
              <w:pStyle w:val="BodyText"/>
            </w:pPr>
            <w:r w:rsidRPr="001A7307">
              <w:t>Non-essential conditions may be found in the Companion Volume Implem</w:t>
            </w:r>
            <w:r w:rsidRPr="001A7307">
              <w:t>entation Guide.</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9" w:name="O_1153582"/>
      <w:bookmarkEnd w:id="9"/>
      <w:r w:rsidRPr="001A7307">
        <w:t>Unit Mapping Information</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This unit replaces and is not equivalent to PUAEMR017 Manage recovery functions and services.</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10" w:name="O_1153589"/>
      <w:bookmarkEnd w:id="10"/>
      <w:r w:rsidRPr="001A7307">
        <w:t>Links</w:t>
      </w:r>
    </w:p>
    <w:p w:rsidR="00000000" w:rsidRPr="001A7307" w:rsidP="005F22A9">
      <w:pPr>
        <w:pStyle w:val="BodyText"/>
      </w:pPr>
      <w:r w:rsidRPr="001A730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C222B">
        <w:rPr>
          <w:rStyle w:val="Hyperlink"/>
        </w:rPr>
        <w:t>https://vetnet.gov.au/Pages/TrainingDocs.aspx?q=3eca5672-6d5a-410b-8942-810d0ba05bbf</w:t>
      </w:r>
      <w:r>
        <w:fldChar w:fldCharType="end"/>
      </w:r>
    </w:p>
    <w:p w:rsidR="00000000" w:rsidRPr="001A7307" w:rsidP="005F22A9">
      <w:pPr>
        <w:pStyle w:val="BodyText"/>
        <w:sectPr w:rsidSect="001A7307">
          <w:headerReference w:type="default" r:id="rId10"/>
          <w:footerReference w:type="default" r:id="rId11"/>
          <w:pgSz w:w="11908" w:h="16833"/>
          <w:pgMar w:top="1702" w:right="1418" w:bottom="1702" w:left="1418" w:header="992" w:footer="992" w:gutter="0"/>
          <w:cols w:space="720"/>
          <w:noEndnote/>
          <w:docGrid w:linePitch="299"/>
        </w:sectPr>
      </w:pPr>
    </w:p>
    <w:p w:rsidR="00000000" w:rsidRPr="001A7307" w:rsidP="001A7307">
      <w:pPr>
        <w:pStyle w:val="SuperHeading"/>
      </w:pPr>
      <w:r w:rsidRPr="001A7307">
        <w:t>Assessment Requirements for PUAEMR037 Manage recovery functions and services</w:t>
      </w:r>
    </w:p>
    <w:p w:rsidR="00000000" w:rsidRPr="001A7307" w:rsidP="001A7307">
      <w:pPr>
        <w:pStyle w:val="Heading1"/>
      </w:pPr>
      <w:bookmarkStart w:id="11" w:name="O_1153584"/>
      <w:bookmarkEnd w:id="11"/>
      <w:r w:rsidRPr="001A7307">
        <w:t>Modification History</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rPr>
                <w:rStyle w:val="SpecialBold"/>
              </w:rPr>
              <w:t>Release 1.0</w:t>
            </w:r>
            <w:r w:rsidRPr="001A7307">
              <w:t xml:space="preserve"> Thi</w:t>
            </w:r>
            <w:r w:rsidRPr="001A7307">
              <w:t>s is the first release of this unit of competency in the PUA Public Safety Training Package.</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12" w:name="O_1153585"/>
      <w:bookmarkEnd w:id="12"/>
      <w:r w:rsidRPr="001A7307">
        <w:t>Performance Evidence</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 xml:space="preserve">Evidence required to demonstrate competence in this unit must be relevant to and satisfy all the requirements of the elements and performance criteria on at least one occasion and includes </w:t>
            </w:r>
          </w:p>
        </w:tc>
      </w:tr>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ListBullet"/>
            </w:pPr>
            <w:r w:rsidRPr="001A7307">
              <w:t>analysing information, including historical, about disaster impa</w:t>
            </w:r>
            <w:r w:rsidRPr="001A7307">
              <w:t>cts on individuals and communities and their recovery needs</w:t>
            </w:r>
          </w:p>
          <w:p w:rsidR="00000000" w:rsidRPr="001A7307" w:rsidP="001A7307">
            <w:pPr>
              <w:pStyle w:val="ListBullet"/>
            </w:pPr>
            <w:r w:rsidRPr="001A7307">
              <w:t>analysing recovery needs and identifying required recovery functions and services</w:t>
            </w:r>
          </w:p>
          <w:p w:rsidR="00000000" w:rsidRPr="001A7307" w:rsidP="001A7307">
            <w:pPr>
              <w:pStyle w:val="ListBullet"/>
            </w:pPr>
            <w:r w:rsidRPr="001A7307">
              <w:t>communicating information about recovery functions and services</w:t>
            </w:r>
          </w:p>
          <w:p w:rsidR="00000000" w:rsidRPr="001A7307" w:rsidP="001A7307">
            <w:pPr>
              <w:pStyle w:val="ListBullet"/>
            </w:pPr>
            <w:r w:rsidRPr="001A7307">
              <w:t>completing required documentation</w:t>
            </w:r>
          </w:p>
          <w:p w:rsidR="00000000" w:rsidRPr="001A7307" w:rsidP="001A7307">
            <w:pPr>
              <w:pStyle w:val="ListBullet"/>
            </w:pPr>
            <w:r w:rsidRPr="001A7307">
              <w:t>demonstrating decision making about recovery functions and services</w:t>
            </w:r>
          </w:p>
          <w:p w:rsidR="00000000" w:rsidRPr="001A7307" w:rsidP="001A7307">
            <w:pPr>
              <w:pStyle w:val="ListBullet"/>
            </w:pPr>
            <w:r w:rsidRPr="001A7307">
              <w:t>developing plans and strategies for delivery of recovery functions and services</w:t>
            </w:r>
          </w:p>
          <w:p w:rsidR="00000000" w:rsidRPr="001A7307" w:rsidP="001A7307">
            <w:pPr>
              <w:pStyle w:val="ListBullet"/>
            </w:pPr>
            <w:r w:rsidRPr="001A7307">
              <w:t>evaluating delivery of recovery functions and services</w:t>
            </w:r>
          </w:p>
          <w:p w:rsidR="00000000" w:rsidRPr="001A7307" w:rsidP="001A7307">
            <w:pPr>
              <w:pStyle w:val="ListBullet"/>
            </w:pPr>
            <w:r w:rsidRPr="001A7307">
              <w:t xml:space="preserve">following organisational policies and procedures </w:t>
            </w:r>
          </w:p>
          <w:p w:rsidR="00000000" w:rsidRPr="001A7307" w:rsidP="001A7307">
            <w:pPr>
              <w:pStyle w:val="ListBullet"/>
            </w:pPr>
            <w:r w:rsidRPr="001A7307">
              <w:t>ide</w:t>
            </w:r>
            <w:r w:rsidRPr="001A7307">
              <w:t>ntifying vulnerable groups</w:t>
            </w:r>
          </w:p>
          <w:p w:rsidR="00000000" w:rsidRPr="001A7307" w:rsidP="001A7307">
            <w:pPr>
              <w:pStyle w:val="ListBullet"/>
            </w:pPr>
            <w:r w:rsidRPr="001A7307">
              <w:t xml:space="preserve">managing community, political and media expectations and interest </w:t>
            </w:r>
          </w:p>
          <w:p w:rsidR="00000000" w:rsidRPr="001A7307" w:rsidP="001A7307">
            <w:pPr>
              <w:pStyle w:val="ListBullet"/>
            </w:pPr>
            <w:r w:rsidRPr="001A7307">
              <w:t>monitoring and managing wellbeing of personnel</w:t>
            </w:r>
          </w:p>
          <w:p w:rsidR="00000000" w:rsidRPr="001A7307" w:rsidP="001A7307">
            <w:pPr>
              <w:pStyle w:val="ListBullet"/>
            </w:pPr>
            <w:r w:rsidRPr="001A7307">
              <w:t xml:space="preserve">reviewing and modifying emergency plans and arrangements </w:t>
            </w:r>
          </w:p>
          <w:p w:rsidR="00000000" w:rsidRPr="001A7307" w:rsidP="001A7307">
            <w:pPr>
              <w:pStyle w:val="ListBullet"/>
            </w:pPr>
            <w:r w:rsidRPr="001A7307">
              <w:t xml:space="preserve">transitioning to mainstream services. </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13" w:name="O_1153586"/>
      <w:bookmarkEnd w:id="13"/>
      <w:r w:rsidRPr="001A7307">
        <w:t>Knowledge Evidence</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307">
            <w:pPr>
              <w:pStyle w:val="BodyText"/>
              <w:rPr>
                <w:lang w:val="en-NZ"/>
              </w:rPr>
            </w:pPr>
            <w:r w:rsidRPr="001A7307">
              <w:t>Evidence required to demonstrate competence in this unit must be relevant to and satisfy all the requirements of the elements and performance criteria and includes knowledge of</w:t>
            </w:r>
          </w:p>
        </w:tc>
      </w:tr>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ListBullet"/>
            </w:pPr>
            <w:r w:rsidRPr="001A7307">
              <w:t>communication methods for managing recovery funct</w:t>
            </w:r>
            <w:r w:rsidRPr="001A7307">
              <w:t>ions and services</w:t>
            </w:r>
          </w:p>
          <w:p w:rsidR="00000000" w:rsidRPr="001A7307" w:rsidP="001A7307">
            <w:pPr>
              <w:pStyle w:val="ListBullet"/>
            </w:pPr>
            <w:r w:rsidRPr="001A7307">
              <w:t>community development principles and processes including needs and recovery service delivery research methodology</w:t>
            </w:r>
          </w:p>
          <w:p w:rsidR="00000000" w:rsidRPr="001A7307" w:rsidP="001A7307">
            <w:pPr>
              <w:pStyle w:val="ListBullet"/>
            </w:pPr>
            <w:r w:rsidRPr="001A7307">
              <w:t xml:space="preserve">data and information collection techniques </w:t>
            </w:r>
          </w:p>
          <w:p w:rsidR="00000000" w:rsidRPr="001A7307" w:rsidP="001A7307">
            <w:pPr>
              <w:pStyle w:val="ListBullet"/>
            </w:pPr>
            <w:r w:rsidRPr="001A7307">
              <w:t>disaster recovery funding arrangements</w:t>
            </w:r>
          </w:p>
          <w:p w:rsidR="00000000" w:rsidRPr="001A7307" w:rsidP="001A7307">
            <w:pPr>
              <w:pStyle w:val="ListBullet"/>
            </w:pPr>
            <w:r w:rsidRPr="001A7307">
              <w:t xml:space="preserve">diversity of community </w:t>
            </w:r>
          </w:p>
          <w:p w:rsidR="00000000" w:rsidRPr="001A7307" w:rsidP="001A7307">
            <w:pPr>
              <w:pStyle w:val="ListBullet"/>
            </w:pPr>
            <w:r w:rsidRPr="001A7307">
              <w:t>entities and netw</w:t>
            </w:r>
            <w:r w:rsidRPr="001A7307">
              <w:t>orks including community leaders and members, business owners and/or operators, government and utility organisations</w:t>
            </w:r>
          </w:p>
          <w:p w:rsidR="00000000" w:rsidRPr="001A7307" w:rsidP="001A7307">
            <w:pPr>
              <w:pStyle w:val="ListBullet"/>
            </w:pPr>
            <w:r w:rsidRPr="001A7307">
              <w:t xml:space="preserve">legislative and regulatory frameworks including local, state and territory statutory and emergency management arrangements </w:t>
            </w:r>
          </w:p>
          <w:p w:rsidR="00000000" w:rsidRPr="001A7307" w:rsidP="001A7307">
            <w:pPr>
              <w:pStyle w:val="ListBullet"/>
            </w:pPr>
            <w:r w:rsidRPr="001A7307">
              <w:t>lessons managem</w:t>
            </w:r>
            <w:r w:rsidRPr="001A7307">
              <w:t>ent</w:t>
            </w:r>
          </w:p>
          <w:p w:rsidR="00000000" w:rsidRPr="001A7307" w:rsidP="001A7307">
            <w:pPr>
              <w:pStyle w:val="ListBullet"/>
            </w:pPr>
            <w:r w:rsidRPr="001A7307">
              <w:t>likely impacts on communities and individuals of emergencies and their recovery needs</w:t>
            </w:r>
          </w:p>
          <w:p w:rsidR="00000000" w:rsidRPr="001A7307" w:rsidP="001A7307">
            <w:pPr>
              <w:pStyle w:val="ListBullet"/>
            </w:pPr>
            <w:r w:rsidRPr="001A7307">
              <w:t>models of recovery operations and approaches to service delivery</w:t>
            </w:r>
          </w:p>
          <w:p w:rsidR="00000000" w:rsidRPr="001A7307" w:rsidP="001A7307">
            <w:pPr>
              <w:pStyle w:val="ListBullet"/>
            </w:pPr>
            <w:r w:rsidRPr="001A7307">
              <w:t xml:space="preserve">organisational documentation, policies and procedures </w:t>
            </w:r>
          </w:p>
          <w:p w:rsidR="00000000" w:rsidRPr="001A7307" w:rsidP="001A7307">
            <w:pPr>
              <w:pStyle w:val="ListBullet"/>
            </w:pPr>
            <w:r w:rsidRPr="001A7307">
              <w:t>protocols and procedures for the release of information</w:t>
            </w:r>
          </w:p>
          <w:p w:rsidR="00000000" w:rsidRPr="001A7307" w:rsidP="001A7307">
            <w:pPr>
              <w:pStyle w:val="ListBullet"/>
            </w:pPr>
            <w:r w:rsidRPr="001A7307">
              <w:t>recovery service budgeting, administrative processes and delegations</w:t>
            </w:r>
          </w:p>
          <w:p w:rsidR="00000000" w:rsidRPr="001A7307" w:rsidP="001A7307">
            <w:pPr>
              <w:pStyle w:val="ListBullet"/>
            </w:pPr>
            <w:r w:rsidRPr="001A7307">
              <w:t>risk mitigation.</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14" w:name="O_1153587"/>
      <w:bookmarkEnd w:id="14"/>
      <w:r w:rsidRPr="001A7307">
        <w:t>Assessment Conditions</w:t>
      </w:r>
    </w:p>
    <w:tbl>
      <w:tblPr>
        <w:tblW w:w="9497" w:type="dxa"/>
        <w:tblLayout w:type="fixed"/>
        <w:tblCellMar>
          <w:left w:w="62" w:type="dxa"/>
          <w:right w:w="62" w:type="dxa"/>
        </w:tblCellMar>
        <w:tblLook w:val="0000"/>
      </w:tblPr>
      <w:tblGrid>
        <w:gridCol w:w="9497"/>
      </w:tblGrid>
      <w:tr w:rsidTr="001A73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307" w:rsidP="001A7307">
            <w:pPr>
              <w:pStyle w:val="BodyText"/>
            </w:pPr>
            <w:r w:rsidRPr="001A7307">
              <w:t>Assessors must hold credentials specified within the Standards for Regi</w:t>
            </w:r>
            <w:r w:rsidRPr="001A7307">
              <w:t xml:space="preserve">stered Training Organisations current at the time of assessment. </w:t>
            </w:r>
          </w:p>
          <w:p w:rsidR="00000000" w:rsidRPr="001A7307" w:rsidP="001A7307">
            <w:pPr>
              <w:pStyle w:val="BodyText"/>
            </w:pPr>
            <w:r w:rsidRPr="001A7307">
              <w:t xml:space="preserve">Assessment must satisfy the Principles of Assessment and Rules of Evidence and all regulatory requirements included within the Standards for Registered Training Organisations current at the </w:t>
            </w:r>
            <w:r w:rsidRPr="001A7307">
              <w:t xml:space="preserve">time of assessment. </w:t>
            </w:r>
          </w:p>
          <w:p w:rsidR="00000000" w:rsidRPr="001A7307" w:rsidP="001A7307">
            <w:pPr>
              <w:pStyle w:val="BodyText"/>
            </w:pPr>
            <w:r w:rsidRPr="001A7307">
              <w:t>Assessment must occur in operational situations or in simulated operational training situations that reflect workplace conditions.</w:t>
            </w:r>
          </w:p>
          <w:p w:rsidR="00000000" w:rsidRPr="001A7307" w:rsidP="001A7307">
            <w:pPr>
              <w:pStyle w:val="BodyText"/>
            </w:pPr>
            <w:r w:rsidRPr="001A7307">
              <w:t>Assessment processes and techniques must be appropriate to the language, literacy and numeracy requireme</w:t>
            </w:r>
            <w:r w:rsidRPr="001A7307">
              <w:t>nts of the work being performed and the needs of the candidate.</w:t>
            </w:r>
          </w:p>
          <w:p w:rsidR="00000000" w:rsidRPr="001A7307" w:rsidP="001A7307">
            <w:pPr>
              <w:pStyle w:val="BodyText"/>
            </w:pPr>
            <w:r w:rsidRPr="001A7307">
              <w:t>Resources for assessment must include access to</w:t>
            </w:r>
          </w:p>
          <w:p w:rsidR="00000000" w:rsidRPr="001A7307" w:rsidP="001A7307">
            <w:pPr>
              <w:pStyle w:val="ListBullet"/>
            </w:pPr>
            <w:r w:rsidRPr="001A7307">
              <w:t xml:space="preserve">a range of exercises and/or case studies </w:t>
            </w:r>
          </w:p>
          <w:p w:rsidR="00000000" w:rsidRPr="001A7307" w:rsidP="001A7307">
            <w:pPr>
              <w:pStyle w:val="ListBullet"/>
            </w:pPr>
            <w:r w:rsidRPr="001A7307">
              <w:t>appropriate materials and equipment currently used in industry</w:t>
            </w:r>
          </w:p>
          <w:p w:rsidR="00000000" w:rsidRPr="001A7307" w:rsidP="001A7307">
            <w:pPr>
              <w:pStyle w:val="ListBullet"/>
            </w:pPr>
            <w:r w:rsidRPr="001A7307">
              <w:t xml:space="preserve">applicable documentation including organisational procedures, standards, equipment specifications, regulations, codes of practice, operational manuals and records. </w:t>
            </w:r>
          </w:p>
        </w:tc>
      </w:tr>
    </w:tbl>
    <w:p w:rsidR="00000000" w:rsidRPr="001A7307" w:rsidP="001A7307">
      <w:pPr>
        <w:pStyle w:val="NoPaddingFontSize1"/>
      </w:pPr>
    </w:p>
    <w:p w:rsidR="00000000" w:rsidRPr="001A7307" w:rsidP="001A7307">
      <w:pPr>
        <w:pStyle w:val="AllowPageBreak"/>
      </w:pPr>
    </w:p>
    <w:p w:rsidR="00000000" w:rsidRPr="001A7307" w:rsidP="001A7307">
      <w:pPr>
        <w:pStyle w:val="Heading1"/>
      </w:pPr>
      <w:bookmarkStart w:id="15" w:name="O_1153590"/>
      <w:bookmarkEnd w:id="15"/>
      <w:r w:rsidRPr="001A7307">
        <w:t>Links</w:t>
      </w:r>
    </w:p>
    <w:p w:rsidR="00000000" w:rsidRPr="001A7307" w:rsidP="005F22A9">
      <w:pPr>
        <w:pStyle w:val="BodyText"/>
      </w:pPr>
      <w:r w:rsidRPr="001A730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C222B">
        <w:rPr>
          <w:rStyle w:val="Hyperlink"/>
        </w:rPr>
        <w:t>https://vetnet.gov.au/Pages/TrainingDocs.aspx?q=3eca5672-6d5a-410b-8942-810d0ba05bbf</w:t>
      </w:r>
      <w:r>
        <w:fldChar w:fldCharType="end"/>
      </w:r>
    </w:p>
    <w:p w:rsidR="00000000" w:rsidRPr="001A7307" w:rsidP="001A7307"/>
    <w:sectPr w:rsidSect="001A73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rsidRPr="005F22A9" w:rsidP="005F2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A9" w:rsidP="001A7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2A9" w:rsidP="001A73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22A9" w:rsidP="001A73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rsidP="001A7307">
    <w:pPr>
      <w:pStyle w:val="Footer"/>
      <w:framePr w:wrap="around"/>
    </w:pPr>
    <w:r>
      <w:fldChar w:fldCharType="begin"/>
    </w:r>
    <w:r>
      <w:instrText xml:space="preserve"> DOCPROPERTY  Subject  \* MERGEFORMAT </w:instrText>
    </w:r>
    <w:r>
      <w:fldChar w:fldCharType="separate"/>
    </w:r>
    <w:r w:rsidR="005F22A9">
      <w:t>Approved</w:t>
    </w:r>
    <w:r w:rsidR="005F22A9">
      <w:fldChar w:fldCharType="end"/>
    </w:r>
    <w:r>
      <w:tab/>
      <w:t xml:space="preserve">Page </w:t>
    </w:r>
    <w:r>
      <w:fldChar w:fldCharType="begin"/>
    </w:r>
    <w:r>
      <w:instrText xml:space="preserve"> PAGE  \* Arabic  \* MERGEFORMAT </w:instrText>
    </w:r>
    <w:r>
      <w:fldChar w:fldCharType="separate"/>
    </w:r>
    <w:r w:rsidR="005F22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2A9">
      <w:rPr>
        <w:noProof/>
      </w:rPr>
      <w:t>4</w:t>
    </w:r>
    <w:r>
      <w:rPr>
        <w:noProof/>
      </w:rPr>
      <w:fldChar w:fldCharType="end"/>
    </w:r>
  </w:p>
  <w:p w:rsidR="001A7307" w:rsidP="001A7307">
    <w:pPr>
      <w:pStyle w:val="Footer"/>
      <w:framePr w:wrap="around"/>
    </w:pPr>
    <w:r>
      <w:t xml:space="preserve">© Commonwealth of Australia, </w:t>
    </w:r>
    <w:r>
      <w:fldChar w:fldCharType="begin"/>
    </w:r>
    <w:r>
      <w:instrText xml:space="preserve"> DATE  \@ "yyyy"  \* MERGEFORMAT </w:instrText>
    </w:r>
    <w:r>
      <w:fldChar w:fldCharType="separate"/>
    </w:r>
    <w:r w:rsidR="005F22A9">
      <w:rPr>
        <w:noProof/>
      </w:rPr>
      <w:t>2025</w:t>
    </w:r>
    <w:r>
      <w:fldChar w:fldCharType="end"/>
    </w:r>
    <w:r>
      <w:tab/>
    </w:r>
    <w:r>
      <w:fldChar w:fldCharType="begin"/>
    </w:r>
    <w:r>
      <w:instrText xml:space="preserve"> DOCPROPERTY  Author  \* MERGEFORMAT </w:instrText>
    </w:r>
    <w:r>
      <w:fldChar w:fldCharType="separate"/>
    </w:r>
    <w:r w:rsidR="005F22A9">
      <w:t>Public Skills Australia</w:t>
    </w:r>
    <w:r w:rsidR="005F22A9">
      <w:fldChar w:fldCharType="end"/>
    </w:r>
  </w:p>
  <w:p w:rsidR="001A7307" w:rsidP="001A7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307" w:rsidRPr="005F22A9" w:rsidP="005F2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A9" w:rsidRPr="002D2AF8" w:rsidP="001A7307">
    <w:pPr>
      <w:pStyle w:val="Header"/>
      <w:framePr w:wrap="around"/>
    </w:pPr>
    <w:r>
      <w:fldChar w:fldCharType="begin"/>
    </w:r>
    <w:r>
      <w:instrText xml:space="preserve"> TITLE   \* MERGEFORMAT </w:instrText>
    </w:r>
    <w:r>
      <w:fldChar w:fldCharType="separate"/>
    </w:r>
    <w:r>
      <w:t>PUAEMR037 Manage recovery functions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2A9" w:rsidP="001A73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07" w:rsidRPr="002D2AF8" w:rsidP="001A7307">
    <w:pPr>
      <w:pStyle w:val="Header"/>
      <w:framePr w:wrap="around"/>
    </w:pPr>
    <w:r>
      <w:fldChar w:fldCharType="begin"/>
    </w:r>
    <w:r>
      <w:instrText xml:space="preserve"> TITLE   \* MERGEFORMAT </w:instrText>
    </w:r>
    <w:r>
      <w:fldChar w:fldCharType="separate"/>
    </w:r>
    <w:r w:rsidR="005F22A9">
      <w:t>PUAEMR037 Manage recovery functions and services</w:t>
    </w:r>
    <w:r w:rsidR="005F22A9">
      <w:fldChar w:fldCharType="end"/>
    </w:r>
    <w:r>
      <w:tab/>
      <w:t xml:space="preserve">Date this document was generated: </w:t>
    </w:r>
    <w:r>
      <w:fldChar w:fldCharType="begin"/>
    </w:r>
    <w:r>
      <w:instrText xml:space="preserve"> CREATEDATE  \@ "d MMMM yyyy"  \* MERGEFORMAT </w:instrText>
    </w:r>
    <w:r>
      <w:fldChar w:fldCharType="separate"/>
    </w:r>
    <w:r w:rsidR="005F22A9">
      <w:rPr>
        <w:noProof/>
      </w:rPr>
      <w:t>2 March 2025</w:t>
    </w:r>
    <w:r>
      <w:fldChar w:fldCharType="end"/>
    </w:r>
  </w:p>
  <w:p w:rsidR="001A7307" w:rsidP="001A7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1E7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6C8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307"/>
    <w:pPr>
      <w:spacing w:before="360" w:after="60"/>
      <w:outlineLvl w:val="0"/>
    </w:pPr>
    <w:rPr>
      <w:sz w:val="32"/>
    </w:rPr>
  </w:style>
  <w:style w:type="paragraph" w:styleId="Heading2">
    <w:name w:val="heading 2"/>
    <w:basedOn w:val="HeadingBase"/>
    <w:next w:val="BodyText"/>
    <w:link w:val="Heading2Char"/>
    <w:qFormat/>
    <w:rsid w:val="001A7307"/>
    <w:pPr>
      <w:keepLines/>
      <w:spacing w:before="240" w:after="120"/>
      <w:outlineLvl w:val="1"/>
    </w:pPr>
    <w:rPr>
      <w:sz w:val="28"/>
      <w:szCs w:val="40"/>
    </w:rPr>
  </w:style>
  <w:style w:type="paragraph" w:styleId="Heading3">
    <w:name w:val="heading 3"/>
    <w:basedOn w:val="HeadingBase"/>
    <w:next w:val="BodyText"/>
    <w:link w:val="Heading3Char"/>
    <w:qFormat/>
    <w:rsid w:val="001A7307"/>
    <w:pPr>
      <w:spacing w:before="180" w:after="120"/>
      <w:outlineLvl w:val="2"/>
    </w:pPr>
    <w:rPr>
      <w:spacing w:val="-10"/>
      <w:kern w:val="32"/>
    </w:rPr>
  </w:style>
  <w:style w:type="paragraph" w:styleId="Heading4">
    <w:name w:val="heading 4"/>
    <w:basedOn w:val="HeadingBase"/>
    <w:next w:val="BodyText"/>
    <w:link w:val="Heading4Char"/>
    <w:qFormat/>
    <w:rsid w:val="001A7307"/>
    <w:pPr>
      <w:spacing w:before="160" w:after="120"/>
      <w:outlineLvl w:val="3"/>
    </w:pPr>
    <w:rPr>
      <w:sz w:val="22"/>
    </w:rPr>
  </w:style>
  <w:style w:type="paragraph" w:styleId="Heading5">
    <w:name w:val="heading 5"/>
    <w:basedOn w:val="HeadingBase"/>
    <w:next w:val="Normal"/>
    <w:link w:val="Heading5Char"/>
    <w:qFormat/>
    <w:rsid w:val="001A7307"/>
    <w:pPr>
      <w:spacing w:before="80"/>
      <w:outlineLvl w:val="4"/>
    </w:pPr>
    <w:rPr>
      <w:color w:val="918585"/>
      <w:sz w:val="20"/>
    </w:rPr>
  </w:style>
  <w:style w:type="paragraph" w:styleId="Heading6">
    <w:name w:val="heading 6"/>
    <w:basedOn w:val="HeadingBase"/>
    <w:next w:val="Normal"/>
    <w:link w:val="Heading6Char"/>
    <w:qFormat/>
    <w:rsid w:val="001A7307"/>
    <w:pPr>
      <w:spacing w:before="60"/>
      <w:outlineLvl w:val="5"/>
    </w:pPr>
    <w:rPr>
      <w:color w:val="918585"/>
      <w:sz w:val="20"/>
    </w:rPr>
  </w:style>
  <w:style w:type="paragraph" w:styleId="Heading7">
    <w:name w:val="heading 7"/>
    <w:basedOn w:val="Normal"/>
    <w:next w:val="Normal"/>
    <w:link w:val="Heading7Char"/>
    <w:qFormat/>
    <w:rsid w:val="001A7307"/>
    <w:pPr>
      <w:ind w:left="720"/>
      <w:outlineLvl w:val="6"/>
    </w:pPr>
    <w:rPr>
      <w:i/>
    </w:rPr>
  </w:style>
  <w:style w:type="paragraph" w:styleId="Heading8">
    <w:name w:val="heading 8"/>
    <w:basedOn w:val="Normal"/>
    <w:next w:val="Normal"/>
    <w:link w:val="Heading8Char"/>
    <w:qFormat/>
    <w:rsid w:val="001A7307"/>
    <w:pPr>
      <w:ind w:left="720"/>
      <w:outlineLvl w:val="7"/>
    </w:pPr>
    <w:rPr>
      <w:i/>
    </w:rPr>
  </w:style>
  <w:style w:type="paragraph" w:styleId="Heading9">
    <w:name w:val="heading 9"/>
    <w:basedOn w:val="Normal"/>
    <w:next w:val="Normal"/>
    <w:link w:val="Heading9Char"/>
    <w:qFormat/>
    <w:rsid w:val="001A7307"/>
    <w:pPr>
      <w:ind w:left="720"/>
      <w:outlineLvl w:val="8"/>
    </w:pPr>
    <w:rPr>
      <w:i/>
    </w:rPr>
  </w:style>
  <w:style w:type="character" w:default="1" w:styleId="DefaultParagraphFont">
    <w:name w:val="Default Paragraph Font"/>
    <w:uiPriority w:val="1"/>
    <w:unhideWhenUsed/>
    <w:rsid w:val="001A7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307"/>
  </w:style>
  <w:style w:type="character" w:customStyle="1" w:styleId="Heading1Char">
    <w:name w:val="Heading 1 Char"/>
    <w:basedOn w:val="DefaultParagraphFont"/>
    <w:link w:val="Heading1"/>
    <w:rsid w:val="001A7307"/>
    <w:rPr>
      <w:rFonts w:ascii="Times New Roman" w:eastAsia="Times New Roman" w:hAnsi="Times New Roman" w:cs="Times New Roman"/>
      <w:b/>
      <w:sz w:val="32"/>
      <w:szCs w:val="20"/>
      <w:lang w:eastAsia="en-US"/>
    </w:rPr>
  </w:style>
  <w:style w:type="paragraph" w:styleId="BodyText">
    <w:name w:val="Body Text"/>
    <w:basedOn w:val="Normal"/>
    <w:link w:val="BodyTextChar"/>
    <w:rsid w:val="001A7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307"/>
    <w:rPr>
      <w:rFonts w:ascii="Times New Roman" w:eastAsia="Times New Roman" w:hAnsi="Times New Roman" w:cs="Times New Roman"/>
      <w:sz w:val="24"/>
      <w:lang w:eastAsia="en-US"/>
    </w:rPr>
  </w:style>
  <w:style w:type="paragraph" w:styleId="ListBullet">
    <w:name w:val="List Bullet"/>
    <w:basedOn w:val="List"/>
    <w:rsid w:val="001A7307"/>
    <w:pPr>
      <w:numPr>
        <w:numId w:val="11"/>
      </w:numPr>
      <w:tabs>
        <w:tab w:val="clear" w:pos="340"/>
      </w:tabs>
      <w:spacing w:before="40" w:after="40"/>
    </w:pPr>
  </w:style>
  <w:style w:type="character" w:customStyle="1" w:styleId="SpecialBold">
    <w:name w:val="Special Bold"/>
    <w:basedOn w:val="DefaultParagraphFont"/>
    <w:rsid w:val="001A7307"/>
    <w:rPr>
      <w:b/>
      <w:spacing w:val="0"/>
    </w:rPr>
  </w:style>
  <w:style w:type="paragraph" w:customStyle="1" w:styleId="SuperHeading">
    <w:name w:val="SuperHeading"/>
    <w:basedOn w:val="Normal"/>
    <w:rsid w:val="001A7307"/>
    <w:pPr>
      <w:spacing w:before="240" w:after="120"/>
      <w:outlineLvl w:val="0"/>
    </w:pPr>
    <w:rPr>
      <w:rFonts w:ascii="Times New Roman" w:hAnsi="Times New Roman"/>
      <w:b/>
      <w:sz w:val="32"/>
    </w:rPr>
  </w:style>
  <w:style w:type="paragraph" w:customStyle="1" w:styleId="AllowPageBreak">
    <w:name w:val="AllowPageBreak"/>
    <w:rsid w:val="001A73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307"/>
    <w:rPr>
      <w:rFonts w:ascii="Courier New" w:eastAsia="Times New Roman" w:hAnsi="Courier New" w:cs="Times New Roman"/>
      <w:i/>
      <w:szCs w:val="20"/>
      <w:lang w:eastAsia="en-US"/>
    </w:rPr>
  </w:style>
  <w:style w:type="paragraph" w:customStyle="1" w:styleId="HeadingBase">
    <w:name w:val="Heading Base"/>
    <w:rsid w:val="001A7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307"/>
    <w:pPr>
      <w:tabs>
        <w:tab w:val="right" w:leader="dot" w:pos="9072"/>
      </w:tabs>
      <w:ind w:left="567"/>
    </w:pPr>
    <w:rPr>
      <w:szCs w:val="22"/>
    </w:rPr>
  </w:style>
  <w:style w:type="paragraph" w:customStyle="1" w:styleId="TOCBase">
    <w:name w:val="TOC Base"/>
    <w:rsid w:val="001A7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307"/>
    <w:pPr>
      <w:tabs>
        <w:tab w:val="right" w:leader="dot" w:pos="9072"/>
      </w:tabs>
      <w:spacing w:before="40" w:after="40"/>
      <w:ind w:left="284"/>
    </w:pPr>
    <w:rPr>
      <w:rFonts w:ascii="Times New Roman" w:hAnsi="Times New Roman"/>
    </w:rPr>
  </w:style>
  <w:style w:type="paragraph" w:styleId="TOC1">
    <w:name w:val="toc 1"/>
    <w:basedOn w:val="TOCBase"/>
    <w:next w:val="Normal"/>
    <w:rsid w:val="001A7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307"/>
    <w:rPr>
      <w:rFonts w:ascii="Times New Roman" w:eastAsia="Times New Roman" w:hAnsi="Times New Roman" w:cs="Times New Roman"/>
      <w:sz w:val="16"/>
      <w:lang w:eastAsia="en-US"/>
    </w:rPr>
  </w:style>
  <w:style w:type="paragraph" w:styleId="Title">
    <w:name w:val="Title"/>
    <w:basedOn w:val="HeadingBase"/>
    <w:link w:val="TitleChar"/>
    <w:qFormat/>
    <w:rsid w:val="001A7307"/>
    <w:pPr>
      <w:spacing w:before="5040"/>
      <w:jc w:val="center"/>
    </w:pPr>
    <w:rPr>
      <w:sz w:val="48"/>
      <w:szCs w:val="72"/>
      <w:lang w:val="en-US"/>
    </w:rPr>
  </w:style>
  <w:style w:type="character" w:customStyle="1" w:styleId="TitleChar">
    <w:name w:val="Title Char"/>
    <w:basedOn w:val="DefaultParagraphFont"/>
    <w:link w:val="Title"/>
    <w:rsid w:val="001A7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307"/>
    <w:pPr>
      <w:tabs>
        <w:tab w:val="left" w:pos="3600"/>
        <w:tab w:val="left" w:pos="3958"/>
      </w:tabs>
    </w:pPr>
  </w:style>
  <w:style w:type="paragraph" w:styleId="List">
    <w:name w:val="List"/>
    <w:basedOn w:val="BodyText"/>
    <w:next w:val="BodyText"/>
    <w:rsid w:val="001A7307"/>
    <w:pPr>
      <w:tabs>
        <w:tab w:val="left" w:pos="340"/>
      </w:tabs>
      <w:spacing w:before="60" w:after="60"/>
      <w:ind w:left="340" w:hanging="340"/>
    </w:pPr>
  </w:style>
  <w:style w:type="paragraph" w:customStyle="1" w:styleId="Note">
    <w:name w:val="Note"/>
    <w:basedOn w:val="BodyText"/>
    <w:rsid w:val="001A7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307"/>
    <w:pPr>
      <w:framePr w:wrap="auto" w:hAnchor="text" w:y="6049"/>
    </w:pPr>
    <w:rPr>
      <w:color w:val="000000"/>
      <w:sz w:val="40"/>
    </w:rPr>
  </w:style>
  <w:style w:type="paragraph" w:customStyle="1" w:styleId="TOCTitle">
    <w:name w:val="TOCTitle"/>
    <w:basedOn w:val="Heading1"/>
    <w:rsid w:val="001A7307"/>
    <w:pPr>
      <w:spacing w:after="240"/>
      <w:jc w:val="center"/>
      <w:outlineLvl w:val="9"/>
    </w:pPr>
    <w:rPr>
      <w:caps/>
    </w:rPr>
  </w:style>
  <w:style w:type="paragraph" w:customStyle="1" w:styleId="Version">
    <w:name w:val="Version"/>
    <w:rsid w:val="001A7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307"/>
    <w:pPr>
      <w:numPr>
        <w:numId w:val="12"/>
      </w:numPr>
      <w:tabs>
        <w:tab w:val="clear" w:pos="680"/>
      </w:tabs>
    </w:pPr>
  </w:style>
  <w:style w:type="paragraph" w:styleId="Index1">
    <w:name w:val="index 1"/>
    <w:basedOn w:val="Normal"/>
    <w:next w:val="Normal"/>
    <w:semiHidden/>
    <w:rsid w:val="001A7307"/>
    <w:pPr>
      <w:keepNext w:val="0"/>
      <w:tabs>
        <w:tab w:val="right" w:pos="4176"/>
      </w:tabs>
      <w:ind w:left="198" w:hanging="198"/>
    </w:pPr>
    <w:rPr>
      <w:rFonts w:ascii="Garamond" w:hAnsi="Garamond"/>
    </w:rPr>
  </w:style>
  <w:style w:type="paragraph" w:styleId="IndexHeading">
    <w:name w:val="index heading"/>
    <w:basedOn w:val="Normal"/>
    <w:next w:val="Index1"/>
    <w:semiHidden/>
    <w:rsid w:val="001A7307"/>
    <w:pPr>
      <w:spacing w:before="120" w:after="120"/>
    </w:pPr>
    <w:rPr>
      <w:rFonts w:ascii="Arial" w:hAnsi="Arial"/>
      <w:b/>
      <w:color w:val="918585"/>
      <w:sz w:val="24"/>
    </w:rPr>
  </w:style>
  <w:style w:type="paragraph" w:styleId="Header">
    <w:name w:val="header"/>
    <w:basedOn w:val="Normal"/>
    <w:link w:val="HeaderChar"/>
    <w:rsid w:val="001A7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307"/>
    <w:rPr>
      <w:rFonts w:ascii="Times New Roman" w:eastAsia="Times New Roman" w:hAnsi="Times New Roman" w:cs="Times New Roman"/>
      <w:sz w:val="16"/>
      <w:szCs w:val="20"/>
      <w:lang w:val="en-GB" w:eastAsia="en-US"/>
    </w:rPr>
  </w:style>
  <w:style w:type="paragraph" w:customStyle="1" w:styleId="Chapter">
    <w:name w:val="Chapter"/>
    <w:basedOn w:val="Normal"/>
    <w:rsid w:val="001A7307"/>
    <w:pPr>
      <w:spacing w:before="240"/>
    </w:pPr>
    <w:rPr>
      <w:rFonts w:ascii="Times New Roman" w:hAnsi="Times New Roman"/>
      <w:smallCaps/>
      <w:spacing w:val="80"/>
      <w:sz w:val="28"/>
    </w:rPr>
  </w:style>
  <w:style w:type="paragraph" w:customStyle="1" w:styleId="InChapter">
    <w:name w:val="InChapter"/>
    <w:basedOn w:val="Heading3"/>
    <w:rsid w:val="001A7307"/>
    <w:pPr>
      <w:spacing w:after="240"/>
      <w:outlineLvl w:val="9"/>
    </w:pPr>
    <w:rPr>
      <w:noProof/>
    </w:rPr>
  </w:style>
  <w:style w:type="paragraph" w:styleId="Index2">
    <w:name w:val="index 2"/>
    <w:basedOn w:val="Normal"/>
    <w:next w:val="Normal"/>
    <w:semiHidden/>
    <w:rsid w:val="001A7307"/>
    <w:pPr>
      <w:tabs>
        <w:tab w:val="right" w:pos="4176"/>
      </w:tabs>
      <w:ind w:left="568" w:hanging="284"/>
    </w:pPr>
    <w:rPr>
      <w:rFonts w:ascii="Garamond" w:hAnsi="Garamond"/>
    </w:rPr>
  </w:style>
  <w:style w:type="paragraph" w:customStyle="1" w:styleId="Byline">
    <w:name w:val="Byline"/>
    <w:rsid w:val="001A7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307"/>
    <w:pPr>
      <w:tabs>
        <w:tab w:val="clear" w:pos="3600"/>
        <w:tab w:val="clear" w:pos="3958"/>
      </w:tabs>
      <w:jc w:val="right"/>
    </w:pPr>
  </w:style>
  <w:style w:type="character" w:styleId="Emphasis">
    <w:name w:val="Emphasis"/>
    <w:basedOn w:val="DefaultParagraphFont"/>
    <w:qFormat/>
    <w:rsid w:val="001A7307"/>
    <w:rPr>
      <w:i/>
    </w:rPr>
  </w:style>
  <w:style w:type="paragraph" w:styleId="Caption">
    <w:name w:val="caption"/>
    <w:basedOn w:val="BodyText"/>
    <w:next w:val="Normal"/>
    <w:qFormat/>
    <w:rsid w:val="001A7307"/>
    <w:pPr>
      <w:framePr w:w="2268" w:hSpace="181" w:vSpace="181" w:wrap="around" w:vAnchor="text" w:hAnchor="page" w:x="1135" w:y="285" w:anchorLock="1"/>
    </w:pPr>
    <w:rPr>
      <w:i/>
    </w:rPr>
  </w:style>
  <w:style w:type="paragraph" w:customStyle="1" w:styleId="MiniTOCTitle">
    <w:name w:val="MiniTOCTitle"/>
    <w:basedOn w:val="Heading4"/>
    <w:rsid w:val="001A7307"/>
    <w:pPr>
      <w:spacing w:before="240"/>
      <w:outlineLvl w:val="9"/>
    </w:pPr>
    <w:rPr>
      <w:noProof/>
      <w:sz w:val="24"/>
    </w:rPr>
  </w:style>
  <w:style w:type="paragraph" w:customStyle="1" w:styleId="MiniTOCItem">
    <w:name w:val="MiniTOCItem"/>
    <w:basedOn w:val="ListBullet"/>
    <w:rsid w:val="001A7307"/>
    <w:pPr>
      <w:numPr>
        <w:numId w:val="0"/>
      </w:numPr>
      <w:tabs>
        <w:tab w:val="right" w:leader="dot" w:pos="6521"/>
      </w:tabs>
      <w:spacing w:before="0" w:after="0"/>
    </w:pPr>
  </w:style>
  <w:style w:type="paragraph" w:customStyle="1" w:styleId="TOFTitle">
    <w:name w:val="TOFTitle"/>
    <w:basedOn w:val="TOCTitle"/>
    <w:rsid w:val="001A7307"/>
  </w:style>
  <w:style w:type="paragraph" w:styleId="TableofFigures">
    <w:name w:val="table of figures"/>
    <w:basedOn w:val="Normal"/>
    <w:next w:val="Normal"/>
    <w:semiHidden/>
    <w:rsid w:val="001A7307"/>
    <w:pPr>
      <w:tabs>
        <w:tab w:val="right" w:leader="dot" w:pos="9072"/>
      </w:tabs>
      <w:ind w:left="970" w:hanging="403"/>
    </w:pPr>
    <w:rPr>
      <w:rFonts w:ascii="Times New Roman" w:hAnsi="Times New Roman"/>
      <w:b/>
    </w:rPr>
  </w:style>
  <w:style w:type="paragraph" w:styleId="ListNumber">
    <w:name w:val="List Number"/>
    <w:basedOn w:val="List"/>
    <w:rsid w:val="001A7307"/>
    <w:pPr>
      <w:numPr>
        <w:numId w:val="14"/>
      </w:numPr>
      <w:tabs>
        <w:tab w:val="clear" w:pos="340"/>
      </w:tabs>
    </w:pPr>
  </w:style>
  <w:style w:type="character" w:customStyle="1" w:styleId="WingdingSymbols">
    <w:name w:val="Wingding Symbols"/>
    <w:rsid w:val="001A7307"/>
    <w:rPr>
      <w:rFonts w:ascii="Wingdings" w:hAnsi="Wingdings"/>
    </w:rPr>
  </w:style>
  <w:style w:type="paragraph" w:customStyle="1" w:styleId="TableHeading">
    <w:name w:val="Table Heading"/>
    <w:basedOn w:val="HeadingBase"/>
    <w:rsid w:val="001A7307"/>
    <w:pPr>
      <w:keepLines/>
      <w:pBdr>
        <w:bottom w:val="single" w:sz="6" w:space="1" w:color="918585"/>
      </w:pBdr>
      <w:spacing w:before="240"/>
    </w:pPr>
  </w:style>
  <w:style w:type="character" w:customStyle="1" w:styleId="HotSpot">
    <w:name w:val="HotSpot"/>
    <w:rsid w:val="001A7307"/>
    <w:rPr>
      <w:color w:val="0033CC"/>
      <w:u w:val="none"/>
    </w:rPr>
  </w:style>
  <w:style w:type="paragraph" w:customStyle="1" w:styleId="BodyTextRight">
    <w:name w:val="Body Text Right"/>
    <w:basedOn w:val="BodyText"/>
    <w:rsid w:val="001A7307"/>
    <w:pPr>
      <w:spacing w:before="0" w:after="0"/>
      <w:jc w:val="right"/>
    </w:pPr>
  </w:style>
  <w:style w:type="paragraph" w:styleId="Index3">
    <w:name w:val="index 3"/>
    <w:basedOn w:val="ListNumber2"/>
    <w:next w:val="Normal"/>
    <w:semiHidden/>
    <w:rsid w:val="001A7307"/>
    <w:pPr>
      <w:numPr>
        <w:numId w:val="0"/>
      </w:numPr>
      <w:tabs>
        <w:tab w:val="right" w:leader="dot" w:pos="4176"/>
      </w:tabs>
    </w:pPr>
  </w:style>
  <w:style w:type="paragraph" w:styleId="ListNumber2">
    <w:name w:val="List Number 2"/>
    <w:basedOn w:val="List2"/>
    <w:rsid w:val="001A7307"/>
    <w:pPr>
      <w:numPr>
        <w:numId w:val="9"/>
      </w:numPr>
      <w:tabs>
        <w:tab w:val="clear" w:pos="1060"/>
      </w:tabs>
    </w:pPr>
  </w:style>
  <w:style w:type="paragraph" w:customStyle="1" w:styleId="MarginNote">
    <w:name w:val="Margin Note"/>
    <w:basedOn w:val="BodyText"/>
    <w:rsid w:val="001A7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307"/>
    <w:rPr>
      <w:sz w:val="32"/>
    </w:rPr>
  </w:style>
  <w:style w:type="paragraph" w:customStyle="1" w:styleId="HeadingProcedure">
    <w:name w:val="Heading Procedure"/>
    <w:basedOn w:val="HeadingBase"/>
    <w:next w:val="Normal"/>
    <w:rsid w:val="001A7307"/>
    <w:pPr>
      <w:tabs>
        <w:tab w:val="left" w:pos="0"/>
      </w:tabs>
      <w:spacing w:before="120" w:after="60"/>
    </w:pPr>
    <w:rPr>
      <w:i/>
      <w:color w:val="918585"/>
      <w:sz w:val="22"/>
    </w:rPr>
  </w:style>
  <w:style w:type="paragraph" w:customStyle="1" w:styleId="TableBodyText">
    <w:name w:val="Table Body Text"/>
    <w:basedOn w:val="BodyText"/>
    <w:rsid w:val="001A7307"/>
    <w:pPr>
      <w:spacing w:before="60" w:after="60"/>
    </w:pPr>
  </w:style>
  <w:style w:type="paragraph" w:styleId="ListContinue">
    <w:name w:val="List Continue"/>
    <w:basedOn w:val="List"/>
    <w:rsid w:val="001A7307"/>
    <w:pPr>
      <w:ind w:firstLine="0"/>
    </w:pPr>
  </w:style>
  <w:style w:type="paragraph" w:customStyle="1" w:styleId="ListNote">
    <w:name w:val="List Note"/>
    <w:basedOn w:val="List"/>
    <w:rsid w:val="001A7307"/>
    <w:pPr>
      <w:pBdr>
        <w:top w:val="single" w:sz="6" w:space="2" w:color="918585"/>
        <w:bottom w:val="single" w:sz="6" w:space="2" w:color="918585"/>
      </w:pBdr>
      <w:tabs>
        <w:tab w:val="left" w:pos="1021"/>
      </w:tabs>
      <w:ind w:firstLine="0"/>
    </w:pPr>
  </w:style>
  <w:style w:type="paragraph" w:customStyle="1" w:styleId="Warning">
    <w:name w:val="Warning"/>
    <w:basedOn w:val="BodyText"/>
    <w:rsid w:val="001A7307"/>
    <w:pPr>
      <w:shd w:val="clear" w:color="auto" w:fill="D9D9D9"/>
      <w:tabs>
        <w:tab w:val="left" w:pos="992"/>
      </w:tabs>
      <w:ind w:left="119" w:right="119"/>
    </w:pPr>
    <w:rPr>
      <w:sz w:val="20"/>
    </w:rPr>
  </w:style>
  <w:style w:type="paragraph" w:customStyle="1" w:styleId="MarginIcons">
    <w:name w:val="Margin Icons"/>
    <w:basedOn w:val="BodyText"/>
    <w:rsid w:val="001A7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307"/>
    <w:rPr>
      <w:rFonts w:ascii="Courier New" w:hAnsi="Courier New"/>
    </w:rPr>
  </w:style>
  <w:style w:type="paragraph" w:customStyle="1" w:styleId="NoteBullet">
    <w:name w:val="Note Bullet"/>
    <w:basedOn w:val="Note"/>
    <w:rsid w:val="001A7307"/>
    <w:pPr>
      <w:tabs>
        <w:tab w:val="clear" w:pos="680"/>
      </w:tabs>
      <w:spacing w:before="60" w:after="60"/>
    </w:pPr>
  </w:style>
  <w:style w:type="paragraph" w:customStyle="1" w:styleId="SubHeading2">
    <w:name w:val="SubHeading2"/>
    <w:basedOn w:val="HeadingBase"/>
    <w:rsid w:val="001A7307"/>
    <w:pPr>
      <w:spacing w:before="240" w:after="60"/>
    </w:pPr>
    <w:rPr>
      <w:sz w:val="20"/>
    </w:rPr>
  </w:style>
  <w:style w:type="paragraph" w:customStyle="1" w:styleId="SubHeading1">
    <w:name w:val="SubHeading1"/>
    <w:basedOn w:val="HeadingBase"/>
    <w:rsid w:val="001A7307"/>
    <w:pPr>
      <w:spacing w:before="240" w:after="60"/>
    </w:pPr>
    <w:rPr>
      <w:color w:val="918585"/>
      <w:sz w:val="22"/>
    </w:rPr>
  </w:style>
  <w:style w:type="paragraph" w:customStyle="1" w:styleId="SideHeading">
    <w:name w:val="Side Heading"/>
    <w:basedOn w:val="HeadingBase"/>
    <w:rsid w:val="001A7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307"/>
    <w:pPr>
      <w:numPr>
        <w:numId w:val="10"/>
      </w:numPr>
    </w:pPr>
  </w:style>
  <w:style w:type="paragraph" w:styleId="PlainText">
    <w:name w:val="Plain Text"/>
    <w:basedOn w:val="Normal"/>
    <w:link w:val="PlainTextChar"/>
    <w:rsid w:val="001A7307"/>
    <w:rPr>
      <w:sz w:val="20"/>
    </w:rPr>
  </w:style>
  <w:style w:type="character" w:customStyle="1" w:styleId="PlainTextChar">
    <w:name w:val="Plain Text Char"/>
    <w:basedOn w:val="DefaultParagraphFont"/>
    <w:link w:val="PlainText"/>
    <w:rsid w:val="001A7307"/>
    <w:rPr>
      <w:rFonts w:ascii="Courier New" w:eastAsia="Times New Roman" w:hAnsi="Courier New" w:cs="Times New Roman"/>
      <w:sz w:val="20"/>
      <w:szCs w:val="20"/>
      <w:lang w:eastAsia="en-US"/>
    </w:rPr>
  </w:style>
  <w:style w:type="character" w:customStyle="1" w:styleId="MenuOption">
    <w:name w:val="Menu Option"/>
    <w:basedOn w:val="DefaultParagraphFont"/>
    <w:rsid w:val="001A7307"/>
    <w:rPr>
      <w:b/>
      <w:smallCaps/>
    </w:rPr>
  </w:style>
  <w:style w:type="paragraph" w:customStyle="1" w:styleId="TableListNumber">
    <w:name w:val="Table List Number"/>
    <w:basedOn w:val="ListNumber"/>
    <w:rsid w:val="001A7307"/>
    <w:pPr>
      <w:numPr>
        <w:numId w:val="0"/>
      </w:numPr>
    </w:pPr>
  </w:style>
  <w:style w:type="paragraph" w:styleId="TOC4">
    <w:name w:val="toc 4"/>
    <w:basedOn w:val="TOCBase"/>
    <w:next w:val="Normal"/>
    <w:semiHidden/>
    <w:rsid w:val="001A7307"/>
    <w:pPr>
      <w:tabs>
        <w:tab w:val="right" w:leader="dot" w:pos="9071"/>
      </w:tabs>
      <w:ind w:left="1701"/>
    </w:pPr>
  </w:style>
  <w:style w:type="paragraph" w:customStyle="1" w:styleId="ListAlpha">
    <w:name w:val="List Alpha"/>
    <w:basedOn w:val="List"/>
    <w:rsid w:val="001A7307"/>
    <w:pPr>
      <w:numPr>
        <w:numId w:val="8"/>
      </w:numPr>
    </w:pPr>
  </w:style>
  <w:style w:type="paragraph" w:customStyle="1" w:styleId="ListAlpha2">
    <w:name w:val="List Alpha 2"/>
    <w:basedOn w:val="List2"/>
    <w:rsid w:val="001A7307"/>
    <w:pPr>
      <w:numPr>
        <w:numId w:val="7"/>
      </w:numPr>
    </w:pPr>
  </w:style>
  <w:style w:type="paragraph" w:styleId="List2">
    <w:name w:val="List 2"/>
    <w:basedOn w:val="BodyText"/>
    <w:rsid w:val="001A7307"/>
    <w:pPr>
      <w:tabs>
        <w:tab w:val="left" w:pos="680"/>
      </w:tabs>
      <w:spacing w:before="60" w:after="60"/>
      <w:ind w:left="680" w:hanging="340"/>
    </w:pPr>
  </w:style>
  <w:style w:type="paragraph" w:styleId="List3">
    <w:name w:val="List 3"/>
    <w:basedOn w:val="BodyText"/>
    <w:rsid w:val="001A7307"/>
    <w:pPr>
      <w:tabs>
        <w:tab w:val="left" w:pos="1021"/>
      </w:tabs>
      <w:spacing w:before="60" w:after="60"/>
      <w:ind w:left="1020" w:hanging="340"/>
    </w:pPr>
  </w:style>
  <w:style w:type="paragraph" w:styleId="List4">
    <w:name w:val="List 4"/>
    <w:basedOn w:val="BodyText"/>
    <w:rsid w:val="001A7307"/>
    <w:pPr>
      <w:tabs>
        <w:tab w:val="left" w:pos="1361"/>
      </w:tabs>
      <w:spacing w:before="60" w:after="60"/>
      <w:ind w:left="1361" w:hanging="340"/>
    </w:pPr>
  </w:style>
  <w:style w:type="paragraph" w:styleId="List5">
    <w:name w:val="List 5"/>
    <w:basedOn w:val="BodyText"/>
    <w:rsid w:val="001A7307"/>
    <w:pPr>
      <w:tabs>
        <w:tab w:val="left" w:pos="1701"/>
      </w:tabs>
      <w:spacing w:before="60" w:after="60"/>
      <w:ind w:left="1701" w:hanging="340"/>
    </w:pPr>
  </w:style>
  <w:style w:type="paragraph" w:styleId="ListBullet3">
    <w:name w:val="List Bullet 3"/>
    <w:basedOn w:val="List3"/>
    <w:rsid w:val="001A7307"/>
    <w:pPr>
      <w:numPr>
        <w:numId w:val="13"/>
      </w:numPr>
      <w:tabs>
        <w:tab w:val="clear" w:pos="1021"/>
      </w:tabs>
      <w:ind w:left="1037" w:hanging="357"/>
    </w:pPr>
  </w:style>
  <w:style w:type="paragraph" w:styleId="ListBullet4">
    <w:name w:val="List Bullet 4"/>
    <w:basedOn w:val="List4"/>
    <w:rsid w:val="001A7307"/>
    <w:pPr>
      <w:numPr>
        <w:numId w:val="2"/>
      </w:numPr>
      <w:tabs>
        <w:tab w:val="clear" w:pos="1361"/>
      </w:tabs>
    </w:pPr>
  </w:style>
  <w:style w:type="paragraph" w:styleId="ListBullet5">
    <w:name w:val="List Bullet 5"/>
    <w:basedOn w:val="List5"/>
    <w:rsid w:val="001A7307"/>
    <w:pPr>
      <w:numPr>
        <w:numId w:val="3"/>
      </w:numPr>
    </w:pPr>
  </w:style>
  <w:style w:type="paragraph" w:styleId="ListContinue2">
    <w:name w:val="List Continue 2"/>
    <w:basedOn w:val="List2"/>
    <w:rsid w:val="001A7307"/>
    <w:pPr>
      <w:ind w:firstLine="0"/>
    </w:pPr>
  </w:style>
  <w:style w:type="paragraph" w:styleId="ListContinue3">
    <w:name w:val="List Continue 3"/>
    <w:basedOn w:val="List3"/>
    <w:rsid w:val="001A7307"/>
    <w:pPr>
      <w:ind w:left="1021" w:firstLine="0"/>
    </w:pPr>
  </w:style>
  <w:style w:type="paragraph" w:styleId="ListContinue4">
    <w:name w:val="List Continue 4"/>
    <w:basedOn w:val="List4"/>
    <w:rsid w:val="001A7307"/>
    <w:pPr>
      <w:ind w:firstLine="0"/>
    </w:pPr>
  </w:style>
  <w:style w:type="paragraph" w:styleId="ListContinue5">
    <w:name w:val="List Continue 5"/>
    <w:basedOn w:val="List5"/>
    <w:rsid w:val="001A7307"/>
    <w:pPr>
      <w:ind w:firstLine="0"/>
    </w:pPr>
  </w:style>
  <w:style w:type="paragraph" w:styleId="ListNumber3">
    <w:name w:val="List Number 3"/>
    <w:basedOn w:val="List3"/>
    <w:rsid w:val="001A7307"/>
    <w:pPr>
      <w:numPr>
        <w:numId w:val="4"/>
      </w:numPr>
    </w:pPr>
  </w:style>
  <w:style w:type="paragraph" w:styleId="ListNumber4">
    <w:name w:val="List Number 4"/>
    <w:basedOn w:val="List4"/>
    <w:rsid w:val="001A7307"/>
    <w:pPr>
      <w:numPr>
        <w:numId w:val="5"/>
      </w:numPr>
    </w:pPr>
  </w:style>
  <w:style w:type="paragraph" w:styleId="ListNumber5">
    <w:name w:val="List Number 5"/>
    <w:basedOn w:val="List5"/>
    <w:rsid w:val="001A7307"/>
    <w:pPr>
      <w:numPr>
        <w:numId w:val="6"/>
      </w:numPr>
    </w:pPr>
  </w:style>
  <w:style w:type="paragraph" w:styleId="BlockText">
    <w:name w:val="Block Text"/>
    <w:basedOn w:val="Normal"/>
    <w:rsid w:val="001A7307"/>
    <w:pPr>
      <w:spacing w:after="120"/>
      <w:ind w:left="1440" w:right="1440"/>
    </w:pPr>
  </w:style>
  <w:style w:type="character" w:customStyle="1" w:styleId="Subscript">
    <w:name w:val="Subscript"/>
    <w:basedOn w:val="DefaultParagraphFont"/>
    <w:rsid w:val="001A7307"/>
    <w:rPr>
      <w:sz w:val="16"/>
      <w:vertAlign w:val="subscript"/>
    </w:rPr>
  </w:style>
  <w:style w:type="character" w:customStyle="1" w:styleId="Superscript">
    <w:name w:val="Superscript"/>
    <w:basedOn w:val="DefaultParagraphFont"/>
    <w:rsid w:val="001A7307"/>
    <w:rPr>
      <w:sz w:val="16"/>
      <w:vertAlign w:val="superscript"/>
    </w:rPr>
  </w:style>
  <w:style w:type="character" w:customStyle="1" w:styleId="Symbols">
    <w:name w:val="Symbols"/>
    <w:basedOn w:val="DefaultParagraphFont"/>
    <w:rsid w:val="001A7307"/>
    <w:rPr>
      <w:rFonts w:ascii="Symbol" w:hAnsi="Symbol"/>
    </w:rPr>
  </w:style>
  <w:style w:type="character" w:customStyle="1" w:styleId="MenuOptions">
    <w:name w:val="Menu Options"/>
    <w:basedOn w:val="DefaultParagraphFont"/>
    <w:rsid w:val="001A7307"/>
    <w:rPr>
      <w:rFonts w:ascii="Arial Narrow" w:hAnsi="Arial Narrow"/>
      <w:smallCaps/>
    </w:rPr>
  </w:style>
  <w:style w:type="character" w:customStyle="1" w:styleId="Buttons">
    <w:name w:val="Buttons"/>
    <w:basedOn w:val="DefaultParagraphFont"/>
    <w:rsid w:val="001A7307"/>
    <w:rPr>
      <w:b/>
    </w:rPr>
  </w:style>
  <w:style w:type="character" w:customStyle="1" w:styleId="Underlined">
    <w:name w:val="Underlined"/>
    <w:basedOn w:val="DefaultParagraphFont"/>
    <w:rsid w:val="001A7307"/>
    <w:rPr>
      <w:u w:val="single"/>
    </w:rPr>
  </w:style>
  <w:style w:type="paragraph" w:customStyle="1" w:styleId="TableBodyTextRight">
    <w:name w:val="Table Body Text Right"/>
    <w:basedOn w:val="TableBodyText"/>
    <w:rsid w:val="001A7307"/>
    <w:pPr>
      <w:widowControl w:val="0"/>
      <w:autoSpaceDE w:val="0"/>
      <w:autoSpaceDN w:val="0"/>
      <w:adjustRightInd w:val="0"/>
      <w:jc w:val="right"/>
    </w:pPr>
    <w:rPr>
      <w:rFonts w:cs="Arial"/>
      <w:szCs w:val="18"/>
    </w:rPr>
  </w:style>
  <w:style w:type="paragraph" w:customStyle="1" w:styleId="CopyrightText">
    <w:name w:val="Copyright Text"/>
    <w:basedOn w:val="BodyText"/>
    <w:rsid w:val="001A7307"/>
    <w:rPr>
      <w:sz w:val="18"/>
    </w:rPr>
  </w:style>
  <w:style w:type="paragraph" w:customStyle="1" w:styleId="BodySmallRight">
    <w:name w:val="Body Small Right"/>
    <w:basedOn w:val="BodyTextRight"/>
    <w:rsid w:val="001A7307"/>
    <w:rPr>
      <w:sz w:val="18"/>
      <w:szCs w:val="18"/>
    </w:rPr>
  </w:style>
  <w:style w:type="paragraph" w:customStyle="1" w:styleId="MarginEdition">
    <w:name w:val="Margin Edition"/>
    <w:basedOn w:val="MarginNote"/>
    <w:rsid w:val="001A7307"/>
    <w:pPr>
      <w:spacing w:before="0" w:after="0"/>
    </w:pPr>
    <w:rPr>
      <w:rFonts w:ascii="Times New Roman" w:hAnsi="Times New Roman"/>
      <w:color w:val="999999"/>
    </w:rPr>
  </w:style>
  <w:style w:type="paragraph" w:customStyle="1" w:styleId="Spacer">
    <w:name w:val="Spacer"/>
    <w:basedOn w:val="Normal"/>
    <w:rsid w:val="001A7307"/>
    <w:rPr>
      <w:sz w:val="2"/>
      <w:szCs w:val="2"/>
    </w:rPr>
  </w:style>
  <w:style w:type="character" w:customStyle="1" w:styleId="Small">
    <w:name w:val="Small"/>
    <w:basedOn w:val="DefaultParagraphFont"/>
    <w:rsid w:val="001A7307"/>
    <w:rPr>
      <w:sz w:val="16"/>
    </w:rPr>
  </w:style>
  <w:style w:type="paragraph" w:customStyle="1" w:styleId="WideTable">
    <w:name w:val="Wide Table"/>
    <w:basedOn w:val="Normal"/>
    <w:rsid w:val="001A7307"/>
    <w:pPr>
      <w:ind w:left="-1418"/>
    </w:pPr>
    <w:rPr>
      <w:sz w:val="2"/>
      <w:szCs w:val="2"/>
    </w:rPr>
  </w:style>
  <w:style w:type="character" w:styleId="PageNumber">
    <w:name w:val="page number"/>
    <w:basedOn w:val="DefaultParagraphFont"/>
    <w:rsid w:val="001A7307"/>
  </w:style>
  <w:style w:type="paragraph" w:styleId="Quote">
    <w:name w:val="Quote"/>
    <w:basedOn w:val="Heading1"/>
    <w:link w:val="QuoteChar"/>
    <w:qFormat/>
    <w:rsid w:val="001A7307"/>
    <w:rPr>
      <w:b w:val="0"/>
      <w:sz w:val="72"/>
      <w:szCs w:val="72"/>
      <w:lang w:val="en-NZ"/>
    </w:rPr>
  </w:style>
  <w:style w:type="character" w:customStyle="1" w:styleId="QuoteChar">
    <w:name w:val="Quote Char"/>
    <w:basedOn w:val="DefaultParagraphFont"/>
    <w:link w:val="Quote"/>
    <w:rsid w:val="001A7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307"/>
    <w:pPr>
      <w:pageBreakBefore/>
    </w:pPr>
  </w:style>
  <w:style w:type="paragraph" w:customStyle="1" w:styleId="Border">
    <w:name w:val="Border"/>
    <w:basedOn w:val="Normal"/>
    <w:qFormat/>
    <w:rsid w:val="001A7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307"/>
    <w:rPr>
      <w:b/>
      <w:bCs/>
      <w:i/>
      <w:iCs/>
      <w:color w:val="auto"/>
    </w:rPr>
  </w:style>
  <w:style w:type="paragraph" w:styleId="IntenseQuote">
    <w:name w:val="Intense Quote"/>
    <w:basedOn w:val="Normal"/>
    <w:next w:val="Normal"/>
    <w:link w:val="IntenseQuoteChar"/>
    <w:uiPriority w:val="30"/>
    <w:qFormat/>
    <w:rsid w:val="001A7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307"/>
    <w:rPr>
      <w:smallCaps/>
      <w:color w:val="auto"/>
      <w:u w:val="single"/>
    </w:rPr>
  </w:style>
  <w:style w:type="character" w:styleId="IntenseReference">
    <w:name w:val="Intense Reference"/>
    <w:basedOn w:val="DefaultParagraphFont"/>
    <w:uiPriority w:val="32"/>
    <w:qFormat/>
    <w:rsid w:val="001A7307"/>
    <w:rPr>
      <w:b/>
      <w:bCs/>
      <w:smallCaps/>
      <w:color w:val="auto"/>
      <w:spacing w:val="5"/>
      <w:u w:val="single"/>
    </w:rPr>
  </w:style>
  <w:style w:type="paragraph" w:customStyle="1" w:styleId="2ColumnHeading">
    <w:name w:val="2Column Heading"/>
    <w:basedOn w:val="BodyText"/>
    <w:qFormat/>
    <w:rsid w:val="001A7307"/>
    <w:pPr>
      <w:spacing w:after="60"/>
      <w:ind w:left="-2268"/>
    </w:pPr>
    <w:rPr>
      <w:b/>
    </w:rPr>
  </w:style>
  <w:style w:type="paragraph" w:customStyle="1" w:styleId="Heading1TOC">
    <w:name w:val="Heading1 TOC"/>
    <w:basedOn w:val="Normal"/>
    <w:qFormat/>
    <w:rsid w:val="001A7307"/>
    <w:pPr>
      <w:spacing w:before="240" w:after="120"/>
    </w:pPr>
    <w:rPr>
      <w:rFonts w:ascii="Times New Roman" w:hAnsi="Times New Roman"/>
      <w:b/>
      <w:sz w:val="32"/>
    </w:rPr>
  </w:style>
  <w:style w:type="paragraph" w:customStyle="1" w:styleId="Heading2TOC">
    <w:name w:val="Heading2 TOC"/>
    <w:basedOn w:val="Normal"/>
    <w:qFormat/>
    <w:rsid w:val="001A7307"/>
    <w:pPr>
      <w:spacing w:before="240" w:after="60"/>
    </w:pPr>
    <w:rPr>
      <w:rFonts w:ascii="Times New Roman" w:hAnsi="Times New Roman"/>
      <w:b/>
      <w:sz w:val="28"/>
    </w:rPr>
  </w:style>
  <w:style w:type="character" w:customStyle="1" w:styleId="Underline">
    <w:name w:val="Underline"/>
    <w:basedOn w:val="DefaultParagraphFont"/>
    <w:qFormat/>
    <w:rsid w:val="001A7307"/>
    <w:rPr>
      <w:u w:val="single"/>
    </w:rPr>
  </w:style>
  <w:style w:type="character" w:customStyle="1" w:styleId="BoldandItalics">
    <w:name w:val="Bold and Italics"/>
    <w:qFormat/>
    <w:rsid w:val="001A7307"/>
    <w:rPr>
      <w:b/>
      <w:i/>
      <w:u w:val="none"/>
    </w:rPr>
  </w:style>
  <w:style w:type="paragraph" w:styleId="BalloonText">
    <w:name w:val="Balloon Text"/>
    <w:basedOn w:val="Normal"/>
    <w:link w:val="BalloonTextChar"/>
    <w:rsid w:val="001A7307"/>
    <w:rPr>
      <w:rFonts w:ascii="Tahoma" w:hAnsi="Tahoma" w:cs="Tahoma"/>
      <w:sz w:val="16"/>
      <w:szCs w:val="16"/>
    </w:rPr>
  </w:style>
  <w:style w:type="character" w:customStyle="1" w:styleId="BalloonTextChar">
    <w:name w:val="Balloon Text Char"/>
    <w:basedOn w:val="DefaultParagraphFont"/>
    <w:link w:val="BalloonText"/>
    <w:rsid w:val="001A7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307"/>
    <w:rPr>
      <w:b/>
      <w:color w:val="660033"/>
      <w:spacing w:val="0"/>
    </w:rPr>
  </w:style>
  <w:style w:type="paragraph" w:customStyle="1" w:styleId="Nameditemlist">
    <w:name w:val="Named item list"/>
    <w:basedOn w:val="BodyText"/>
    <w:qFormat/>
    <w:rsid w:val="001A7307"/>
    <w:pPr>
      <w:tabs>
        <w:tab w:val="left" w:pos="2835"/>
      </w:tabs>
      <w:ind w:left="2835" w:hanging="2835"/>
    </w:pPr>
  </w:style>
  <w:style w:type="paragraph" w:customStyle="1" w:styleId="BodyTextnopadding">
    <w:name w:val="Body Text no padding"/>
    <w:basedOn w:val="BodyText"/>
    <w:qFormat/>
    <w:rsid w:val="001A7307"/>
    <w:pPr>
      <w:spacing w:before="0" w:after="0"/>
    </w:pPr>
  </w:style>
  <w:style w:type="paragraph" w:customStyle="1" w:styleId="BodyTextBold">
    <w:name w:val="Body Text Bold"/>
    <w:basedOn w:val="BodyText"/>
    <w:qFormat/>
    <w:rsid w:val="001A7307"/>
    <w:rPr>
      <w:b/>
    </w:rPr>
  </w:style>
  <w:style w:type="character" w:styleId="Hyperlink">
    <w:name w:val="Hyperlink"/>
    <w:basedOn w:val="DefaultParagraphFont"/>
    <w:uiPriority w:val="99"/>
    <w:unhideWhenUsed/>
    <w:rsid w:val="005F2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7329</Characters>
  <Application>Microsoft Office Word</Application>
  <DocSecurity>0</DocSecurity>
  <Lines>271</Lines>
  <Paragraphs>145</Paragraphs>
  <ScaleCrop>false</ScaleCrop>
  <Company>Author-it Software Corporation Ltd.</Company>
  <LinksUpToDate>false</LinksUpToDate>
  <CharactersWithSpaces>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PUAEMR037 Manage recovery functions and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