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4B4" w:rsidP="00A77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PUAEMR034 Establish and manage a recovery centre</w:t>
      </w:r>
      <w:r>
        <w:fldChar w:fldCharType="end"/>
      </w:r>
    </w:p>
    <w:p w:rsidR="00A774B4" w:rsidP="00A774B4">
      <w:pPr>
        <w:pStyle w:val="Version"/>
        <w:sectPr w:rsidSect="00CA2B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BEA" w:rsidP="00CA2BEA">
      <w:pPr>
        <w:pStyle w:val="SuperHeading"/>
      </w:pPr>
      <w:r w:rsidRPr="00CA2BEA">
        <w:t>PUAEMR034 Establish and manage a recovery centre</w:t>
      </w:r>
    </w:p>
    <w:p w:rsidR="00000000" w:rsidRPr="00CA2BEA" w:rsidP="00CA2BEA">
      <w:pPr>
        <w:pStyle w:val="Heading1"/>
      </w:pPr>
      <w:bookmarkStart w:id="1" w:name="O_1153500"/>
      <w:bookmarkEnd w:id="1"/>
      <w:r w:rsidRPr="00CA2BEA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CA2BE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rPr>
                <w:rStyle w:val="SpecialBold"/>
              </w:rPr>
              <w:t>Release 1.0</w:t>
            </w:r>
            <w:r w:rsidRPr="00CA2BEA">
              <w:t xml:space="preserve"> This is the first release of this unit of competency in the PUA Public Safety Training Package.</w:t>
            </w:r>
          </w:p>
        </w:tc>
      </w:tr>
    </w:tbl>
    <w:p w:rsidR="00000000" w:rsidRPr="00CA2BEA" w:rsidP="00CA2BEA">
      <w:pPr>
        <w:pStyle w:val="NoPaddingFontSize1"/>
      </w:pPr>
    </w:p>
    <w:p w:rsidR="00000000" w:rsidRPr="00CA2BEA" w:rsidP="00CA2BEA">
      <w:pPr>
        <w:pStyle w:val="AllowPageBreak"/>
      </w:pPr>
    </w:p>
    <w:p w:rsidR="00000000" w:rsidRPr="00CA2BEA" w:rsidP="00CA2BEA">
      <w:pPr>
        <w:pStyle w:val="Heading1"/>
      </w:pPr>
      <w:bookmarkStart w:id="2" w:name="O_1153501"/>
      <w:bookmarkEnd w:id="2"/>
      <w:r w:rsidRPr="00CA2BE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t>This unit of competency involves the skills and knowledge required to establish and m</w:t>
            </w:r>
            <w:r w:rsidRPr="00CA2BEA">
              <w:t>anage a recovery centre to provide comprehensive recovery services. It includes establishing a recovery centre, managing human resources and physical resources, coordinating information flow and recovery services and managing recovery centre closure and tr</w:t>
            </w:r>
            <w:r w:rsidRPr="00CA2BEA">
              <w:t>ansition to mainstream services.</w:t>
            </w:r>
          </w:p>
          <w:p w:rsidR="00000000" w:rsidRPr="00CA2BEA" w:rsidP="00CA2BEA">
            <w:pPr>
              <w:pStyle w:val="BodyText"/>
            </w:pPr>
            <w:r w:rsidRPr="00CA2BEA">
              <w:t>The mix of recovery and/or outreach services provided may change throughout the life of a centre to reflect a changing emphasis from short term relief to long term recovery. This may involve management of centre infrastruct</w:t>
            </w:r>
            <w:r w:rsidRPr="00CA2BEA">
              <w:t xml:space="preserve">ure, promotion of the centre, management of personnel in a stressful environment, coordination of service providers and the management of administration, information and financial requirements.  </w:t>
            </w:r>
          </w:p>
          <w:p w:rsidR="00000000" w:rsidRPr="00CA2BEA" w:rsidP="00CA2BEA">
            <w:pPr>
              <w:pStyle w:val="BodyText"/>
            </w:pPr>
            <w:r w:rsidRPr="00CA2BEA">
              <w:t>The unit applies to personnel with responsibility for managi</w:t>
            </w:r>
            <w:r w:rsidRPr="00CA2BEA">
              <w:t>ng a recovery centre.</w:t>
            </w:r>
          </w:p>
          <w:p w:rsidR="00000000" w:rsidRPr="00CA2BEA" w:rsidP="00CA2BEA">
            <w:pPr>
              <w:pStyle w:val="BodyText"/>
            </w:pPr>
            <w:r w:rsidRPr="00CA2BEA">
              <w:t>No licensing, legislative or certification requirements apply to this unit at the time of publication.</w:t>
            </w:r>
          </w:p>
        </w:tc>
      </w:tr>
    </w:tbl>
    <w:p w:rsidR="00000000" w:rsidRPr="00CA2BEA" w:rsidP="00CA2BEA">
      <w:pPr>
        <w:pStyle w:val="NoPaddingFontSize1"/>
      </w:pPr>
    </w:p>
    <w:p w:rsidR="00000000" w:rsidRPr="00CA2BEA" w:rsidP="00CA2BEA">
      <w:pPr>
        <w:pStyle w:val="AllowPageBreak"/>
      </w:pPr>
    </w:p>
    <w:p w:rsidR="00000000" w:rsidRPr="00CA2BEA" w:rsidP="00CA2BEA">
      <w:pPr>
        <w:pStyle w:val="Heading1"/>
      </w:pPr>
      <w:bookmarkStart w:id="3" w:name="O_1153502"/>
      <w:bookmarkEnd w:id="3"/>
      <w:r w:rsidRPr="00CA2BE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t>Not applicable</w:t>
            </w:r>
          </w:p>
        </w:tc>
      </w:tr>
    </w:tbl>
    <w:p w:rsidR="00000000" w:rsidRPr="00CA2BEA" w:rsidP="00CA2BEA">
      <w:pPr>
        <w:pStyle w:val="NoPaddingFontSize1"/>
      </w:pPr>
    </w:p>
    <w:p w:rsidR="00000000" w:rsidRPr="00CA2BEA" w:rsidP="00CA2BEA">
      <w:pPr>
        <w:pStyle w:val="AllowPageBreak"/>
      </w:pPr>
    </w:p>
    <w:p w:rsidR="00000000" w:rsidRPr="00CA2BEA" w:rsidP="00CA2BEA">
      <w:pPr>
        <w:pStyle w:val="Heading1"/>
      </w:pPr>
      <w:bookmarkStart w:id="4" w:name="O_1153503"/>
      <w:bookmarkEnd w:id="4"/>
      <w:r w:rsidRPr="00CA2BE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t>Emergency Management</w:t>
            </w:r>
          </w:p>
        </w:tc>
      </w:tr>
    </w:tbl>
    <w:p w:rsidR="00000000" w:rsidRPr="00CA2BEA" w:rsidP="00CA2BEA">
      <w:pPr>
        <w:pStyle w:val="NoPaddingFontSize1"/>
      </w:pPr>
    </w:p>
    <w:p w:rsidR="00000000" w:rsidRPr="00CA2BEA" w:rsidP="00CA2BEA">
      <w:pPr>
        <w:pStyle w:val="AllowPageBreak"/>
      </w:pPr>
    </w:p>
    <w:p w:rsidR="00000000" w:rsidRPr="00CA2BEA" w:rsidP="00CA2BEA">
      <w:pPr>
        <w:pStyle w:val="Heading1"/>
      </w:pPr>
      <w:bookmarkStart w:id="5" w:name="O_1153504"/>
      <w:bookmarkEnd w:id="5"/>
      <w:r w:rsidRPr="00CA2BE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t>Not applicable</w:t>
            </w:r>
          </w:p>
        </w:tc>
      </w:tr>
    </w:tbl>
    <w:p w:rsidR="00000000" w:rsidRPr="00CA2BEA" w:rsidP="00CA2BEA">
      <w:pPr>
        <w:pStyle w:val="NoPaddingFontSize1"/>
      </w:pPr>
    </w:p>
    <w:p w:rsidR="00000000" w:rsidRPr="00CA2BEA" w:rsidP="00CA2BEA">
      <w:pPr>
        <w:pStyle w:val="AllowPageBreak"/>
      </w:pPr>
    </w:p>
    <w:p w:rsidR="00000000" w:rsidRPr="00CA2BEA" w:rsidP="00CA2BEA">
      <w:pPr>
        <w:pStyle w:val="Heading1"/>
      </w:pPr>
      <w:bookmarkStart w:id="6" w:name="O_1153505"/>
      <w:bookmarkEnd w:id="6"/>
      <w:r w:rsidRPr="00CA2BE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PERFORMANCE CRITERIA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Performance criteria describe the performance needed to demonstrate achievement of the element.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rPr>
                <w:rStyle w:val="SpecialBold"/>
              </w:rPr>
              <w:t>Establish recovery centre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 xml:space="preserve">Recovery plans, arrangements and procedures are </w:t>
            </w:r>
            <w:r w:rsidRPr="00CA2BEA">
              <w:t xml:space="preserve">located and implementation is agreed upon by entities 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Recovery centre</w:t>
            </w:r>
            <w:r w:rsidRPr="00CA2BEA">
              <w:t xml:space="preserve"> useability is assessed in consultation with lead organisation, recovery coordinator and/or committee for scale of emergency and possible impacts 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 xml:space="preserve">Initial resource needs for the recovery centre are assessed and suppliers are selected 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Financial and administrative procedures and task delegations are clarified and approved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Links with existing and emerging entities are established in consultation with lead organisation, recovery coordinator and/or committee to determine the level of</w:t>
            </w:r>
            <w:r w:rsidRPr="00CA2BEA">
              <w:t xml:space="preserve"> involvement with the recovery centre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 xml:space="preserve">Regular communication with the recovery committee manager and entities is established and maintained 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Centre layou</w:t>
            </w:r>
            <w:r w:rsidRPr="00CA2BEA">
              <w:t xml:space="preserve">t is designed and/or organised to optimise efficiency, privacy, security and safety of personnel and the public 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rPr>
                <w:rStyle w:val="SpecialBold"/>
              </w:rPr>
              <w:t>Manage human resources sustainably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Capacity and capability of available personnel is assessed and roles and responsibilities are assigne</w:t>
            </w:r>
            <w:r w:rsidRPr="00CA2BEA">
              <w:t>d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Regular operational briefings are provided to update personnel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 xml:space="preserve">Screening, inducting and integrating new personnel is established 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Monitoring wellbeing within the recovery centre is implemented in accordance with organisational polici</w:t>
            </w:r>
            <w:r w:rsidRPr="00CA2BEA">
              <w:t>es and procedures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Contingency plans and rosters for personnel are adjusted to meet changing needs and circumstances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rPr>
                <w:rStyle w:val="SpecialBold"/>
              </w:rPr>
              <w:t>Manage physical resources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Recovery centre assets register is established and maintained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Recovery centre maintenance is organised and regularly reviewed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Records of consumables and equipment used are maintained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 xml:space="preserve">Expenditure is tracked and administered in accordance </w:t>
            </w:r>
            <w:r w:rsidRPr="00CA2BEA">
              <w:t>with organisational financial procedures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Risks are regularly assessed and contingency plans are developed for expansion and back up of resources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rPr>
                <w:rStyle w:val="SpecialBold"/>
              </w:rPr>
              <w:t>Coordinate information flow on</w:t>
            </w:r>
            <w:r w:rsidRPr="00CA2BEA">
              <w:t xml:space="preserve"> </w:t>
            </w:r>
            <w:r w:rsidRPr="00CA2BEA">
              <w:rPr>
                <w:rStyle w:val="SpecialBold"/>
              </w:rPr>
              <w:t>recovery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Entities are identified and a communication plan is developed and distributed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Accurate an</w:t>
            </w:r>
            <w:r w:rsidRPr="00CA2BEA">
              <w:t>d timely service delivery information is provided to entities and the community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 xml:space="preserve">Community information is received, analysed and reported to the recovery coordinator 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Key decisions, rationale and service activity levels are recorded to enable evaluation and reporting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Arrangements for the management of media and VIP visits are implemented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rPr>
                <w:rStyle w:val="SpecialBold"/>
              </w:rPr>
              <w:t>Manage recovery centre closure and transition to mainstream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 xml:space="preserve">Transition of recovery centre arrangements are negotiated and publicised to the community, lead organisation, entities, recovery coordinator and/or committee 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>Files and information records are verified, updated and retained, as required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 xml:space="preserve">Statistical and financial reporting of recovery services delivered is prepared and provided to relevant entities 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 xml:space="preserve">Equipment and materials audit is undertaken against the recovery centre assets register, damages and losses are reported and resources </w:t>
            </w:r>
            <w:r w:rsidRPr="00CA2BEA">
              <w:t>are released or returned to providers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5.5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 xml:space="preserve">Operational debriefing is implemented 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5.6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t xml:space="preserve">Arrangements to ensure smooth closure of the recovery centre are made in consultation with lead organisations, and agencies, recovery coordinator and/or committee </w:t>
            </w:r>
          </w:p>
        </w:tc>
      </w:tr>
      <w:tr w:rsidTr="00CA2B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EA">
            <w:pPr>
              <w:pStyle w:val="BodyText"/>
              <w:rPr>
                <w:lang w:val="en-NZ"/>
              </w:rPr>
            </w:pPr>
            <w:r w:rsidRPr="00CA2BEA">
              <w:rPr>
                <w:rStyle w:val="SpecialBold"/>
              </w:rPr>
              <w:t>5.7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t xml:space="preserve">Evaluation report is completed on recovery service delivery and is provided to lead organisations and agencies </w:t>
            </w:r>
          </w:p>
        </w:tc>
      </w:tr>
    </w:tbl>
    <w:p w:rsidR="00000000" w:rsidRPr="00CA2BEA" w:rsidP="00CA2BEA">
      <w:pPr>
        <w:pStyle w:val="NoPaddingFontSize1"/>
      </w:pPr>
    </w:p>
    <w:p w:rsidR="00000000" w:rsidRPr="00CA2BEA" w:rsidP="00CA2BEA">
      <w:pPr>
        <w:pStyle w:val="AllowPageBreak"/>
      </w:pPr>
    </w:p>
    <w:p w:rsidR="00000000" w:rsidRPr="00CA2BEA" w:rsidP="00CA2BEA">
      <w:pPr>
        <w:pStyle w:val="Heading1"/>
      </w:pPr>
      <w:bookmarkStart w:id="7" w:name="O_1153506"/>
      <w:bookmarkEnd w:id="7"/>
      <w:r w:rsidRPr="00CA2BE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t>Foundation skills essential to performance are explicit in the performance criteria of this unit of competency.</w:t>
            </w:r>
          </w:p>
        </w:tc>
      </w:tr>
    </w:tbl>
    <w:p w:rsidR="00000000" w:rsidRPr="00CA2BEA" w:rsidP="00CA2BEA">
      <w:pPr>
        <w:pStyle w:val="NoPaddingFontSize1"/>
      </w:pPr>
    </w:p>
    <w:p w:rsidR="00000000" w:rsidRPr="00CA2BEA" w:rsidP="00CA2BEA">
      <w:pPr>
        <w:pStyle w:val="AllowPageBreak"/>
      </w:pPr>
    </w:p>
    <w:p w:rsidR="00000000" w:rsidRPr="00CA2BEA" w:rsidP="00CA2BEA">
      <w:pPr>
        <w:pStyle w:val="Heading1"/>
      </w:pPr>
      <w:bookmarkStart w:id="8" w:name="O_1153507"/>
      <w:bookmarkEnd w:id="8"/>
      <w:r w:rsidRPr="00CA2BE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t>Range is restricted to essential operating conditions and any other variables essential to the work env</w:t>
            </w:r>
            <w:r w:rsidRPr="00CA2BEA">
              <w:t>ironment.</w:t>
            </w:r>
          </w:p>
          <w:p w:rsidR="00000000" w:rsidRPr="00CA2BEA" w:rsidP="00CA2BEA">
            <w:pPr>
              <w:pStyle w:val="BodyText"/>
            </w:pPr>
            <w:r w:rsidRPr="00CA2BEA">
              <w:t>Non-essential conditions may be found in the Companion Volume Implementation Guide.</w:t>
            </w:r>
          </w:p>
        </w:tc>
      </w:tr>
    </w:tbl>
    <w:p w:rsidR="00000000" w:rsidRPr="00CA2BEA" w:rsidP="00CA2BEA">
      <w:pPr>
        <w:pStyle w:val="NoPaddingFontSize1"/>
      </w:pPr>
    </w:p>
    <w:p w:rsidR="00000000" w:rsidRPr="00CA2BEA" w:rsidP="00CA2BEA">
      <w:pPr>
        <w:pStyle w:val="AllowPageBreak"/>
      </w:pPr>
    </w:p>
    <w:p w:rsidR="00000000" w:rsidRPr="00CA2BEA" w:rsidP="00CA2BEA">
      <w:pPr>
        <w:pStyle w:val="Heading1"/>
      </w:pPr>
      <w:bookmarkStart w:id="9" w:name="O_1153508"/>
      <w:bookmarkEnd w:id="9"/>
      <w:r w:rsidRPr="00CA2BE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EA" w:rsidP="00CA2BEA">
            <w:pPr>
              <w:pStyle w:val="BodyText"/>
            </w:pPr>
            <w:r w:rsidRPr="00CA2BEA">
              <w:t>This unit replaces and is not equivalent to PUAEMR015 Establish and manage a recovery centre.</w:t>
            </w:r>
          </w:p>
        </w:tc>
      </w:tr>
    </w:tbl>
    <w:p w:rsidR="00000000" w:rsidRPr="00CA2BEA" w:rsidP="00CA2BEA">
      <w:pPr>
        <w:pStyle w:val="NoPaddingFontSize1"/>
      </w:pPr>
    </w:p>
    <w:p w:rsidR="00000000" w:rsidRPr="00CA2BEA" w:rsidP="00CA2BEA">
      <w:pPr>
        <w:pStyle w:val="AllowPageBreak"/>
      </w:pPr>
    </w:p>
    <w:p w:rsidR="00000000" w:rsidRPr="00CA2BEA" w:rsidP="00CA2BEA">
      <w:pPr>
        <w:pStyle w:val="Heading1"/>
      </w:pPr>
      <w:bookmarkStart w:id="10" w:name="O_1153515"/>
      <w:bookmarkEnd w:id="10"/>
      <w:r w:rsidRPr="00CA2BEA">
        <w:t>Links</w:t>
      </w:r>
    </w:p>
    <w:p w:rsidR="00000000" w:rsidRPr="00CA2BEA" w:rsidP="00A774B4">
      <w:pPr>
        <w:pStyle w:val="BodyText"/>
      </w:pPr>
      <w:r w:rsidRPr="00CA2B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9545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A2BEA" w:rsidP="00CA2BEA"/>
    <w:sectPr w:rsidSect="00CA2B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EA" w:rsidRPr="00A774B4" w:rsidP="00A77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B4" w:rsidP="00CA2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4B4" w:rsidP="00CA2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74B4" w:rsidP="00CA2B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BEA" w:rsidRPr="00A774B4" w:rsidP="00A77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B4" w:rsidRPr="002D2AF8" w:rsidP="00CA2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PUAEMR034 Establish and manage a recovery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774B4" w:rsidP="00CA2B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B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B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B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B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B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B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B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B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B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B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B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BEA"/>
  </w:style>
  <w:style w:type="character" w:customStyle="1" w:styleId="Heading1Char">
    <w:name w:val="Heading 1 Char"/>
    <w:basedOn w:val="DefaultParagraphFont"/>
    <w:link w:val="Heading1"/>
    <w:rsid w:val="00CA2B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B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B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2BEA"/>
    <w:rPr>
      <w:b/>
      <w:spacing w:val="0"/>
    </w:rPr>
  </w:style>
  <w:style w:type="paragraph" w:customStyle="1" w:styleId="SuperHeading">
    <w:name w:val="SuperHeading"/>
    <w:basedOn w:val="Normal"/>
    <w:rsid w:val="00CA2B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B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2B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B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B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B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B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B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B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B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B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B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B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B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B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B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B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2B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2B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B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B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B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B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B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B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B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B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B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B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B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B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B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BEA"/>
    <w:rPr>
      <w:i/>
    </w:rPr>
  </w:style>
  <w:style w:type="paragraph" w:styleId="Caption">
    <w:name w:val="caption"/>
    <w:basedOn w:val="BodyText"/>
    <w:next w:val="Normal"/>
    <w:qFormat/>
    <w:rsid w:val="00CA2B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B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B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BEA"/>
  </w:style>
  <w:style w:type="paragraph" w:styleId="TableofFigures">
    <w:name w:val="table of figures"/>
    <w:basedOn w:val="Normal"/>
    <w:next w:val="Normal"/>
    <w:semiHidden/>
    <w:rsid w:val="00CA2B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B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2BEA"/>
    <w:rPr>
      <w:rFonts w:ascii="Wingdings" w:hAnsi="Wingdings"/>
    </w:rPr>
  </w:style>
  <w:style w:type="paragraph" w:customStyle="1" w:styleId="TableHeading">
    <w:name w:val="Table Heading"/>
    <w:basedOn w:val="HeadingBase"/>
    <w:rsid w:val="00CA2B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BEA"/>
    <w:rPr>
      <w:color w:val="0033CC"/>
      <w:u w:val="none"/>
    </w:rPr>
  </w:style>
  <w:style w:type="paragraph" w:customStyle="1" w:styleId="BodyTextRight">
    <w:name w:val="Body Text Right"/>
    <w:basedOn w:val="BodyText"/>
    <w:rsid w:val="00CA2B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B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B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B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B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B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BEA"/>
    <w:rPr>
      <w:sz w:val="32"/>
    </w:rPr>
  </w:style>
  <w:style w:type="paragraph" w:customStyle="1" w:styleId="HeadingProcedure">
    <w:name w:val="Heading Procedure"/>
    <w:basedOn w:val="HeadingBase"/>
    <w:next w:val="Normal"/>
    <w:rsid w:val="00CA2B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BEA"/>
    <w:pPr>
      <w:spacing w:before="60" w:after="60"/>
    </w:pPr>
  </w:style>
  <w:style w:type="paragraph" w:styleId="ListContinue">
    <w:name w:val="List Continue"/>
    <w:basedOn w:val="List"/>
    <w:rsid w:val="00CA2BEA"/>
    <w:pPr>
      <w:ind w:firstLine="0"/>
    </w:pPr>
  </w:style>
  <w:style w:type="paragraph" w:customStyle="1" w:styleId="ListNote">
    <w:name w:val="List Note"/>
    <w:basedOn w:val="List"/>
    <w:rsid w:val="00CA2B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B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B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BEA"/>
    <w:rPr>
      <w:rFonts w:ascii="Courier New" w:hAnsi="Courier New"/>
    </w:rPr>
  </w:style>
  <w:style w:type="paragraph" w:customStyle="1" w:styleId="NoteBullet">
    <w:name w:val="Note Bullet"/>
    <w:basedOn w:val="Note"/>
    <w:rsid w:val="00CA2B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B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B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B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B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2B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B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BEA"/>
    <w:rPr>
      <w:b/>
      <w:smallCaps/>
    </w:rPr>
  </w:style>
  <w:style w:type="paragraph" w:customStyle="1" w:styleId="TableListNumber">
    <w:name w:val="Table List Number"/>
    <w:basedOn w:val="ListNumber"/>
    <w:rsid w:val="00CA2B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B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BEA"/>
    <w:pPr>
      <w:numPr>
        <w:numId w:val="7"/>
      </w:numPr>
    </w:pPr>
  </w:style>
  <w:style w:type="paragraph" w:customStyle="1" w:styleId="ListAlpha2">
    <w:name w:val="List Alpha 2"/>
    <w:basedOn w:val="List2"/>
    <w:rsid w:val="00CA2BEA"/>
    <w:pPr>
      <w:numPr>
        <w:numId w:val="6"/>
      </w:numPr>
    </w:pPr>
  </w:style>
  <w:style w:type="paragraph" w:styleId="List2">
    <w:name w:val="List 2"/>
    <w:basedOn w:val="BodyText"/>
    <w:rsid w:val="00CA2B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B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B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B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B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B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2BEA"/>
    <w:pPr>
      <w:numPr>
        <w:numId w:val="2"/>
      </w:numPr>
    </w:pPr>
  </w:style>
  <w:style w:type="paragraph" w:styleId="ListContinue2">
    <w:name w:val="List Continue 2"/>
    <w:basedOn w:val="List2"/>
    <w:rsid w:val="00CA2BEA"/>
    <w:pPr>
      <w:ind w:firstLine="0"/>
    </w:pPr>
  </w:style>
  <w:style w:type="paragraph" w:styleId="ListContinue3">
    <w:name w:val="List Continue 3"/>
    <w:basedOn w:val="List3"/>
    <w:rsid w:val="00CA2BEA"/>
    <w:pPr>
      <w:ind w:left="1021" w:firstLine="0"/>
    </w:pPr>
  </w:style>
  <w:style w:type="paragraph" w:styleId="ListContinue4">
    <w:name w:val="List Continue 4"/>
    <w:basedOn w:val="List4"/>
    <w:rsid w:val="00CA2BEA"/>
    <w:pPr>
      <w:ind w:firstLine="0"/>
    </w:pPr>
  </w:style>
  <w:style w:type="paragraph" w:styleId="ListContinue5">
    <w:name w:val="List Continue 5"/>
    <w:basedOn w:val="List5"/>
    <w:rsid w:val="00CA2BEA"/>
    <w:pPr>
      <w:ind w:firstLine="0"/>
    </w:pPr>
  </w:style>
  <w:style w:type="paragraph" w:styleId="ListNumber3">
    <w:name w:val="List Number 3"/>
    <w:basedOn w:val="List3"/>
    <w:rsid w:val="00CA2BEA"/>
    <w:pPr>
      <w:numPr>
        <w:numId w:val="3"/>
      </w:numPr>
    </w:pPr>
  </w:style>
  <w:style w:type="paragraph" w:styleId="ListNumber4">
    <w:name w:val="List Number 4"/>
    <w:basedOn w:val="List4"/>
    <w:rsid w:val="00CA2BEA"/>
    <w:pPr>
      <w:numPr>
        <w:numId w:val="4"/>
      </w:numPr>
    </w:pPr>
  </w:style>
  <w:style w:type="paragraph" w:styleId="ListNumber5">
    <w:name w:val="List Number 5"/>
    <w:basedOn w:val="List5"/>
    <w:rsid w:val="00CA2BEA"/>
    <w:pPr>
      <w:numPr>
        <w:numId w:val="5"/>
      </w:numPr>
    </w:pPr>
  </w:style>
  <w:style w:type="paragraph" w:styleId="BlockText">
    <w:name w:val="Block Text"/>
    <w:basedOn w:val="Normal"/>
    <w:rsid w:val="00CA2B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B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BEA"/>
    <w:rPr>
      <w:sz w:val="16"/>
      <w:vertAlign w:val="superscript"/>
    </w:rPr>
  </w:style>
  <w:style w:type="character" w:customStyle="1" w:styleId="Symbols">
    <w:name w:val="Symbols"/>
    <w:basedOn w:val="DefaultParagraphFont"/>
    <w:rsid w:val="00CA2BEA"/>
    <w:rPr>
      <w:rFonts w:ascii="Symbol" w:hAnsi="Symbol"/>
    </w:rPr>
  </w:style>
  <w:style w:type="character" w:customStyle="1" w:styleId="MenuOptions">
    <w:name w:val="Menu Options"/>
    <w:basedOn w:val="DefaultParagraphFont"/>
    <w:rsid w:val="00CA2B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BEA"/>
    <w:rPr>
      <w:b/>
    </w:rPr>
  </w:style>
  <w:style w:type="character" w:customStyle="1" w:styleId="Underlined">
    <w:name w:val="Underlined"/>
    <w:basedOn w:val="DefaultParagraphFont"/>
    <w:rsid w:val="00CA2BEA"/>
    <w:rPr>
      <w:u w:val="single"/>
    </w:rPr>
  </w:style>
  <w:style w:type="paragraph" w:customStyle="1" w:styleId="TableBodyTextRight">
    <w:name w:val="Table Body Text Right"/>
    <w:basedOn w:val="TableBodyText"/>
    <w:rsid w:val="00CA2B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BEA"/>
    <w:rPr>
      <w:sz w:val="18"/>
    </w:rPr>
  </w:style>
  <w:style w:type="paragraph" w:customStyle="1" w:styleId="BodySmallRight">
    <w:name w:val="Body Small Right"/>
    <w:basedOn w:val="BodyTextRight"/>
    <w:rsid w:val="00CA2BEA"/>
    <w:rPr>
      <w:sz w:val="18"/>
      <w:szCs w:val="18"/>
    </w:rPr>
  </w:style>
  <w:style w:type="paragraph" w:customStyle="1" w:styleId="MarginEdition">
    <w:name w:val="Margin Edition"/>
    <w:basedOn w:val="MarginNote"/>
    <w:rsid w:val="00CA2B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BEA"/>
    <w:rPr>
      <w:sz w:val="2"/>
      <w:szCs w:val="2"/>
    </w:rPr>
  </w:style>
  <w:style w:type="character" w:customStyle="1" w:styleId="Small">
    <w:name w:val="Small"/>
    <w:basedOn w:val="DefaultParagraphFont"/>
    <w:rsid w:val="00CA2BEA"/>
    <w:rPr>
      <w:sz w:val="16"/>
    </w:rPr>
  </w:style>
  <w:style w:type="paragraph" w:customStyle="1" w:styleId="WideTable">
    <w:name w:val="Wide Table"/>
    <w:basedOn w:val="Normal"/>
    <w:rsid w:val="00CA2B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BEA"/>
  </w:style>
  <w:style w:type="paragraph" w:styleId="Quote">
    <w:name w:val="Quote"/>
    <w:basedOn w:val="Heading1"/>
    <w:link w:val="QuoteChar"/>
    <w:qFormat/>
    <w:rsid w:val="00CA2B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B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BEA"/>
    <w:pPr>
      <w:pageBreakBefore/>
    </w:pPr>
  </w:style>
  <w:style w:type="paragraph" w:customStyle="1" w:styleId="Border">
    <w:name w:val="Border"/>
    <w:basedOn w:val="Normal"/>
    <w:qFormat/>
    <w:rsid w:val="00CA2B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B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B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B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B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B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B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B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BEA"/>
    <w:rPr>
      <w:u w:val="single"/>
    </w:rPr>
  </w:style>
  <w:style w:type="character" w:customStyle="1" w:styleId="BoldandItalics">
    <w:name w:val="Bold and Italics"/>
    <w:qFormat/>
    <w:rsid w:val="00CA2BEA"/>
    <w:rPr>
      <w:b/>
      <w:i/>
      <w:u w:val="none"/>
    </w:rPr>
  </w:style>
  <w:style w:type="paragraph" w:styleId="BalloonText">
    <w:name w:val="Balloon Text"/>
    <w:basedOn w:val="Normal"/>
    <w:link w:val="BalloonTextChar"/>
    <w:rsid w:val="00CA2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B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B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B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B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B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BEA"/>
    <w:pPr>
      <w:spacing w:before="0" w:after="0"/>
    </w:pPr>
  </w:style>
  <w:style w:type="paragraph" w:customStyle="1" w:styleId="BodyTextBold">
    <w:name w:val="Body Text Bold"/>
    <w:basedOn w:val="BodyText"/>
    <w:qFormat/>
    <w:rsid w:val="00CA2BEA"/>
    <w:rPr>
      <w:b/>
    </w:rPr>
  </w:style>
  <w:style w:type="character" w:styleId="Hyperlink">
    <w:name w:val="Hyperlink"/>
    <w:basedOn w:val="DefaultParagraphFont"/>
    <w:uiPriority w:val="99"/>
    <w:unhideWhenUsed/>
    <w:rsid w:val="00A77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4937</Characters>
  <Application>Microsoft Office Word</Application>
  <DocSecurity>0</DocSecurity>
  <Lines>235</Lines>
  <Paragraphs>119</Paragraphs>
  <ScaleCrop>false</ScaleCrop>
  <Company>Author-it Software Corporation Ltd.</Company>
  <LinksUpToDate>false</LinksUpToDate>
  <CharactersWithSpaces>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PUAEMR034 Establish and manage a recovery centre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2022-12-16T00:34:00Z</dcterms:created>
  <dcterms:modified xsi:type="dcterms:W3CDTF">2022-12-16T00:34:00Z</dcterms:modified>
</cp:coreProperties>
</file>