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F79" w:rsidP="00663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PUAEMR034 Establish and manage a recovery centre</w:t>
      </w:r>
      <w:r>
        <w:fldChar w:fldCharType="end"/>
      </w:r>
    </w:p>
    <w:p w:rsidR="00663F79" w:rsidP="00663F79">
      <w:pPr>
        <w:pStyle w:val="Version"/>
        <w:sectPr w:rsidSect="00C06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A74" w:rsidP="00C06A74">
      <w:pPr>
        <w:pStyle w:val="SuperHeading"/>
      </w:pPr>
      <w:r w:rsidRPr="00C06A74">
        <w:t>PUAEMR034 Establish and manage a recovery centre</w:t>
      </w:r>
    </w:p>
    <w:p w:rsidR="00000000" w:rsidRPr="00C06A74" w:rsidP="00C06A74">
      <w:pPr>
        <w:pStyle w:val="Heading1"/>
      </w:pPr>
      <w:bookmarkStart w:id="1" w:name="O_1153500"/>
      <w:bookmarkEnd w:id="1"/>
      <w:r w:rsidRPr="00C06A74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C06A74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Release 1.0</w:t>
            </w:r>
            <w:r w:rsidRPr="00C06A74">
              <w:t xml:space="preserve"> This is the first release of this unit of competency in the PUA Public Safety Training Package.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2" w:name="O_1153501"/>
      <w:bookmarkEnd w:id="2"/>
      <w:r w:rsidRPr="00C06A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This unit of competency involves the skills and knowledge required to establish and m</w:t>
            </w:r>
            <w:r w:rsidRPr="00C06A74">
              <w:t>anage a recovery centre to provide comprehensive recovery services. It includes establishing a recovery centre, managing human resources and physical resources, coordinating information flow and recovery services and managing recovery centre closure and tr</w:t>
            </w:r>
            <w:r w:rsidRPr="00C06A74">
              <w:t>ansition to mainstream services.</w:t>
            </w:r>
          </w:p>
          <w:p w:rsidR="00000000" w:rsidRPr="00C06A74" w:rsidP="00C06A74">
            <w:pPr>
              <w:pStyle w:val="BodyText"/>
            </w:pPr>
            <w:r w:rsidRPr="00C06A74">
              <w:t>The mix of recovery and/or outreach services provided may change throughout the life of a centre to reflect a changing emphasis from short term relief to long term recovery. This may involve management of centre infrastruct</w:t>
            </w:r>
            <w:r w:rsidRPr="00C06A74">
              <w:t xml:space="preserve">ure, promotion of the centre, management of personnel in a stressful environment, coordination of service providers and the management of administration, information and financial requirements.  </w:t>
            </w:r>
          </w:p>
          <w:p w:rsidR="00000000" w:rsidRPr="00C06A74" w:rsidP="00C06A74">
            <w:pPr>
              <w:pStyle w:val="BodyText"/>
            </w:pPr>
            <w:r w:rsidRPr="00C06A74">
              <w:t>The unit applies to personnel with responsibility for managi</w:t>
            </w:r>
            <w:r w:rsidRPr="00C06A74">
              <w:t>ng a recovery centre.</w:t>
            </w:r>
          </w:p>
          <w:p w:rsidR="00000000" w:rsidRPr="00C06A74" w:rsidP="00C06A74">
            <w:pPr>
              <w:pStyle w:val="BodyText"/>
            </w:pPr>
            <w:r w:rsidRPr="00C06A74">
              <w:t>No licensing, legislative or certification requirements apply to this unit at the time of publication.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3" w:name="O_1153502"/>
      <w:bookmarkEnd w:id="3"/>
      <w:r w:rsidRPr="00C06A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Not applicable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4" w:name="O_1153503"/>
      <w:bookmarkEnd w:id="4"/>
      <w:r w:rsidRPr="00C06A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Emergency Management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5" w:name="O_1153504"/>
      <w:bookmarkEnd w:id="5"/>
      <w:r w:rsidRPr="00C06A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Not applicable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6" w:name="O_1153505"/>
      <w:bookmarkEnd w:id="6"/>
      <w:r w:rsidRPr="00C06A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PERFORMANCE CRITERIA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Performance criteria describe the performance needed to demonstrate achievement of the element.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Establish recovery centre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Recovery plans, arrangements and procedures are </w:t>
            </w:r>
            <w:r w:rsidRPr="00C06A74">
              <w:t xml:space="preserve">located and implementation is agreed upon by entities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Recovery centre</w:t>
            </w:r>
            <w:r w:rsidRPr="00C06A74">
              <w:t xml:space="preserve"> useability is assessed in consultation with lead organisation, recovery coordinator and/or committee for scale of emergency and possible impacts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Initial resource needs for the recovery centre are assessed and suppliers are selected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Financial and administrative procedures and task delegations are clarified and approved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Links with existing and emerging entities are established in consultation with lead organisation, recovery coordinator and/or committee to determine the level of</w:t>
            </w:r>
            <w:r w:rsidRPr="00C06A74">
              <w:t xml:space="preserve"> involvement with the recovery centre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Regular communication with the recovery committee manager and entities is established and maintained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Centre layout is designed and/or organised to optimise efficiency, privacy, security and safety of personnel and the public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Manage human resources sustainably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Capacity and capability of available personnel is assessed and roles and responsibilities</w:t>
            </w:r>
            <w:r w:rsidRPr="00C06A74">
              <w:t xml:space="preserve"> are assigned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Regular operational briefings are provided to update personnel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Screening, inducting and integrating new personnel is established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Monitoring wellbeing within the recovery centre is implemented in accordance with organisat</w:t>
            </w:r>
            <w:r w:rsidRPr="00C06A74">
              <w:t>ional policies and procedures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Contingency plans and rosters for personnel are adjusted to meet changing needs and circumstances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Manage physical resources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Recovery centre assets register is established and maintained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Recovery centre maintenance is organised and regularly reviewed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Records of consumables and equipment used are maintained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Expenditure is tracked and administered in accordance </w:t>
            </w:r>
            <w:r w:rsidRPr="00C06A74">
              <w:t>with organisational financial procedures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Risks are regularly assessed and contingency plans are developed for expansion and back up of resources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Coordinate information flow on</w:t>
            </w:r>
            <w:r w:rsidRPr="00C06A74">
              <w:t xml:space="preserve"> </w:t>
            </w:r>
            <w:r w:rsidRPr="00C06A74">
              <w:rPr>
                <w:rStyle w:val="SpecialBold"/>
              </w:rPr>
              <w:t>recovery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Entities are identified and a communication plan is developed and distributed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Accurate an</w:t>
            </w:r>
            <w:r w:rsidRPr="00C06A74">
              <w:t>d timely service delivery information is provided to entities and the community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Community information is received, analysed and reported to the recovery coordinator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Key decisions, rationale and service activity levels are recorded to enable evaluation and reporting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Arrangements for the management of media and VIP visits are implemented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Manage recovery centre closure and transition to mainstream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Transition of recovery centre arrangements are negotiated and publicised to the community, lead organisation, entities, recovery coordinator and/or committee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Files and information records are verified, updated and retained, as required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Statistical and financial reporting of recovery services delivered is prepared and provided to relevant entities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Equipment and materials audit is undertaken against the recovery centre assets register, damages and losses are reported and resources </w:t>
            </w:r>
            <w:r w:rsidRPr="00C06A74">
              <w:t>are released or returned to providers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Operational debriefing is implemented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 xml:space="preserve">Arrangements to ensure smooth closure of the recovery centre are made in consultation with lead organisations, and agencies, recovery coordinator and/or committee </w:t>
            </w:r>
          </w:p>
        </w:tc>
      </w:tr>
      <w:tr w:rsidTr="00C06A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rPr>
                <w:rStyle w:val="SpecialBold"/>
              </w:rPr>
              <w:t>5.7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 xml:space="preserve">Evaluation report is completed on recovery service delivery and is provided to lead organisations and agencies 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7" w:name="O_1153506"/>
      <w:bookmarkEnd w:id="7"/>
      <w:r w:rsidRPr="00C06A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Foundation skills essential to performance are explicit in the performance criteria of this unit of competency.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8" w:name="O_1153507"/>
      <w:bookmarkEnd w:id="8"/>
      <w:r w:rsidRPr="00C06A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Range is restricted to essential operating conditions and any other variables essential to the work env</w:t>
            </w:r>
            <w:r w:rsidRPr="00C06A74">
              <w:t>ironment.</w:t>
            </w:r>
          </w:p>
          <w:p w:rsidR="00000000" w:rsidRPr="00C06A74" w:rsidP="00C06A74">
            <w:pPr>
              <w:pStyle w:val="BodyText"/>
            </w:pPr>
            <w:r w:rsidRPr="00C06A74">
              <w:t>Non-essential conditions may be found in the Companion Volume Implementation Guide.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9" w:name="O_1153508"/>
      <w:bookmarkEnd w:id="9"/>
      <w:r w:rsidRPr="00C06A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This unit replaces and is not equivalent to PUAEMR015 Establish and manage a recovery centre.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10" w:name="O_1153515"/>
      <w:bookmarkEnd w:id="10"/>
      <w:r w:rsidRPr="00C06A74">
        <w:t>Links</w:t>
      </w:r>
    </w:p>
    <w:p w:rsidR="00000000" w:rsidRPr="00C06A74" w:rsidP="00663F79">
      <w:pPr>
        <w:pStyle w:val="BodyText"/>
      </w:pPr>
      <w:r w:rsidRPr="00C06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101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06A74" w:rsidP="00663F79">
      <w:pPr>
        <w:pStyle w:val="BodyText"/>
        <w:sectPr w:rsidSect="00C06A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A74" w:rsidP="00C06A74">
      <w:pPr>
        <w:pStyle w:val="SuperHeading"/>
      </w:pPr>
      <w:r w:rsidRPr="00C06A74">
        <w:t xml:space="preserve">Assessment </w:t>
      </w:r>
      <w:r w:rsidRPr="00C06A74">
        <w:t>Requirements for PUAEMR034 Establish and manage a recovery centre</w:t>
      </w:r>
    </w:p>
    <w:p w:rsidR="00000000" w:rsidRPr="00C06A74" w:rsidP="00C06A74">
      <w:pPr>
        <w:pStyle w:val="Heading1"/>
      </w:pPr>
      <w:bookmarkStart w:id="11" w:name="O_1153510"/>
      <w:bookmarkEnd w:id="11"/>
      <w:r w:rsidRPr="00C06A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rPr>
                <w:rStyle w:val="SpecialBold"/>
              </w:rPr>
              <w:t>Release 1.0</w:t>
            </w:r>
            <w:r w:rsidRPr="00C06A74">
              <w:t xml:space="preserve"> This is the first release of this unit of competency in the PUA Public Safety Training Package.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12" w:name="O_1153511"/>
      <w:bookmarkEnd w:id="12"/>
      <w:r w:rsidRPr="00C06A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E</w:t>
            </w:r>
            <w:r w:rsidRPr="00C06A74">
              <w:t xml:space="preserve">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ListBullet"/>
            </w:pPr>
            <w:r w:rsidRPr="00C06A74">
              <w:t>analysing recovery centre financial reports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applying organisational policies and procedures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demonstrating decision making </w:t>
            </w:r>
          </w:p>
          <w:p w:rsidR="00000000" w:rsidRPr="00C06A74" w:rsidP="00C06A74">
            <w:pPr>
              <w:pStyle w:val="ListBullet"/>
            </w:pPr>
            <w:r w:rsidRPr="00C06A74">
              <w:t>establishing and managing a recovery centre including</w:t>
            </w:r>
          </w:p>
          <w:p w:rsidR="00000000" w:rsidRPr="00C06A74" w:rsidP="00C06A74">
            <w:pPr>
              <w:pStyle w:val="ListBullet2"/>
            </w:pPr>
            <w:r w:rsidRPr="00C06A74">
              <w:t>allocation and use of equipment</w:t>
            </w:r>
          </w:p>
          <w:p w:rsidR="00000000" w:rsidRPr="00C06A74" w:rsidP="00C06A74">
            <w:pPr>
              <w:pStyle w:val="ListBullet2"/>
            </w:pPr>
            <w:r w:rsidRPr="00C06A74">
              <w:t>appropriate layout of recovery centre and promotion of services</w:t>
            </w:r>
          </w:p>
          <w:p w:rsidR="00000000" w:rsidRPr="00C06A74" w:rsidP="00C06A74">
            <w:pPr>
              <w:pStyle w:val="ListBullet2"/>
            </w:pPr>
            <w:r w:rsidRPr="00C06A74">
              <w:t>daily operations</w:t>
            </w:r>
          </w:p>
          <w:p w:rsidR="00000000" w:rsidRPr="00C06A74" w:rsidP="00C06A74">
            <w:pPr>
              <w:pStyle w:val="ListBullet2"/>
            </w:pPr>
            <w:r w:rsidRPr="00C06A74">
              <w:t>evaluati</w:t>
            </w:r>
            <w:r w:rsidRPr="00C06A74">
              <w:t>ng delivery services</w:t>
            </w:r>
          </w:p>
          <w:p w:rsidR="00000000" w:rsidRPr="00C06A74" w:rsidP="00C06A74">
            <w:pPr>
              <w:pStyle w:val="ListBullet2"/>
            </w:pPr>
            <w:r w:rsidRPr="00C06A74">
              <w:t>maintaining accurate files and records</w:t>
            </w:r>
          </w:p>
          <w:p w:rsidR="00000000" w:rsidRPr="00C06A74" w:rsidP="00C06A74">
            <w:pPr>
              <w:pStyle w:val="ListBullet2"/>
            </w:pPr>
            <w:r w:rsidRPr="00C06A74">
              <w:t>monitoring and adjusting recovery services to suit changing needs</w:t>
            </w:r>
          </w:p>
          <w:p w:rsidR="00000000" w:rsidRPr="00C06A74" w:rsidP="00C06A74">
            <w:pPr>
              <w:pStyle w:val="ListBullet2"/>
            </w:pPr>
            <w:r w:rsidRPr="00C06A74">
              <w:t>recovery centre closure and transition to mainstream services</w:t>
            </w:r>
          </w:p>
          <w:p w:rsidR="00000000" w:rsidRPr="00C06A74" w:rsidP="00C06A74">
            <w:pPr>
              <w:pStyle w:val="ListBullet2"/>
            </w:pPr>
            <w:r w:rsidRPr="00C06A74">
              <w:t>resource management</w:t>
            </w:r>
          </w:p>
          <w:p w:rsidR="00000000" w:rsidRPr="00C06A74" w:rsidP="00C06A74">
            <w:pPr>
              <w:pStyle w:val="ListBullet2"/>
            </w:pPr>
            <w:r w:rsidRPr="00C06A74">
              <w:t>shortages of resources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implementing recovery plans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monitoring health and wellbeing of individuals within the recovery centre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undertaking briefings and debriefings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using interpersonal skills including diplomacy, tact, negotiation and conflict resolution  </w:t>
            </w:r>
          </w:p>
          <w:p w:rsidR="00000000" w:rsidRPr="00C06A74" w:rsidP="00C06A74">
            <w:pPr>
              <w:pStyle w:val="ListBullet"/>
            </w:pPr>
            <w:r w:rsidRPr="00C06A74">
              <w:t>working with competin</w:t>
            </w:r>
            <w:r w:rsidRPr="00C06A74">
              <w:t xml:space="preserve">g and conflicting priorities. 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13" w:name="O_1153512"/>
      <w:bookmarkEnd w:id="13"/>
      <w:r w:rsidRPr="00C06A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A74">
            <w:pPr>
              <w:pStyle w:val="BodyText"/>
              <w:rPr>
                <w:lang w:val="en-NZ"/>
              </w:rPr>
            </w:pPr>
            <w:r w:rsidRPr="00C06A7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ListBullet"/>
            </w:pPr>
            <w:r w:rsidRPr="00C06A74">
              <w:t>characteristics of similar emergency events including related impacts, recovery needs and possible issues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communication methods for individuals with diverse needs, perspectives and cultural backgrounds </w:t>
            </w:r>
          </w:p>
          <w:p w:rsidR="00000000" w:rsidRPr="00C06A74" w:rsidP="00C06A74">
            <w:pPr>
              <w:pStyle w:val="ListBullet"/>
            </w:pPr>
            <w:r w:rsidRPr="00C06A74">
              <w:t>communication strategies for promoting recovery centr</w:t>
            </w:r>
            <w:r w:rsidRPr="00C06A74">
              <w:t>e services</w:t>
            </w:r>
          </w:p>
          <w:p w:rsidR="00000000" w:rsidRPr="00C06A74" w:rsidP="00C06A74">
            <w:pPr>
              <w:pStyle w:val="ListBullet"/>
            </w:pPr>
            <w:r w:rsidRPr="00C06A74">
              <w:t>design and/or layout principles for recovery centres including essential equipment, systems, consumables and initial resource requirements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disaster recovery funding arrangements 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lessons management </w:t>
            </w:r>
          </w:p>
          <w:p w:rsidR="00000000" w:rsidRPr="00C06A74" w:rsidP="00C06A74">
            <w:pPr>
              <w:pStyle w:val="ListBullet"/>
            </w:pPr>
            <w:r w:rsidRPr="00C06A74">
              <w:t>organisational documentation, policies and pr</w:t>
            </w:r>
            <w:r w:rsidRPr="00C06A74">
              <w:t xml:space="preserve">ocedures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principles of recovery management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recovery frameworks </w:t>
            </w:r>
          </w:p>
          <w:p w:rsidR="00000000" w:rsidRPr="00C06A74" w:rsidP="00C06A74">
            <w:pPr>
              <w:pStyle w:val="ListBullet"/>
            </w:pPr>
            <w:r w:rsidRPr="00C06A74">
              <w:t>recovery plans and arrangements</w:t>
            </w:r>
          </w:p>
          <w:p w:rsidR="00000000" w:rsidRPr="00C06A74" w:rsidP="00C06A74">
            <w:pPr>
              <w:pStyle w:val="ListBullet"/>
            </w:pPr>
            <w:r w:rsidRPr="00C06A74">
              <w:t>reporting requirements for establishing and managing a recovery centre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specific needs and sensitivities of communities including cultural, language, religious, physical and dietary requirements. 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14" w:name="O_1153513"/>
      <w:bookmarkEnd w:id="14"/>
      <w:r w:rsidRPr="00C06A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6A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A74" w:rsidP="00C06A74">
            <w:pPr>
              <w:pStyle w:val="BodyText"/>
            </w:pPr>
            <w:r w:rsidRPr="00C06A74">
              <w:t>Assessors must hold credentials specified within the Standards for Registered Training O</w:t>
            </w:r>
            <w:r w:rsidRPr="00C06A74">
              <w:t xml:space="preserve">rganisations current at the time of assessment. </w:t>
            </w:r>
          </w:p>
          <w:p w:rsidR="00000000" w:rsidRPr="00C06A74" w:rsidP="00C06A74">
            <w:pPr>
              <w:pStyle w:val="BodyText"/>
            </w:pPr>
            <w:r w:rsidRPr="00C06A74">
              <w:t>Assessment must satisfy the Principles of Assessment and Rules of Evidence and all regulatory requirements included within the Standards for Registered Training Organisations current at the time of assessmen</w:t>
            </w:r>
            <w:r w:rsidRPr="00C06A74">
              <w:t xml:space="preserve">t. </w:t>
            </w:r>
          </w:p>
          <w:p w:rsidR="00000000" w:rsidRPr="00C06A74" w:rsidP="00C06A74">
            <w:pPr>
              <w:pStyle w:val="BodyText"/>
            </w:pPr>
            <w:r w:rsidRPr="00C06A74">
              <w:t>Assessment must occur in operational situations or in simulated operational training situations that reflect workplace conditions.</w:t>
            </w:r>
          </w:p>
          <w:p w:rsidR="00000000" w:rsidRPr="00C06A74" w:rsidP="00C06A74">
            <w:pPr>
              <w:pStyle w:val="BodyText"/>
            </w:pPr>
            <w:r w:rsidRPr="00C06A74">
              <w:t>Assessment processes and techniques must be appropriate to the language, literacy and numeracy requirements of the work b</w:t>
            </w:r>
            <w:r w:rsidRPr="00C06A74">
              <w:t>eing performed and the needs of the candidate.</w:t>
            </w:r>
          </w:p>
          <w:p w:rsidR="00000000" w:rsidRPr="00C06A74" w:rsidP="00C06A74">
            <w:pPr>
              <w:pStyle w:val="BodyText"/>
            </w:pPr>
            <w:r w:rsidRPr="00C06A74">
              <w:t>Resources for assessment must include access to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a range of exercises and/or case studies 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appropriate materials and equipment currently used in industry </w:t>
            </w:r>
          </w:p>
          <w:p w:rsidR="00000000" w:rsidRPr="00C06A74" w:rsidP="00C06A74">
            <w:pPr>
              <w:pStyle w:val="ListBullet"/>
            </w:pPr>
            <w:r w:rsidRPr="00C06A74">
              <w:t xml:space="preserve">applicable documentation including organisational procedures, standards, equipment specifications, regulations, codes of practice and operational manuals. </w:t>
            </w:r>
          </w:p>
        </w:tc>
      </w:tr>
    </w:tbl>
    <w:p w:rsidR="00000000" w:rsidRPr="00C06A74" w:rsidP="00C06A74">
      <w:pPr>
        <w:pStyle w:val="NoPaddingFontSize1"/>
      </w:pPr>
    </w:p>
    <w:p w:rsidR="00000000" w:rsidRPr="00C06A74" w:rsidP="00C06A74">
      <w:pPr>
        <w:pStyle w:val="AllowPageBreak"/>
      </w:pPr>
    </w:p>
    <w:p w:rsidR="00000000" w:rsidRPr="00C06A74" w:rsidP="00C06A74">
      <w:pPr>
        <w:pStyle w:val="Heading1"/>
      </w:pPr>
      <w:bookmarkStart w:id="15" w:name="O_1153516"/>
      <w:bookmarkEnd w:id="15"/>
      <w:r w:rsidRPr="00C06A74">
        <w:t>Links</w:t>
      </w:r>
    </w:p>
    <w:p w:rsidR="00000000" w:rsidRPr="00C06A74" w:rsidP="00663F79">
      <w:pPr>
        <w:pStyle w:val="BodyText"/>
      </w:pPr>
      <w:r w:rsidRPr="00C06A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3101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06A74" w:rsidP="00C06A74"/>
    <w:sectPr w:rsidSect="00C06A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 w:rsidRPr="00663F79" w:rsidP="00663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79" w:rsidP="00C06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63F79" w:rsidP="00C06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63F79" w:rsidP="00C06A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 w:rsidP="00C06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3F79">
      <w:t>Approved</w:t>
    </w:r>
    <w:r w:rsidR="00663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3F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3F79">
      <w:rPr>
        <w:noProof/>
      </w:rPr>
      <w:t>5</w:t>
    </w:r>
    <w:r>
      <w:rPr>
        <w:noProof/>
      </w:rPr>
      <w:fldChar w:fldCharType="end"/>
    </w:r>
  </w:p>
  <w:p w:rsidR="00C06A74" w:rsidP="00C06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3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3F79">
      <w:t>Public Skills Australia</w:t>
    </w:r>
    <w:r w:rsidR="00663F79">
      <w:fldChar w:fldCharType="end"/>
    </w:r>
  </w:p>
  <w:p w:rsidR="00C06A74" w:rsidP="00C06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A74" w:rsidRPr="00663F79" w:rsidP="00663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F79" w:rsidRPr="002D2AF8" w:rsidP="00C06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PUAEMR034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3F79" w:rsidP="00C06A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A74" w:rsidRPr="002D2AF8" w:rsidP="00C06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3F79">
      <w:t>PUAEMR034 Establish and manage a recovery centre</w:t>
    </w:r>
    <w:r w:rsidR="00663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3F79">
      <w:rPr>
        <w:noProof/>
      </w:rPr>
      <w:t>2 March 2025</w:t>
    </w:r>
    <w:r>
      <w:fldChar w:fldCharType="end"/>
    </w:r>
  </w:p>
  <w:p w:rsidR="00C06A74" w:rsidP="00C06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CCD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E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E21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A74"/>
  </w:style>
  <w:style w:type="character" w:customStyle="1" w:styleId="Heading1Char">
    <w:name w:val="Heading 1 Char"/>
    <w:basedOn w:val="DefaultParagraphFont"/>
    <w:link w:val="Heading1"/>
    <w:rsid w:val="00C06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A74"/>
    <w:rPr>
      <w:b/>
      <w:spacing w:val="0"/>
    </w:rPr>
  </w:style>
  <w:style w:type="paragraph" w:styleId="ListBullet2">
    <w:name w:val="List Bullet 2"/>
    <w:basedOn w:val="List2"/>
    <w:rsid w:val="00C06A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6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A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A74"/>
    <w:rPr>
      <w:i/>
    </w:rPr>
  </w:style>
  <w:style w:type="paragraph" w:styleId="Caption">
    <w:name w:val="caption"/>
    <w:basedOn w:val="BodyText"/>
    <w:next w:val="Normal"/>
    <w:qFormat/>
    <w:rsid w:val="00C06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A74"/>
  </w:style>
  <w:style w:type="paragraph" w:styleId="TableofFigures">
    <w:name w:val="table of figures"/>
    <w:basedOn w:val="Normal"/>
    <w:next w:val="Normal"/>
    <w:semiHidden/>
    <w:rsid w:val="00C06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A74"/>
    <w:rPr>
      <w:rFonts w:ascii="Wingdings" w:hAnsi="Wingdings"/>
    </w:rPr>
  </w:style>
  <w:style w:type="paragraph" w:customStyle="1" w:styleId="TableHeading">
    <w:name w:val="Table Heading"/>
    <w:basedOn w:val="HeadingBase"/>
    <w:rsid w:val="00C06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A74"/>
    <w:rPr>
      <w:color w:val="0033CC"/>
      <w:u w:val="none"/>
    </w:rPr>
  </w:style>
  <w:style w:type="paragraph" w:customStyle="1" w:styleId="BodyTextRight">
    <w:name w:val="Body Text Right"/>
    <w:basedOn w:val="BodyText"/>
    <w:rsid w:val="00C06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A74"/>
    <w:rPr>
      <w:sz w:val="32"/>
    </w:rPr>
  </w:style>
  <w:style w:type="paragraph" w:customStyle="1" w:styleId="HeadingProcedure">
    <w:name w:val="Heading Procedure"/>
    <w:basedOn w:val="HeadingBase"/>
    <w:next w:val="Normal"/>
    <w:rsid w:val="00C06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A74"/>
    <w:pPr>
      <w:spacing w:before="60" w:after="60"/>
    </w:pPr>
  </w:style>
  <w:style w:type="paragraph" w:styleId="ListContinue">
    <w:name w:val="List Continue"/>
    <w:basedOn w:val="List"/>
    <w:rsid w:val="00C06A74"/>
    <w:pPr>
      <w:ind w:firstLine="0"/>
    </w:pPr>
  </w:style>
  <w:style w:type="paragraph" w:customStyle="1" w:styleId="ListNote">
    <w:name w:val="List Note"/>
    <w:basedOn w:val="List"/>
    <w:rsid w:val="00C06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A74"/>
    <w:rPr>
      <w:rFonts w:ascii="Courier New" w:hAnsi="Courier New"/>
    </w:rPr>
  </w:style>
  <w:style w:type="paragraph" w:customStyle="1" w:styleId="NoteBullet">
    <w:name w:val="Note Bullet"/>
    <w:basedOn w:val="Note"/>
    <w:rsid w:val="00C06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A74"/>
    <w:rPr>
      <w:b/>
      <w:smallCaps/>
    </w:rPr>
  </w:style>
  <w:style w:type="paragraph" w:customStyle="1" w:styleId="TableListNumber">
    <w:name w:val="Table List Number"/>
    <w:basedOn w:val="ListNumber"/>
    <w:rsid w:val="00C06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A74"/>
    <w:pPr>
      <w:numPr>
        <w:numId w:val="9"/>
      </w:numPr>
    </w:pPr>
  </w:style>
  <w:style w:type="paragraph" w:customStyle="1" w:styleId="ListAlpha2">
    <w:name w:val="List Alpha 2"/>
    <w:basedOn w:val="List2"/>
    <w:rsid w:val="00C06A74"/>
    <w:pPr>
      <w:numPr>
        <w:numId w:val="8"/>
      </w:numPr>
    </w:pPr>
  </w:style>
  <w:style w:type="paragraph" w:styleId="List2">
    <w:name w:val="List 2"/>
    <w:basedOn w:val="BodyText"/>
    <w:rsid w:val="00C06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A74"/>
    <w:pPr>
      <w:numPr>
        <w:numId w:val="4"/>
      </w:numPr>
    </w:pPr>
  </w:style>
  <w:style w:type="paragraph" w:styleId="ListContinue2">
    <w:name w:val="List Continue 2"/>
    <w:basedOn w:val="List2"/>
    <w:rsid w:val="00C06A74"/>
    <w:pPr>
      <w:ind w:firstLine="0"/>
    </w:pPr>
  </w:style>
  <w:style w:type="paragraph" w:styleId="ListContinue3">
    <w:name w:val="List Continue 3"/>
    <w:basedOn w:val="List3"/>
    <w:rsid w:val="00C06A74"/>
    <w:pPr>
      <w:ind w:left="1021" w:firstLine="0"/>
    </w:pPr>
  </w:style>
  <w:style w:type="paragraph" w:styleId="ListContinue4">
    <w:name w:val="List Continue 4"/>
    <w:basedOn w:val="List4"/>
    <w:rsid w:val="00C06A74"/>
    <w:pPr>
      <w:ind w:firstLine="0"/>
    </w:pPr>
  </w:style>
  <w:style w:type="paragraph" w:styleId="ListContinue5">
    <w:name w:val="List Continue 5"/>
    <w:basedOn w:val="List5"/>
    <w:rsid w:val="00C06A74"/>
    <w:pPr>
      <w:ind w:firstLine="0"/>
    </w:pPr>
  </w:style>
  <w:style w:type="paragraph" w:styleId="ListNumber3">
    <w:name w:val="List Number 3"/>
    <w:basedOn w:val="List3"/>
    <w:rsid w:val="00C06A74"/>
    <w:pPr>
      <w:numPr>
        <w:numId w:val="5"/>
      </w:numPr>
    </w:pPr>
  </w:style>
  <w:style w:type="paragraph" w:styleId="ListNumber4">
    <w:name w:val="List Number 4"/>
    <w:basedOn w:val="List4"/>
    <w:rsid w:val="00C06A74"/>
    <w:pPr>
      <w:numPr>
        <w:numId w:val="6"/>
      </w:numPr>
    </w:pPr>
  </w:style>
  <w:style w:type="paragraph" w:styleId="ListNumber5">
    <w:name w:val="List Number 5"/>
    <w:basedOn w:val="List5"/>
    <w:rsid w:val="00C06A74"/>
    <w:pPr>
      <w:numPr>
        <w:numId w:val="7"/>
      </w:numPr>
    </w:pPr>
  </w:style>
  <w:style w:type="paragraph" w:styleId="BlockText">
    <w:name w:val="Block Text"/>
    <w:basedOn w:val="Normal"/>
    <w:rsid w:val="00C06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A74"/>
    <w:rPr>
      <w:sz w:val="16"/>
      <w:vertAlign w:val="superscript"/>
    </w:rPr>
  </w:style>
  <w:style w:type="character" w:customStyle="1" w:styleId="Symbols">
    <w:name w:val="Symbols"/>
    <w:basedOn w:val="DefaultParagraphFont"/>
    <w:rsid w:val="00C06A74"/>
    <w:rPr>
      <w:rFonts w:ascii="Symbol" w:hAnsi="Symbol"/>
    </w:rPr>
  </w:style>
  <w:style w:type="character" w:customStyle="1" w:styleId="MenuOptions">
    <w:name w:val="Menu Options"/>
    <w:basedOn w:val="DefaultParagraphFont"/>
    <w:rsid w:val="00C06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A74"/>
    <w:rPr>
      <w:b/>
    </w:rPr>
  </w:style>
  <w:style w:type="character" w:customStyle="1" w:styleId="Underlined">
    <w:name w:val="Underlined"/>
    <w:basedOn w:val="DefaultParagraphFont"/>
    <w:rsid w:val="00C06A74"/>
    <w:rPr>
      <w:u w:val="single"/>
    </w:rPr>
  </w:style>
  <w:style w:type="paragraph" w:customStyle="1" w:styleId="TableBodyTextRight">
    <w:name w:val="Table Body Text Right"/>
    <w:basedOn w:val="TableBodyText"/>
    <w:rsid w:val="00C06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A74"/>
    <w:rPr>
      <w:sz w:val="18"/>
    </w:rPr>
  </w:style>
  <w:style w:type="paragraph" w:customStyle="1" w:styleId="BodySmallRight">
    <w:name w:val="Body Small Right"/>
    <w:basedOn w:val="BodyTextRight"/>
    <w:rsid w:val="00C06A74"/>
    <w:rPr>
      <w:sz w:val="18"/>
      <w:szCs w:val="18"/>
    </w:rPr>
  </w:style>
  <w:style w:type="paragraph" w:customStyle="1" w:styleId="MarginEdition">
    <w:name w:val="Margin Edition"/>
    <w:basedOn w:val="MarginNote"/>
    <w:rsid w:val="00C06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A74"/>
    <w:rPr>
      <w:sz w:val="2"/>
      <w:szCs w:val="2"/>
    </w:rPr>
  </w:style>
  <w:style w:type="character" w:customStyle="1" w:styleId="Small">
    <w:name w:val="Small"/>
    <w:basedOn w:val="DefaultParagraphFont"/>
    <w:rsid w:val="00C06A74"/>
    <w:rPr>
      <w:sz w:val="16"/>
    </w:rPr>
  </w:style>
  <w:style w:type="paragraph" w:customStyle="1" w:styleId="WideTable">
    <w:name w:val="Wide Table"/>
    <w:basedOn w:val="Normal"/>
    <w:rsid w:val="00C06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A74"/>
  </w:style>
  <w:style w:type="paragraph" w:styleId="Quote">
    <w:name w:val="Quote"/>
    <w:basedOn w:val="Heading1"/>
    <w:link w:val="QuoteChar"/>
    <w:qFormat/>
    <w:rsid w:val="00C06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A74"/>
    <w:pPr>
      <w:pageBreakBefore/>
    </w:pPr>
  </w:style>
  <w:style w:type="paragraph" w:customStyle="1" w:styleId="Border">
    <w:name w:val="Border"/>
    <w:basedOn w:val="Normal"/>
    <w:qFormat/>
    <w:rsid w:val="00C06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A74"/>
    <w:rPr>
      <w:u w:val="single"/>
    </w:rPr>
  </w:style>
  <w:style w:type="character" w:customStyle="1" w:styleId="BoldandItalics">
    <w:name w:val="Bold and Italics"/>
    <w:qFormat/>
    <w:rsid w:val="00C06A74"/>
    <w:rPr>
      <w:b/>
      <w:i/>
      <w:u w:val="none"/>
    </w:rPr>
  </w:style>
  <w:style w:type="paragraph" w:styleId="BalloonText">
    <w:name w:val="Balloon Text"/>
    <w:basedOn w:val="Normal"/>
    <w:link w:val="BalloonTextChar"/>
    <w:rsid w:val="00C06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A74"/>
    <w:pPr>
      <w:spacing w:before="0" w:after="0"/>
    </w:pPr>
  </w:style>
  <w:style w:type="paragraph" w:customStyle="1" w:styleId="BodyTextBold">
    <w:name w:val="Body Text Bold"/>
    <w:basedOn w:val="BodyText"/>
    <w:qFormat/>
    <w:rsid w:val="00C06A74"/>
    <w:rPr>
      <w:b/>
    </w:rPr>
  </w:style>
  <w:style w:type="character" w:styleId="Hyperlink">
    <w:name w:val="Hyperlink"/>
    <w:basedOn w:val="DefaultParagraphFont"/>
    <w:uiPriority w:val="99"/>
    <w:unhideWhenUsed/>
    <w:rsid w:val="00663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7988</Characters>
  <Application>Microsoft Office Word</Application>
  <DocSecurity>0</DocSecurity>
  <Lines>319</Lines>
  <Paragraphs>173</Paragraphs>
  <ScaleCrop>false</ScaleCrop>
  <Company>Author-it Software Corporation Ltd.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PUAEMR034 Establish and manage a recovery centre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