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00B" w:rsidP="007760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PUAEMR021 Facilitate emergency planning processes</w:t>
      </w:r>
      <w:r>
        <w:fldChar w:fldCharType="end"/>
      </w:r>
    </w:p>
    <w:p w:rsidR="0077600B" w:rsidP="0077600B">
      <w:pPr>
        <w:pStyle w:val="Version"/>
        <w:sectPr w:rsidSect="00D77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B7A" w:rsidP="00D77B7A">
      <w:pPr>
        <w:pStyle w:val="SuperHeading"/>
      </w:pPr>
      <w:r w:rsidRPr="00D77B7A">
        <w:t>PUAEMR021 Facilitate emergency planning processes</w:t>
      </w:r>
    </w:p>
    <w:p w:rsidR="00000000" w:rsidRPr="00D77B7A" w:rsidP="00D77B7A">
      <w:pPr>
        <w:pStyle w:val="Heading1"/>
      </w:pPr>
      <w:bookmarkStart w:id="1" w:name="O_1024639"/>
      <w:bookmarkEnd w:id="1"/>
      <w:r w:rsidRPr="00D77B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rPr>
                <w:rStyle w:val="SpecialBold"/>
              </w:rPr>
              <w:t>Release 1.</w:t>
            </w:r>
            <w:r w:rsidRPr="00D77B7A">
              <w:t xml:space="preserve"> This is the first release of this unit of competency in the PUA Public Safety Training Package.</w:t>
            </w:r>
          </w:p>
        </w:tc>
      </w:tr>
    </w:tbl>
    <w:p w:rsidR="00000000" w:rsidRPr="00D77B7A" w:rsidP="00D77B7A">
      <w:pPr>
        <w:pStyle w:val="NoPaddingFontSize1"/>
      </w:pPr>
    </w:p>
    <w:p w:rsidR="00000000" w:rsidRPr="00D77B7A" w:rsidP="00D77B7A">
      <w:pPr>
        <w:pStyle w:val="AllowPageBreak"/>
      </w:pPr>
    </w:p>
    <w:p w:rsidR="00000000" w:rsidRPr="00D77B7A" w:rsidP="00D77B7A">
      <w:pPr>
        <w:pStyle w:val="Heading1"/>
      </w:pPr>
      <w:bookmarkStart w:id="2" w:name="O_1024640"/>
      <w:bookmarkEnd w:id="2"/>
      <w:r w:rsidRPr="00D77B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t xml:space="preserve">This unit of competency involves the skills and knowledge required to collaboratively </w:t>
            </w:r>
            <w:r w:rsidRPr="00D77B7A">
              <w:t>facilitate development of new or the revision of existing facility emergency response plans in a multi-organisational and community context. Such plans may focus on one or more aspects of emergency management such as prevention, preparedness, response and/</w:t>
            </w:r>
            <w:r w:rsidRPr="00D77B7A">
              <w:t>or recovery.</w:t>
            </w:r>
          </w:p>
          <w:p w:rsidR="00000000" w:rsidRPr="00D77B7A" w:rsidP="00D77B7A">
            <w:pPr>
              <w:pStyle w:val="BodyText"/>
            </w:pPr>
            <w:r w:rsidRPr="00D77B7A">
              <w:t xml:space="preserve">It includes establishing the facility emergency response planning context and framework, developing agreed planning processes and methodology and undertaking research and analysis for emergency management planning. It also includes developing </w:t>
            </w:r>
            <w:r w:rsidRPr="00D77B7A">
              <w:t>and refining emergency management planning outcomes, documenting the emergency plan and validating the plan.</w:t>
            </w:r>
          </w:p>
          <w:p w:rsidR="00000000" w:rsidRPr="00D77B7A" w:rsidP="00D77B7A">
            <w:pPr>
              <w:pStyle w:val="BodyText"/>
            </w:pPr>
            <w:r w:rsidRPr="00D77B7A">
              <w:t>The unit applies to personnel responsible for developing emergency management plans within or by local government, emergency services or government</w:t>
            </w:r>
            <w:r w:rsidRPr="00D77B7A">
              <w:t xml:space="preserve"> agencies and departments, event organisers, utilities, critical infrastructure or high occupancy buildings and service providers.</w:t>
            </w:r>
          </w:p>
          <w:p w:rsidR="00000000" w:rsidRPr="00D77B7A" w:rsidP="00D77B7A">
            <w:pPr>
              <w:pStyle w:val="BodyText"/>
            </w:pPr>
            <w:r w:rsidRPr="00D77B7A">
              <w:t>No licensing, legislative or certification requirements apply to this unit at the time of publication.</w:t>
            </w:r>
          </w:p>
        </w:tc>
      </w:tr>
    </w:tbl>
    <w:p w:rsidR="00000000" w:rsidRPr="00D77B7A" w:rsidP="00D77B7A">
      <w:pPr>
        <w:pStyle w:val="NoPaddingFontSize1"/>
      </w:pPr>
    </w:p>
    <w:p w:rsidR="00000000" w:rsidRPr="00D77B7A" w:rsidP="00D77B7A">
      <w:pPr>
        <w:pStyle w:val="AllowPageBreak"/>
      </w:pPr>
    </w:p>
    <w:p w:rsidR="00000000" w:rsidRPr="00D77B7A" w:rsidP="00D77B7A">
      <w:pPr>
        <w:pStyle w:val="Heading1"/>
      </w:pPr>
      <w:bookmarkStart w:id="3" w:name="O_1024641"/>
      <w:bookmarkEnd w:id="3"/>
      <w:r w:rsidRPr="00D77B7A">
        <w:t>P</w:t>
      </w:r>
      <w:r w:rsidRPr="00D77B7A">
        <w:t>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t>Not applicable</w:t>
            </w:r>
          </w:p>
        </w:tc>
      </w:tr>
    </w:tbl>
    <w:p w:rsidR="00000000" w:rsidRPr="00D77B7A" w:rsidP="00D77B7A">
      <w:pPr>
        <w:pStyle w:val="NoPaddingFontSize1"/>
      </w:pPr>
    </w:p>
    <w:p w:rsidR="00000000" w:rsidRPr="00D77B7A" w:rsidP="00D77B7A">
      <w:pPr>
        <w:pStyle w:val="AllowPageBreak"/>
      </w:pPr>
    </w:p>
    <w:p w:rsidR="00000000" w:rsidRPr="00D77B7A" w:rsidP="00D77B7A">
      <w:pPr>
        <w:pStyle w:val="Heading1"/>
      </w:pPr>
      <w:bookmarkStart w:id="4" w:name="O_1024642"/>
      <w:bookmarkEnd w:id="4"/>
      <w:r w:rsidRPr="00D77B7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t>Emergency Management</w:t>
            </w:r>
          </w:p>
        </w:tc>
      </w:tr>
    </w:tbl>
    <w:p w:rsidR="00000000" w:rsidRPr="00D77B7A" w:rsidP="00D77B7A">
      <w:pPr>
        <w:pStyle w:val="NoPaddingFontSize1"/>
      </w:pPr>
    </w:p>
    <w:p w:rsidR="00000000" w:rsidRPr="00D77B7A" w:rsidP="00D77B7A">
      <w:pPr>
        <w:pStyle w:val="AllowPageBreak"/>
      </w:pPr>
    </w:p>
    <w:p w:rsidR="00000000" w:rsidRPr="00D77B7A" w:rsidP="00D77B7A">
      <w:pPr>
        <w:pStyle w:val="Heading1"/>
      </w:pPr>
      <w:bookmarkStart w:id="5" w:name="O_1024643"/>
      <w:bookmarkEnd w:id="5"/>
      <w:r w:rsidRPr="00D77B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t>Not applicable</w:t>
            </w:r>
          </w:p>
        </w:tc>
      </w:tr>
    </w:tbl>
    <w:p w:rsidR="00000000" w:rsidRPr="00D77B7A" w:rsidP="00D77B7A">
      <w:pPr>
        <w:pStyle w:val="NoPaddingFontSize1"/>
      </w:pPr>
    </w:p>
    <w:p w:rsidR="00000000" w:rsidRPr="00D77B7A" w:rsidP="00D77B7A">
      <w:pPr>
        <w:pStyle w:val="AllowPageBreak"/>
      </w:pPr>
    </w:p>
    <w:p w:rsidR="00000000" w:rsidRPr="00D77B7A" w:rsidP="00D77B7A">
      <w:pPr>
        <w:pStyle w:val="Heading1"/>
      </w:pPr>
      <w:bookmarkStart w:id="6" w:name="O_1024644"/>
      <w:bookmarkEnd w:id="6"/>
      <w:r w:rsidRPr="00D77B7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PERFORMANCE CRITERIA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Performance criteria describe the performance needed to demonstrate achievement of the element.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rPr>
                <w:rStyle w:val="SpecialBold"/>
              </w:rPr>
              <w:t>Establish emergency planning context and framework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Authority to plan is confirmed with reference to legislation, organisational direction, community or managerial agreement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Planning environment is clarified by analysing emergency management planning drivers and risk assessments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Considerations impacting planning frameworks are identified and analysed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Stakeholders, their potential interests, sensitivities, roles and responsibilities are identified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 xml:space="preserve">Planning team is established with an appropriate balance of expertise, </w:t>
            </w:r>
            <w:r w:rsidRPr="00D77B7A">
              <w:t>stakeholder representation and authority to achieve desired outcomes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Emergency management plan aims, objectives and governance framework are developed and refined with stakeholders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rPr>
                <w:rStyle w:val="SpecialBold"/>
              </w:rPr>
              <w:t>Develop agreed planning processes and methodology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A project s</w:t>
            </w:r>
            <w:r w:rsidRPr="00D77B7A">
              <w:t>cope is developed considering emergency management planning constraints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 xml:space="preserve">Processes for negotiating outcomes, key performance indicators, information management, reporting, accountability and decision making strategies are developed </w:t>
            </w:r>
            <w:r w:rsidRPr="00D77B7A">
              <w:t xml:space="preserve">and agreed, in accordance with organisational procedures 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Consultation and communication plans are developed and implemented, in accordance with organisational procedures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Sources of expertise are identified to contribute specialised informati</w:t>
            </w:r>
            <w:r w:rsidRPr="00D77B7A">
              <w:t>on and analysis to the planning process, as required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A project plan is prepared and approved, in consultation with stakeholders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rPr>
                <w:rStyle w:val="SpecialBold"/>
              </w:rPr>
              <w:t>Undertake research and analysis for facility emergency response planning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Plan is regularly reviewed in response to latest information, changes in resources and planning environments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 xml:space="preserve">Appropriate research tools and consultation strategies </w:t>
            </w:r>
            <w:r w:rsidRPr="00D77B7A">
              <w:t>for facility emergency response planning are chosen, in accordance with organisationa</w:t>
            </w:r>
            <w:r w:rsidRPr="00D77B7A">
              <w:t>l procedures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Body of community information and risks and safety expectations are obtained from credible facility emergency management sources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Emergency management strategies are assessed to address vulnerability of communities and environment</w:t>
            </w:r>
            <w:r w:rsidRPr="00D77B7A">
              <w:t>s by analysing risk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The plan</w:t>
            </w:r>
            <w:r>
              <w:t>’</w:t>
            </w:r>
            <w:r w:rsidRPr="00D77B7A">
              <w:t>s role as an appropriate risk treatment is confirmed with relevant personnel, in accordance with organisational procedures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rPr>
                <w:rStyle w:val="SpecialBold"/>
              </w:rPr>
              <w:t>Develop</w:t>
            </w:r>
            <w:r w:rsidRPr="00D77B7A">
              <w:t xml:space="preserve"> </w:t>
            </w:r>
            <w:r w:rsidRPr="00D77B7A">
              <w:rPr>
                <w:rStyle w:val="SpecialBold"/>
              </w:rPr>
              <w:t>and refine emergency management planning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Emergency management arrangements are developed and reviewed to identify gaps or duplication in roles and responsibilities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Emergency management strategies and responsibilities are identified and confirmed, in consultation with stakeholders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Br</w:t>
            </w:r>
            <w:r w:rsidRPr="00D77B7A">
              <w:t>oad categories and types of resources and services required, including potential critical shortfalls, are identified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Financial and contractual arrangements for accessing or acquiring resources and services, are developed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Arrangements for the command, control and coordination of facility emergency response or recovery are addressed in the plan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Contingencies to address potential problems are developed with relevant organisations and service providers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 xml:space="preserve">Community </w:t>
            </w:r>
            <w:r w:rsidRPr="00D77B7A">
              <w:t>and organisational implications of new or revised emergency management plans are identified, in consultation with stakeholders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rPr>
                <w:rStyle w:val="SpecialBold"/>
              </w:rPr>
              <w:t>Document emergency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Emergency management plan is reviewed and documented, in consultation with stakeholders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Plan is prepared, in accordance with organisational procedures and industry standards, consistent with broader jurisdictional emergency management arrangements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Clear and concise language appropriate for stakeholders and community is used in document</w:t>
            </w:r>
            <w:r w:rsidRPr="00D77B7A">
              <w:t>ation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Planning records, supporting documentation and contact information are maintained, in accordance with organisational procedures and industry standards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rPr>
                <w:rStyle w:val="SpecialBold"/>
              </w:rPr>
              <w:t>Validate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Maintenance and audit schedules are implemented, in consultation with r</w:t>
            </w:r>
            <w:r w:rsidRPr="00D77B7A">
              <w:t>elevant personnel and stakeholders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t>Outcomes of the review are used to refine plan, in consultation with stakeholders</w:t>
            </w:r>
          </w:p>
        </w:tc>
      </w:tr>
      <w:tr w:rsidTr="00D77B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7A">
            <w:pPr>
              <w:pStyle w:val="BodyText"/>
              <w:rPr>
                <w:lang w:val="en-NZ"/>
              </w:rPr>
            </w:pPr>
            <w:r w:rsidRPr="00D77B7A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t>Conduct an exercise to test emergency management plan effectiveness</w:t>
            </w:r>
          </w:p>
        </w:tc>
      </w:tr>
    </w:tbl>
    <w:p w:rsidR="00000000" w:rsidRPr="00D77B7A" w:rsidP="00D77B7A">
      <w:pPr>
        <w:pStyle w:val="NoPaddingFontSize1"/>
      </w:pPr>
    </w:p>
    <w:p w:rsidR="00000000" w:rsidRPr="00D77B7A" w:rsidP="00D77B7A">
      <w:pPr>
        <w:pStyle w:val="AllowPageBreak"/>
      </w:pPr>
    </w:p>
    <w:p w:rsidR="00000000" w:rsidRPr="00D77B7A" w:rsidP="00D77B7A">
      <w:pPr>
        <w:pStyle w:val="Heading1"/>
      </w:pPr>
      <w:bookmarkStart w:id="7" w:name="O_1024645"/>
      <w:bookmarkEnd w:id="7"/>
      <w:r w:rsidRPr="00D77B7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t>Foundation skills essential to performance are explicit in the performance criteria of this unit of competency.</w:t>
            </w:r>
          </w:p>
        </w:tc>
      </w:tr>
    </w:tbl>
    <w:p w:rsidR="00000000" w:rsidRPr="00D77B7A" w:rsidP="00D77B7A">
      <w:pPr>
        <w:pStyle w:val="NoPaddingFontSize1"/>
      </w:pPr>
    </w:p>
    <w:p w:rsidR="00000000" w:rsidRPr="00D77B7A" w:rsidP="00D77B7A">
      <w:pPr>
        <w:pStyle w:val="AllowPageBreak"/>
      </w:pPr>
    </w:p>
    <w:p w:rsidR="00000000" w:rsidRPr="00D77B7A" w:rsidP="00D77B7A">
      <w:pPr>
        <w:pStyle w:val="Heading1"/>
      </w:pPr>
      <w:bookmarkStart w:id="8" w:name="O_1024646"/>
      <w:bookmarkEnd w:id="8"/>
      <w:r w:rsidRPr="00D77B7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t>Range is restricted to essential operating conditions and any other variables essential to the work env</w:t>
            </w:r>
            <w:r w:rsidRPr="00D77B7A">
              <w:t>ironment.</w:t>
            </w:r>
          </w:p>
          <w:p w:rsidR="00000000" w:rsidRPr="00D77B7A" w:rsidP="00D77B7A">
            <w:pPr>
              <w:pStyle w:val="BodyText"/>
            </w:pPr>
            <w:r w:rsidRPr="00D77B7A">
              <w:t>Non-essential conditions may be found in the Companion Volume Implementation Guide.</w:t>
            </w:r>
          </w:p>
        </w:tc>
      </w:tr>
    </w:tbl>
    <w:p w:rsidR="00000000" w:rsidRPr="00D77B7A" w:rsidP="00D77B7A">
      <w:pPr>
        <w:pStyle w:val="NoPaddingFontSize1"/>
      </w:pPr>
    </w:p>
    <w:p w:rsidR="00000000" w:rsidRPr="00D77B7A" w:rsidP="00D77B7A">
      <w:pPr>
        <w:pStyle w:val="AllowPageBreak"/>
      </w:pPr>
    </w:p>
    <w:p w:rsidR="00000000" w:rsidRPr="00D77B7A" w:rsidP="00D77B7A">
      <w:pPr>
        <w:pStyle w:val="Heading1"/>
      </w:pPr>
      <w:bookmarkStart w:id="9" w:name="O_1024647"/>
      <w:bookmarkEnd w:id="9"/>
      <w:r w:rsidRPr="00D77B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B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7A" w:rsidP="00D77B7A">
            <w:pPr>
              <w:pStyle w:val="BodyText"/>
            </w:pPr>
            <w:r w:rsidRPr="00D77B7A">
              <w:t>This unit replaces and is equivalent to PUAEMR021A Facilitate emergency planning processes.</w:t>
            </w:r>
          </w:p>
        </w:tc>
      </w:tr>
    </w:tbl>
    <w:p w:rsidR="00000000" w:rsidRPr="00D77B7A" w:rsidP="00D77B7A">
      <w:pPr>
        <w:pStyle w:val="NoPaddingFontSize1"/>
      </w:pPr>
    </w:p>
    <w:p w:rsidR="00000000" w:rsidRPr="00D77B7A" w:rsidP="00D77B7A">
      <w:pPr>
        <w:pStyle w:val="AllowPageBreak"/>
      </w:pPr>
    </w:p>
    <w:p w:rsidR="00000000" w:rsidRPr="00D77B7A" w:rsidP="00D77B7A">
      <w:pPr>
        <w:pStyle w:val="Heading1"/>
      </w:pPr>
      <w:bookmarkStart w:id="10" w:name="O_1024654"/>
      <w:bookmarkEnd w:id="10"/>
      <w:r w:rsidRPr="00D77B7A">
        <w:t>Links</w:t>
      </w:r>
    </w:p>
    <w:p w:rsidR="00000000" w:rsidRPr="00D77B7A" w:rsidP="0077600B">
      <w:pPr>
        <w:pStyle w:val="BodyText"/>
      </w:pPr>
      <w:r w:rsidRPr="00D77B7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56B7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77B7A" w:rsidP="00D77B7A"/>
    <w:sectPr w:rsidSect="00D77B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7A" w:rsidRPr="0077600B" w:rsidP="007760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0B" w:rsidP="00D77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00B" w:rsidP="00D77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600B" w:rsidP="00D77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B7A" w:rsidRPr="0077600B" w:rsidP="007760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0B" w:rsidRPr="002D2AF8" w:rsidP="00D77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PUAEMR021 Facilitate emergency planning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77600B" w:rsidP="00D77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B7A"/>
  </w:style>
  <w:style w:type="character" w:customStyle="1" w:styleId="Heading1Char">
    <w:name w:val="Heading 1 Char"/>
    <w:basedOn w:val="DefaultParagraphFont"/>
    <w:link w:val="Heading1"/>
    <w:rsid w:val="00D77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B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7B7A"/>
    <w:rPr>
      <w:b/>
      <w:spacing w:val="0"/>
    </w:rPr>
  </w:style>
  <w:style w:type="paragraph" w:customStyle="1" w:styleId="SuperHeading">
    <w:name w:val="SuperHeading"/>
    <w:basedOn w:val="Normal"/>
    <w:rsid w:val="00D77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7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B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B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B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7B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7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7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7B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7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B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7B7A"/>
    <w:rPr>
      <w:i/>
    </w:rPr>
  </w:style>
  <w:style w:type="paragraph" w:styleId="Caption">
    <w:name w:val="caption"/>
    <w:basedOn w:val="BodyText"/>
    <w:next w:val="Normal"/>
    <w:qFormat/>
    <w:rsid w:val="00D77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B7A"/>
  </w:style>
  <w:style w:type="paragraph" w:styleId="TableofFigures">
    <w:name w:val="table of figures"/>
    <w:basedOn w:val="Normal"/>
    <w:next w:val="Normal"/>
    <w:semiHidden/>
    <w:rsid w:val="00D77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B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7B7A"/>
    <w:rPr>
      <w:rFonts w:ascii="Wingdings" w:hAnsi="Wingdings"/>
    </w:rPr>
  </w:style>
  <w:style w:type="paragraph" w:customStyle="1" w:styleId="TableHeading">
    <w:name w:val="Table Heading"/>
    <w:basedOn w:val="HeadingBase"/>
    <w:rsid w:val="00D77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B7A"/>
    <w:rPr>
      <w:color w:val="0033CC"/>
      <w:u w:val="none"/>
    </w:rPr>
  </w:style>
  <w:style w:type="paragraph" w:customStyle="1" w:styleId="BodyTextRight">
    <w:name w:val="Body Text Right"/>
    <w:basedOn w:val="BodyText"/>
    <w:rsid w:val="00D77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B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B7A"/>
    <w:rPr>
      <w:sz w:val="32"/>
    </w:rPr>
  </w:style>
  <w:style w:type="paragraph" w:customStyle="1" w:styleId="HeadingProcedure">
    <w:name w:val="Heading Procedure"/>
    <w:basedOn w:val="HeadingBase"/>
    <w:next w:val="Normal"/>
    <w:rsid w:val="00D77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B7A"/>
    <w:pPr>
      <w:spacing w:before="60" w:after="60"/>
    </w:pPr>
  </w:style>
  <w:style w:type="paragraph" w:styleId="ListContinue">
    <w:name w:val="List Continue"/>
    <w:basedOn w:val="List"/>
    <w:rsid w:val="00D77B7A"/>
    <w:pPr>
      <w:ind w:firstLine="0"/>
    </w:pPr>
  </w:style>
  <w:style w:type="paragraph" w:customStyle="1" w:styleId="ListNote">
    <w:name w:val="List Note"/>
    <w:basedOn w:val="List"/>
    <w:rsid w:val="00D77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B7A"/>
    <w:rPr>
      <w:rFonts w:ascii="Courier New" w:hAnsi="Courier New"/>
    </w:rPr>
  </w:style>
  <w:style w:type="paragraph" w:customStyle="1" w:styleId="NoteBullet">
    <w:name w:val="Note Bullet"/>
    <w:basedOn w:val="Note"/>
    <w:rsid w:val="00D77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B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7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B7A"/>
    <w:rPr>
      <w:b/>
      <w:smallCaps/>
    </w:rPr>
  </w:style>
  <w:style w:type="paragraph" w:customStyle="1" w:styleId="TableListNumber">
    <w:name w:val="Table List Number"/>
    <w:basedOn w:val="ListNumber"/>
    <w:rsid w:val="00D77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B7A"/>
    <w:pPr>
      <w:numPr>
        <w:numId w:val="7"/>
      </w:numPr>
    </w:pPr>
  </w:style>
  <w:style w:type="paragraph" w:customStyle="1" w:styleId="ListAlpha2">
    <w:name w:val="List Alpha 2"/>
    <w:basedOn w:val="List2"/>
    <w:rsid w:val="00D77B7A"/>
    <w:pPr>
      <w:numPr>
        <w:numId w:val="6"/>
      </w:numPr>
    </w:pPr>
  </w:style>
  <w:style w:type="paragraph" w:styleId="List2">
    <w:name w:val="List 2"/>
    <w:basedOn w:val="BodyText"/>
    <w:rsid w:val="00D77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B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B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7B7A"/>
    <w:pPr>
      <w:numPr>
        <w:numId w:val="2"/>
      </w:numPr>
    </w:pPr>
  </w:style>
  <w:style w:type="paragraph" w:styleId="ListContinue2">
    <w:name w:val="List Continue 2"/>
    <w:basedOn w:val="List2"/>
    <w:rsid w:val="00D77B7A"/>
    <w:pPr>
      <w:ind w:firstLine="0"/>
    </w:pPr>
  </w:style>
  <w:style w:type="paragraph" w:styleId="ListContinue3">
    <w:name w:val="List Continue 3"/>
    <w:basedOn w:val="List3"/>
    <w:rsid w:val="00D77B7A"/>
    <w:pPr>
      <w:ind w:left="1021" w:firstLine="0"/>
    </w:pPr>
  </w:style>
  <w:style w:type="paragraph" w:styleId="ListContinue4">
    <w:name w:val="List Continue 4"/>
    <w:basedOn w:val="List4"/>
    <w:rsid w:val="00D77B7A"/>
    <w:pPr>
      <w:ind w:firstLine="0"/>
    </w:pPr>
  </w:style>
  <w:style w:type="paragraph" w:styleId="ListContinue5">
    <w:name w:val="List Continue 5"/>
    <w:basedOn w:val="List5"/>
    <w:rsid w:val="00D77B7A"/>
    <w:pPr>
      <w:ind w:firstLine="0"/>
    </w:pPr>
  </w:style>
  <w:style w:type="paragraph" w:styleId="ListNumber3">
    <w:name w:val="List Number 3"/>
    <w:basedOn w:val="List3"/>
    <w:rsid w:val="00D77B7A"/>
    <w:pPr>
      <w:numPr>
        <w:numId w:val="3"/>
      </w:numPr>
    </w:pPr>
  </w:style>
  <w:style w:type="paragraph" w:styleId="ListNumber4">
    <w:name w:val="List Number 4"/>
    <w:basedOn w:val="List4"/>
    <w:rsid w:val="00D77B7A"/>
    <w:pPr>
      <w:numPr>
        <w:numId w:val="4"/>
      </w:numPr>
    </w:pPr>
  </w:style>
  <w:style w:type="paragraph" w:styleId="ListNumber5">
    <w:name w:val="List Number 5"/>
    <w:basedOn w:val="List5"/>
    <w:rsid w:val="00D77B7A"/>
    <w:pPr>
      <w:numPr>
        <w:numId w:val="5"/>
      </w:numPr>
    </w:pPr>
  </w:style>
  <w:style w:type="paragraph" w:styleId="BlockText">
    <w:name w:val="Block Text"/>
    <w:basedOn w:val="Normal"/>
    <w:rsid w:val="00D77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B7A"/>
    <w:rPr>
      <w:sz w:val="16"/>
      <w:vertAlign w:val="superscript"/>
    </w:rPr>
  </w:style>
  <w:style w:type="character" w:customStyle="1" w:styleId="Symbols">
    <w:name w:val="Symbols"/>
    <w:basedOn w:val="DefaultParagraphFont"/>
    <w:rsid w:val="00D77B7A"/>
    <w:rPr>
      <w:rFonts w:ascii="Symbol" w:hAnsi="Symbol"/>
    </w:rPr>
  </w:style>
  <w:style w:type="character" w:customStyle="1" w:styleId="MenuOptions">
    <w:name w:val="Menu Options"/>
    <w:basedOn w:val="DefaultParagraphFont"/>
    <w:rsid w:val="00D77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B7A"/>
    <w:rPr>
      <w:b/>
    </w:rPr>
  </w:style>
  <w:style w:type="character" w:customStyle="1" w:styleId="Underlined">
    <w:name w:val="Underlined"/>
    <w:basedOn w:val="DefaultParagraphFont"/>
    <w:rsid w:val="00D77B7A"/>
    <w:rPr>
      <w:u w:val="single"/>
    </w:rPr>
  </w:style>
  <w:style w:type="paragraph" w:customStyle="1" w:styleId="TableBodyTextRight">
    <w:name w:val="Table Body Text Right"/>
    <w:basedOn w:val="TableBodyText"/>
    <w:rsid w:val="00D77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B7A"/>
    <w:rPr>
      <w:sz w:val="18"/>
    </w:rPr>
  </w:style>
  <w:style w:type="paragraph" w:customStyle="1" w:styleId="BodySmallRight">
    <w:name w:val="Body Small Right"/>
    <w:basedOn w:val="BodyTextRight"/>
    <w:rsid w:val="00D77B7A"/>
    <w:rPr>
      <w:sz w:val="18"/>
      <w:szCs w:val="18"/>
    </w:rPr>
  </w:style>
  <w:style w:type="paragraph" w:customStyle="1" w:styleId="MarginEdition">
    <w:name w:val="Margin Edition"/>
    <w:basedOn w:val="MarginNote"/>
    <w:rsid w:val="00D77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B7A"/>
    <w:rPr>
      <w:sz w:val="2"/>
      <w:szCs w:val="2"/>
    </w:rPr>
  </w:style>
  <w:style w:type="character" w:customStyle="1" w:styleId="Small">
    <w:name w:val="Small"/>
    <w:basedOn w:val="DefaultParagraphFont"/>
    <w:rsid w:val="00D77B7A"/>
    <w:rPr>
      <w:sz w:val="16"/>
    </w:rPr>
  </w:style>
  <w:style w:type="paragraph" w:customStyle="1" w:styleId="WideTable">
    <w:name w:val="Wide Table"/>
    <w:basedOn w:val="Normal"/>
    <w:rsid w:val="00D77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B7A"/>
  </w:style>
  <w:style w:type="paragraph" w:styleId="Quote">
    <w:name w:val="Quote"/>
    <w:basedOn w:val="Heading1"/>
    <w:link w:val="QuoteChar"/>
    <w:qFormat/>
    <w:rsid w:val="00D77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B7A"/>
    <w:pPr>
      <w:pageBreakBefore/>
    </w:pPr>
  </w:style>
  <w:style w:type="paragraph" w:customStyle="1" w:styleId="Border">
    <w:name w:val="Border"/>
    <w:basedOn w:val="Normal"/>
    <w:qFormat/>
    <w:rsid w:val="00D77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B7A"/>
    <w:rPr>
      <w:u w:val="single"/>
    </w:rPr>
  </w:style>
  <w:style w:type="character" w:customStyle="1" w:styleId="BoldandItalics">
    <w:name w:val="Bold and Italics"/>
    <w:qFormat/>
    <w:rsid w:val="00D77B7A"/>
    <w:rPr>
      <w:b/>
      <w:i/>
      <w:u w:val="none"/>
    </w:rPr>
  </w:style>
  <w:style w:type="paragraph" w:styleId="BalloonText">
    <w:name w:val="Balloon Text"/>
    <w:basedOn w:val="Normal"/>
    <w:link w:val="BalloonTextChar"/>
    <w:rsid w:val="00D77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B7A"/>
    <w:pPr>
      <w:spacing w:before="0" w:after="0"/>
    </w:pPr>
  </w:style>
  <w:style w:type="paragraph" w:customStyle="1" w:styleId="BodyTextBold">
    <w:name w:val="Body Text Bold"/>
    <w:basedOn w:val="BodyText"/>
    <w:qFormat/>
    <w:rsid w:val="00D77B7A"/>
    <w:rPr>
      <w:b/>
    </w:rPr>
  </w:style>
  <w:style w:type="character" w:styleId="Hyperlink">
    <w:name w:val="Hyperlink"/>
    <w:basedOn w:val="DefaultParagraphFont"/>
    <w:uiPriority w:val="99"/>
    <w:unhideWhenUsed/>
    <w:rsid w:val="007760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5612</Characters>
  <Application>Microsoft Office Word</Application>
  <DocSecurity>0</DocSecurity>
  <Lines>267</Lines>
  <Paragraphs>121</Paragraphs>
  <ScaleCrop>false</ScaleCrop>
  <Company>Author-it Software Corporation Ltd.</Company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PUAEMR021 Facilitate emergency planning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2020-12-17T22:36:00Z</dcterms:created>
  <dcterms:modified xsi:type="dcterms:W3CDTF">2020-12-17T22:36:00Z</dcterms:modified>
</cp:coreProperties>
</file>