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A807F7" w:rsidP="00A807F7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PUAEMR019 Contribute to an emergency management process</w:t>
      </w:r>
      <w:r>
        <w:fldChar w:fldCharType="end"/>
      </w:r>
    </w:p>
    <w:p w:rsidR="00A807F7" w:rsidP="00A807F7">
      <w:pPr>
        <w:pStyle w:val="Version"/>
        <w:sectPr w:rsidSect="00B015D8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B015D8" w:rsidP="00B015D8">
      <w:pPr>
        <w:pStyle w:val="SuperHeading"/>
      </w:pPr>
      <w:r w:rsidRPr="00B015D8">
        <w:t>PUAEMR019 Contribute to an emergency management process</w:t>
      </w:r>
    </w:p>
    <w:p w:rsidR="00000000" w:rsidRPr="00B015D8" w:rsidP="00B015D8">
      <w:pPr>
        <w:pStyle w:val="Heading1"/>
      </w:pPr>
      <w:bookmarkStart w:id="1" w:name="O_1155937"/>
      <w:bookmarkEnd w:id="1"/>
      <w:r w:rsidRPr="00B015D8">
        <w:t>Modification History</w:t>
      </w:r>
    </w:p>
    <w:tbl>
      <w:tblPr>
        <w:tblW w:w="9493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3"/>
      </w:tblGrid>
      <w:tr w:rsidTr="00B015D8">
        <w:tblPrEx>
          <w:tblW w:w="9493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015D8" w:rsidP="00B015D8">
            <w:pPr>
              <w:pStyle w:val="BodyText"/>
            </w:pPr>
            <w:r w:rsidRPr="00B015D8">
              <w:rPr>
                <w:rStyle w:val="SpecialBold"/>
              </w:rPr>
              <w:t>Release 1.0</w:t>
            </w:r>
            <w:r w:rsidRPr="00B015D8">
              <w:t xml:space="preserve"> This is the first release of this unit of competency in the PUA Public Safety Training Package</w:t>
            </w:r>
          </w:p>
        </w:tc>
      </w:tr>
    </w:tbl>
    <w:p w:rsidR="00000000" w:rsidRPr="00B015D8" w:rsidP="00B015D8">
      <w:pPr>
        <w:pStyle w:val="NoPaddingFontSize1"/>
      </w:pPr>
    </w:p>
    <w:p w:rsidR="00000000" w:rsidRPr="00B015D8" w:rsidP="00B015D8">
      <w:pPr>
        <w:pStyle w:val="AllowPageBreak"/>
      </w:pPr>
    </w:p>
    <w:p w:rsidR="00000000" w:rsidRPr="00B015D8" w:rsidP="00B015D8">
      <w:pPr>
        <w:pStyle w:val="Heading1"/>
      </w:pPr>
      <w:bookmarkStart w:id="2" w:name="O_1155936"/>
      <w:bookmarkEnd w:id="2"/>
      <w:r w:rsidRPr="00B015D8">
        <w:t>Application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B015D8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015D8" w:rsidP="00B015D8">
            <w:pPr>
              <w:pStyle w:val="BodyText"/>
            </w:pPr>
            <w:r w:rsidRPr="00B015D8">
              <w:t>This unit of competency involves the skills and knowledge required to contrib</w:t>
            </w:r>
            <w:r w:rsidRPr="00B015D8">
              <w:t>ute to developing an emergency risk assessment and treatment plan for a community. It includes clarifying community contacts, applying emergency risk management methodology, developing risk statements and treatment options and promoting emergency risk mana</w:t>
            </w:r>
            <w:r w:rsidRPr="00B015D8">
              <w:t xml:space="preserve">gement ownership. </w:t>
            </w:r>
          </w:p>
          <w:p w:rsidR="00000000" w:rsidRPr="00B015D8" w:rsidP="00B015D8">
            <w:pPr>
              <w:pStyle w:val="BodyText"/>
            </w:pPr>
            <w:r w:rsidRPr="00B015D8">
              <w:t>The unit applies to personnel who are contributing to emergency risk assessments with a community or part of a community and is relevant to individuals with specific expertise who may be invited to participate in an emergency risk assess</w:t>
            </w:r>
            <w:r w:rsidRPr="00B015D8">
              <w:t>ment working group.</w:t>
            </w:r>
          </w:p>
          <w:p w:rsidR="00000000" w:rsidRPr="00B015D8" w:rsidP="00B015D8">
            <w:pPr>
              <w:pStyle w:val="BodyText"/>
            </w:pPr>
            <w:r w:rsidRPr="00B015D8">
              <w:t>No licensing, legislative or certification requirements apply to this unit at the time of publication.</w:t>
            </w:r>
          </w:p>
        </w:tc>
      </w:tr>
    </w:tbl>
    <w:p w:rsidR="00000000" w:rsidRPr="00B015D8" w:rsidP="00B015D8">
      <w:pPr>
        <w:pStyle w:val="NoPaddingFontSize1"/>
      </w:pPr>
    </w:p>
    <w:p w:rsidR="00000000" w:rsidRPr="00B015D8" w:rsidP="00B015D8">
      <w:pPr>
        <w:pStyle w:val="AllowPageBreak"/>
      </w:pPr>
    </w:p>
    <w:p w:rsidR="00000000" w:rsidRPr="00B015D8" w:rsidP="00B015D8">
      <w:pPr>
        <w:pStyle w:val="Heading1"/>
      </w:pPr>
      <w:bookmarkStart w:id="3" w:name="O_1155935"/>
      <w:bookmarkEnd w:id="3"/>
      <w:r w:rsidRPr="00B015D8">
        <w:t>Pre-requisite Unit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B015D8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015D8" w:rsidP="00B015D8">
            <w:pPr>
              <w:pStyle w:val="BodyText"/>
            </w:pPr>
            <w:r w:rsidRPr="00B015D8">
              <w:t>Not applicable</w:t>
            </w:r>
          </w:p>
        </w:tc>
      </w:tr>
    </w:tbl>
    <w:p w:rsidR="00000000" w:rsidRPr="00B015D8" w:rsidP="00B015D8">
      <w:pPr>
        <w:pStyle w:val="NoPaddingFontSize1"/>
      </w:pPr>
    </w:p>
    <w:p w:rsidR="00000000" w:rsidRPr="00B015D8" w:rsidP="00B015D8">
      <w:pPr>
        <w:pStyle w:val="AllowPageBreak"/>
      </w:pPr>
    </w:p>
    <w:p w:rsidR="00000000" w:rsidRPr="00B015D8" w:rsidP="00B015D8">
      <w:pPr>
        <w:pStyle w:val="Heading1"/>
      </w:pPr>
      <w:bookmarkStart w:id="4" w:name="O_1155934"/>
      <w:bookmarkEnd w:id="4"/>
      <w:r w:rsidRPr="00B015D8">
        <w:t>Competency Field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B015D8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015D8" w:rsidP="00B015D8">
            <w:pPr>
              <w:pStyle w:val="BodyText"/>
            </w:pPr>
            <w:r w:rsidRPr="00B015D8">
              <w:t>Emergency Management</w:t>
            </w:r>
          </w:p>
        </w:tc>
      </w:tr>
    </w:tbl>
    <w:p w:rsidR="00000000" w:rsidRPr="00B015D8" w:rsidP="00B015D8">
      <w:pPr>
        <w:pStyle w:val="NoPaddingFontSize1"/>
      </w:pPr>
    </w:p>
    <w:p w:rsidR="00000000" w:rsidRPr="00B015D8" w:rsidP="00B015D8">
      <w:pPr>
        <w:pStyle w:val="AllowPageBreak"/>
      </w:pPr>
    </w:p>
    <w:p w:rsidR="00000000" w:rsidRPr="00B015D8" w:rsidP="00B015D8">
      <w:pPr>
        <w:pStyle w:val="Heading1"/>
      </w:pPr>
      <w:bookmarkStart w:id="5" w:name="O_1155933"/>
      <w:bookmarkEnd w:id="5"/>
      <w:r w:rsidRPr="00B015D8">
        <w:t>Unit Sector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B015D8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015D8" w:rsidP="00B015D8">
            <w:pPr>
              <w:pStyle w:val="BodyText"/>
            </w:pPr>
            <w:r w:rsidRPr="00B015D8">
              <w:t>Not applicable</w:t>
            </w:r>
          </w:p>
        </w:tc>
      </w:tr>
    </w:tbl>
    <w:p w:rsidR="00000000" w:rsidRPr="00B015D8" w:rsidP="00B015D8">
      <w:pPr>
        <w:pStyle w:val="NoPaddingFontSize1"/>
      </w:pPr>
    </w:p>
    <w:p w:rsidR="00000000" w:rsidRPr="00B015D8" w:rsidP="00B015D8">
      <w:pPr>
        <w:pStyle w:val="AllowPageBreak"/>
      </w:pPr>
    </w:p>
    <w:p w:rsidR="00000000" w:rsidRPr="00B015D8" w:rsidP="00B015D8">
      <w:pPr>
        <w:pStyle w:val="Heading1"/>
      </w:pPr>
      <w:bookmarkStart w:id="6" w:name="O_1155932"/>
      <w:bookmarkEnd w:id="6"/>
      <w:r w:rsidRPr="00B015D8">
        <w:t>Elements and Performance Criteria</w:t>
      </w:r>
    </w:p>
    <w:tbl>
      <w:tblPr>
        <w:tblW w:w="9498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79"/>
        <w:gridCol w:w="2889"/>
        <w:gridCol w:w="702"/>
        <w:gridCol w:w="5628"/>
      </w:tblGrid>
      <w:tr w:rsidTr="00B015D8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6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015D8" w:rsidP="00B015D8">
            <w:pPr>
              <w:pStyle w:val="BodyText"/>
            </w:pPr>
            <w:r w:rsidRPr="00B015D8">
              <w:rPr>
                <w:rStyle w:val="SpecialBold"/>
              </w:rPr>
              <w:t>ELEMENTS</w:t>
            </w:r>
          </w:p>
        </w:tc>
        <w:tc>
          <w:tcPr>
            <w:tcW w:w="633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015D8">
            <w:pPr>
              <w:pStyle w:val="BodyText"/>
              <w:rPr>
                <w:lang w:val="en-NZ"/>
              </w:rPr>
            </w:pPr>
            <w:r w:rsidRPr="00B015D8">
              <w:rPr>
                <w:rStyle w:val="SpecialBold"/>
              </w:rPr>
              <w:t>PERFORMANCE CRITERIA</w:t>
            </w:r>
          </w:p>
        </w:tc>
      </w:tr>
      <w:tr w:rsidTr="00B015D8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6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015D8">
            <w:pPr>
              <w:pStyle w:val="BodyText"/>
              <w:rPr>
                <w:lang w:val="en-NZ"/>
              </w:rPr>
            </w:pPr>
            <w:r w:rsidRPr="00B015D8">
              <w:t>Elements describe the essential outcomes.</w:t>
            </w:r>
          </w:p>
        </w:tc>
        <w:tc>
          <w:tcPr>
            <w:tcW w:w="633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015D8">
            <w:pPr>
              <w:pStyle w:val="BodyText"/>
              <w:rPr>
                <w:lang w:val="en-NZ"/>
              </w:rPr>
            </w:pPr>
            <w:r w:rsidRPr="00B015D8">
              <w:t>Performance criteria describe the performance needed to demonstrate achievement of the element.</w:t>
            </w:r>
          </w:p>
        </w:tc>
      </w:tr>
      <w:tr w:rsidTr="00B015D8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015D8" w:rsidP="00B015D8">
            <w:pPr>
              <w:pStyle w:val="BodyText"/>
            </w:pPr>
            <w:r w:rsidRPr="00B015D8">
              <w:rPr>
                <w:rStyle w:val="SpecialBold"/>
              </w:rPr>
              <w:t xml:space="preserve">1 </w:t>
            </w: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015D8" w:rsidP="00B015D8">
            <w:pPr>
              <w:pStyle w:val="BodyText"/>
            </w:pPr>
            <w:r w:rsidRPr="00B015D8">
              <w:rPr>
                <w:rStyle w:val="SpecialBold"/>
              </w:rPr>
              <w:t>Clarify community context</w:t>
            </w: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015D8">
            <w:pPr>
              <w:pStyle w:val="BodyText"/>
              <w:rPr>
                <w:lang w:val="en-NZ"/>
              </w:rPr>
            </w:pPr>
            <w:r w:rsidRPr="00B015D8">
              <w:rPr>
                <w:rStyle w:val="SpecialBold"/>
              </w:rPr>
              <w:t>1.1</w:t>
            </w:r>
          </w:p>
        </w:tc>
        <w:tc>
          <w:tcPr>
            <w:tcW w:w="56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015D8">
            <w:pPr>
              <w:pStyle w:val="BodyText"/>
              <w:rPr>
                <w:lang w:val="en-NZ"/>
              </w:rPr>
            </w:pPr>
            <w:r w:rsidRPr="00B015D8">
              <w:t>Known risks, safety concerns and expectations of emergency risk management processes are identified</w:t>
            </w:r>
          </w:p>
        </w:tc>
      </w:tr>
      <w:tr w:rsidTr="00B015D8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015D8">
            <w:pPr>
              <w:pStyle w:val="BodyText"/>
              <w:keepLines w:val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015D8">
            <w:pPr>
              <w:pStyle w:val="BodyText"/>
              <w:rPr>
                <w:lang w:val="en-NZ"/>
              </w:rPr>
            </w:pPr>
            <w:r w:rsidRPr="00B015D8">
              <w:rPr>
                <w:rStyle w:val="SpecialBold"/>
              </w:rPr>
              <w:t>1.2</w:t>
            </w:r>
          </w:p>
        </w:tc>
        <w:tc>
          <w:tcPr>
            <w:tcW w:w="56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015D8">
            <w:pPr>
              <w:pStyle w:val="BodyText"/>
              <w:rPr>
                <w:lang w:val="en-NZ"/>
              </w:rPr>
            </w:pPr>
            <w:r w:rsidRPr="00B015D8">
              <w:t>Legislation, polic</w:t>
            </w:r>
            <w:r w:rsidRPr="00B015D8">
              <w:t xml:space="preserve">ies, procedures and existing emergency management documentation and arrangements are </w:t>
            </w:r>
            <w:r w:rsidRPr="00B015D8">
              <w:t>identified</w:t>
            </w:r>
          </w:p>
        </w:tc>
      </w:tr>
      <w:tr w:rsidTr="00B015D8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015D8">
            <w:pPr>
              <w:pStyle w:val="BodyText"/>
              <w:keepLines w:val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015D8">
            <w:pPr>
              <w:pStyle w:val="BodyText"/>
              <w:rPr>
                <w:lang w:val="en-NZ"/>
              </w:rPr>
            </w:pPr>
            <w:r w:rsidRPr="00B015D8">
              <w:rPr>
                <w:rStyle w:val="SpecialBold"/>
              </w:rPr>
              <w:t>1.3</w:t>
            </w:r>
          </w:p>
        </w:tc>
        <w:tc>
          <w:tcPr>
            <w:tcW w:w="56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015D8">
            <w:pPr>
              <w:pStyle w:val="BodyText"/>
              <w:rPr>
                <w:lang w:val="en-NZ"/>
              </w:rPr>
            </w:pPr>
            <w:r w:rsidRPr="00B015D8">
              <w:t>Contributions to the development of a community profile are encouraged</w:t>
            </w:r>
          </w:p>
        </w:tc>
      </w:tr>
      <w:tr w:rsidTr="00B015D8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015D8" w:rsidP="00B015D8">
            <w:pPr>
              <w:pStyle w:val="BodyText"/>
            </w:pPr>
            <w:r w:rsidRPr="00B015D8">
              <w:rPr>
                <w:rStyle w:val="SpecialBold"/>
              </w:rPr>
              <w:t>2</w:t>
            </w: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015D8" w:rsidP="00B015D8">
            <w:pPr>
              <w:pStyle w:val="BodyText"/>
            </w:pPr>
            <w:r w:rsidRPr="00B015D8">
              <w:rPr>
                <w:rStyle w:val="SpecialBold"/>
              </w:rPr>
              <w:t>Apply emergency risk management methodology</w:t>
            </w: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015D8">
            <w:pPr>
              <w:pStyle w:val="BodyText"/>
              <w:rPr>
                <w:lang w:val="en-NZ"/>
              </w:rPr>
            </w:pPr>
            <w:r w:rsidRPr="00B015D8">
              <w:rPr>
                <w:rStyle w:val="SpecialBold"/>
              </w:rPr>
              <w:t>2.1</w:t>
            </w:r>
          </w:p>
        </w:tc>
        <w:tc>
          <w:tcPr>
            <w:tcW w:w="56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015D8">
            <w:pPr>
              <w:pStyle w:val="BodyText"/>
              <w:rPr>
                <w:lang w:val="en-NZ"/>
              </w:rPr>
            </w:pPr>
            <w:r w:rsidRPr="00B015D8">
              <w:t xml:space="preserve">Organisational responsibilities, roles, resources, limits of authority, scope of community knowledge and expertise are explained to project group members </w:t>
            </w:r>
          </w:p>
        </w:tc>
      </w:tr>
      <w:tr w:rsidTr="00B015D8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015D8">
            <w:pPr>
              <w:pStyle w:val="BodyText"/>
              <w:keepLines w:val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015D8">
            <w:pPr>
              <w:pStyle w:val="BodyText"/>
              <w:rPr>
                <w:lang w:val="en-NZ"/>
              </w:rPr>
            </w:pPr>
            <w:r w:rsidRPr="00B015D8">
              <w:rPr>
                <w:rStyle w:val="SpecialBold"/>
              </w:rPr>
              <w:t>2.2</w:t>
            </w:r>
          </w:p>
        </w:tc>
        <w:tc>
          <w:tcPr>
            <w:tcW w:w="56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015D8">
            <w:pPr>
              <w:pStyle w:val="BodyText"/>
              <w:rPr>
                <w:lang w:val="en-NZ"/>
              </w:rPr>
            </w:pPr>
            <w:r w:rsidRPr="00B015D8">
              <w:t>Sources of useful and credible risk related information are identified and applied to the meth</w:t>
            </w:r>
            <w:r w:rsidRPr="00B015D8">
              <w:t xml:space="preserve">odology </w:t>
            </w:r>
          </w:p>
        </w:tc>
      </w:tr>
      <w:tr w:rsidTr="00B015D8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015D8">
            <w:pPr>
              <w:pStyle w:val="BodyText"/>
              <w:keepLines w:val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015D8">
            <w:pPr>
              <w:pStyle w:val="BodyText"/>
              <w:rPr>
                <w:lang w:val="en-NZ"/>
              </w:rPr>
            </w:pPr>
            <w:r w:rsidRPr="00B015D8">
              <w:rPr>
                <w:rStyle w:val="SpecialBold"/>
              </w:rPr>
              <w:t>2.3</w:t>
            </w:r>
          </w:p>
        </w:tc>
        <w:tc>
          <w:tcPr>
            <w:tcW w:w="56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015D8">
            <w:pPr>
              <w:pStyle w:val="BodyText"/>
              <w:rPr>
                <w:lang w:val="en-NZ"/>
              </w:rPr>
            </w:pPr>
            <w:r w:rsidRPr="00B015D8">
              <w:t xml:space="preserve">Consultation and communication strategies are developed in accordance with emergency risk management methodology </w:t>
            </w:r>
          </w:p>
        </w:tc>
      </w:tr>
      <w:tr w:rsidTr="00B015D8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015D8">
            <w:pPr>
              <w:pStyle w:val="BodyText"/>
              <w:keepLines w:val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015D8">
            <w:pPr>
              <w:pStyle w:val="BodyText"/>
              <w:rPr>
                <w:lang w:val="en-NZ"/>
              </w:rPr>
            </w:pPr>
            <w:r w:rsidRPr="00B015D8">
              <w:rPr>
                <w:rStyle w:val="SpecialBold"/>
              </w:rPr>
              <w:t>2.4</w:t>
            </w:r>
          </w:p>
        </w:tc>
        <w:tc>
          <w:tcPr>
            <w:tcW w:w="56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015D8">
            <w:pPr>
              <w:pStyle w:val="BodyText"/>
              <w:rPr>
                <w:lang w:val="en-NZ"/>
              </w:rPr>
            </w:pPr>
            <w:r w:rsidRPr="00B015D8">
              <w:t>Processes for accountability and communication of accurate and consistent information to entities are developed and applied</w:t>
            </w:r>
          </w:p>
        </w:tc>
      </w:tr>
      <w:tr w:rsidTr="00B015D8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015D8">
            <w:pPr>
              <w:pStyle w:val="BodyText"/>
              <w:keepLines w:val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015D8">
            <w:pPr>
              <w:pStyle w:val="BodyText"/>
              <w:rPr>
                <w:lang w:val="en-NZ"/>
              </w:rPr>
            </w:pPr>
            <w:r w:rsidRPr="00B015D8">
              <w:rPr>
                <w:rStyle w:val="SpecialBold"/>
              </w:rPr>
              <w:t>2.5</w:t>
            </w:r>
          </w:p>
        </w:tc>
        <w:tc>
          <w:tcPr>
            <w:tcW w:w="56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015D8">
            <w:pPr>
              <w:pStyle w:val="BodyText"/>
              <w:rPr>
                <w:lang w:val="en-NZ"/>
              </w:rPr>
            </w:pPr>
            <w:r w:rsidRPr="00B015D8">
              <w:t xml:space="preserve">Accuracy and currency of data source is validated </w:t>
            </w:r>
          </w:p>
        </w:tc>
      </w:tr>
      <w:tr w:rsidTr="00B015D8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015D8" w:rsidP="00B015D8">
            <w:pPr>
              <w:pStyle w:val="BodyText"/>
            </w:pPr>
            <w:r w:rsidRPr="00B015D8">
              <w:rPr>
                <w:rStyle w:val="SpecialBold"/>
              </w:rPr>
              <w:t>3</w:t>
            </w: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015D8" w:rsidP="00B015D8">
            <w:pPr>
              <w:pStyle w:val="BodyText"/>
            </w:pPr>
            <w:r w:rsidRPr="00B015D8">
              <w:rPr>
                <w:rStyle w:val="SpecialBold"/>
              </w:rPr>
              <w:t>Develop risk statements and treatment options</w:t>
            </w: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015D8">
            <w:pPr>
              <w:pStyle w:val="BodyText"/>
              <w:rPr>
                <w:lang w:val="en-NZ"/>
              </w:rPr>
            </w:pPr>
            <w:r w:rsidRPr="00B015D8">
              <w:rPr>
                <w:rStyle w:val="SpecialBold"/>
              </w:rPr>
              <w:t>3.1</w:t>
            </w:r>
          </w:p>
        </w:tc>
        <w:tc>
          <w:tcPr>
            <w:tcW w:w="56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015D8">
            <w:pPr>
              <w:pStyle w:val="BodyText"/>
              <w:rPr>
                <w:lang w:val="en-NZ"/>
              </w:rPr>
            </w:pPr>
            <w:r w:rsidRPr="00B015D8">
              <w:t>Additional informatio</w:t>
            </w:r>
            <w:r w:rsidRPr="00B015D8">
              <w:t>n is sought from specialist entities regarding information gaps and conflicting data or views</w:t>
            </w:r>
          </w:p>
        </w:tc>
      </w:tr>
      <w:tr w:rsidTr="00B015D8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015D8">
            <w:pPr>
              <w:pStyle w:val="BodyText"/>
              <w:keepLines w:val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015D8">
            <w:pPr>
              <w:pStyle w:val="BodyText"/>
              <w:rPr>
                <w:lang w:val="en-NZ"/>
              </w:rPr>
            </w:pPr>
            <w:r w:rsidRPr="00B015D8">
              <w:rPr>
                <w:rStyle w:val="SpecialBold"/>
              </w:rPr>
              <w:t>3.2</w:t>
            </w:r>
          </w:p>
        </w:tc>
        <w:tc>
          <w:tcPr>
            <w:tcW w:w="56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015D8">
            <w:pPr>
              <w:pStyle w:val="BodyText"/>
              <w:rPr>
                <w:lang w:val="en-NZ"/>
              </w:rPr>
            </w:pPr>
            <w:r w:rsidRPr="00B015D8">
              <w:t>Risk statements are developed using sources of risk, elements at risk and vulnerability</w:t>
            </w:r>
          </w:p>
        </w:tc>
      </w:tr>
      <w:tr w:rsidTr="00B015D8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015D8">
            <w:pPr>
              <w:pStyle w:val="BodyText"/>
              <w:keepLines w:val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015D8">
            <w:pPr>
              <w:pStyle w:val="BodyText"/>
              <w:rPr>
                <w:lang w:val="en-NZ"/>
              </w:rPr>
            </w:pPr>
            <w:r w:rsidRPr="00B015D8">
              <w:rPr>
                <w:rStyle w:val="SpecialBold"/>
              </w:rPr>
              <w:t>3.3</w:t>
            </w:r>
          </w:p>
        </w:tc>
        <w:tc>
          <w:tcPr>
            <w:tcW w:w="56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015D8">
            <w:pPr>
              <w:pStyle w:val="BodyText"/>
              <w:rPr>
                <w:lang w:val="en-NZ"/>
              </w:rPr>
            </w:pPr>
            <w:r w:rsidRPr="00B015D8">
              <w:t xml:space="preserve">Risk statements are analysed considering levels of likelihood, consequence and confidence </w:t>
            </w:r>
          </w:p>
        </w:tc>
      </w:tr>
      <w:tr w:rsidTr="00B015D8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015D8">
            <w:pPr>
              <w:pStyle w:val="BodyText"/>
              <w:keepLines w:val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015D8">
            <w:pPr>
              <w:pStyle w:val="BodyText"/>
              <w:rPr>
                <w:lang w:val="en-NZ"/>
              </w:rPr>
            </w:pPr>
            <w:r w:rsidRPr="00B015D8">
              <w:rPr>
                <w:rStyle w:val="SpecialBold"/>
              </w:rPr>
              <w:t>3.4</w:t>
            </w:r>
          </w:p>
        </w:tc>
        <w:tc>
          <w:tcPr>
            <w:tcW w:w="56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015D8">
            <w:pPr>
              <w:pStyle w:val="BodyText"/>
              <w:rPr>
                <w:lang w:val="en-NZ"/>
              </w:rPr>
            </w:pPr>
            <w:r w:rsidRPr="00B015D8">
              <w:t>Input is provided to assess effectiveness of existing treatment strategies</w:t>
            </w:r>
          </w:p>
        </w:tc>
      </w:tr>
      <w:tr w:rsidTr="00B015D8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015D8">
            <w:pPr>
              <w:pStyle w:val="BodyText"/>
              <w:keepLines w:val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015D8">
            <w:pPr>
              <w:pStyle w:val="BodyText"/>
              <w:rPr>
                <w:lang w:val="en-NZ"/>
              </w:rPr>
            </w:pPr>
            <w:r w:rsidRPr="00B015D8">
              <w:rPr>
                <w:rStyle w:val="SpecialBold"/>
              </w:rPr>
              <w:t>3.5</w:t>
            </w:r>
          </w:p>
        </w:tc>
        <w:tc>
          <w:tcPr>
            <w:tcW w:w="56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015D8">
            <w:pPr>
              <w:pStyle w:val="BodyText"/>
              <w:rPr>
                <w:lang w:val="en-NZ"/>
              </w:rPr>
            </w:pPr>
            <w:r w:rsidRPr="00B015D8">
              <w:t xml:space="preserve">Risk treatment options are developed considering practical constraints </w:t>
            </w:r>
          </w:p>
        </w:tc>
      </w:tr>
      <w:tr w:rsidTr="00B015D8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015D8">
            <w:pPr>
              <w:pStyle w:val="BodyText"/>
              <w:keepLines w:val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015D8">
            <w:pPr>
              <w:pStyle w:val="BodyText"/>
              <w:rPr>
                <w:lang w:val="en-NZ"/>
              </w:rPr>
            </w:pPr>
            <w:r w:rsidRPr="00B015D8">
              <w:rPr>
                <w:rStyle w:val="SpecialBold"/>
              </w:rPr>
              <w:t>3.6</w:t>
            </w:r>
          </w:p>
        </w:tc>
        <w:tc>
          <w:tcPr>
            <w:tcW w:w="56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015D8">
            <w:pPr>
              <w:pStyle w:val="BodyText"/>
              <w:rPr>
                <w:lang w:val="en-NZ"/>
              </w:rPr>
            </w:pPr>
            <w:r w:rsidRPr="00B015D8">
              <w:t>Feedback on risks and treatment options is obtained from internal and external community entities</w:t>
            </w:r>
          </w:p>
        </w:tc>
      </w:tr>
      <w:tr w:rsidTr="00B015D8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015D8">
            <w:pPr>
              <w:pStyle w:val="BodyText"/>
              <w:keepLines w:val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015D8">
            <w:pPr>
              <w:pStyle w:val="BodyText"/>
              <w:rPr>
                <w:lang w:val="en-NZ"/>
              </w:rPr>
            </w:pPr>
            <w:r w:rsidRPr="00B015D8">
              <w:rPr>
                <w:rStyle w:val="SpecialBold"/>
              </w:rPr>
              <w:t>3.7</w:t>
            </w:r>
          </w:p>
        </w:tc>
        <w:tc>
          <w:tcPr>
            <w:tcW w:w="56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015D8">
            <w:pPr>
              <w:pStyle w:val="BodyText"/>
              <w:rPr>
                <w:lang w:val="en-NZ"/>
              </w:rPr>
            </w:pPr>
            <w:r w:rsidRPr="00B015D8">
              <w:t xml:space="preserve">Recommendations are developed with relevant entities and are submitted for approval </w:t>
            </w:r>
          </w:p>
        </w:tc>
      </w:tr>
      <w:tr w:rsidTr="00B015D8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015D8">
            <w:pPr>
              <w:pStyle w:val="BodyText"/>
              <w:keepLines w:val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015D8">
            <w:pPr>
              <w:pStyle w:val="BodyText"/>
              <w:rPr>
                <w:lang w:val="en-NZ"/>
              </w:rPr>
            </w:pPr>
            <w:r w:rsidRPr="00B015D8">
              <w:rPr>
                <w:rStyle w:val="SpecialBold"/>
              </w:rPr>
              <w:t>3.8</w:t>
            </w:r>
          </w:p>
        </w:tc>
        <w:tc>
          <w:tcPr>
            <w:tcW w:w="56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015D8">
            <w:pPr>
              <w:pStyle w:val="BodyText"/>
              <w:rPr>
                <w:lang w:val="en-NZ"/>
              </w:rPr>
            </w:pPr>
            <w:r w:rsidRPr="00B015D8">
              <w:t>Promotion of emergency risk project is approved before being communicated to others</w:t>
            </w:r>
          </w:p>
        </w:tc>
      </w:tr>
      <w:tr w:rsidTr="00B015D8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015D8" w:rsidP="00B015D8">
            <w:pPr>
              <w:pStyle w:val="BodyText"/>
            </w:pPr>
            <w:r w:rsidRPr="00B015D8">
              <w:rPr>
                <w:rStyle w:val="SpecialBold"/>
              </w:rPr>
              <w:t>4</w:t>
            </w: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015D8" w:rsidP="00B015D8">
            <w:pPr>
              <w:pStyle w:val="BodyText"/>
            </w:pPr>
            <w:r w:rsidRPr="00B015D8">
              <w:rPr>
                <w:rStyle w:val="SpecialBold"/>
              </w:rPr>
              <w:t>Promote emergency risk management</w:t>
            </w:r>
            <w:r w:rsidRPr="00B015D8">
              <w:t xml:space="preserve"> </w:t>
            </w:r>
            <w:r w:rsidRPr="00B015D8">
              <w:rPr>
                <w:rStyle w:val="SpecialBold"/>
              </w:rPr>
              <w:t xml:space="preserve">ownership </w:t>
            </w: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015D8">
            <w:pPr>
              <w:pStyle w:val="BodyText"/>
              <w:rPr>
                <w:lang w:val="en-NZ"/>
              </w:rPr>
            </w:pPr>
            <w:r w:rsidRPr="00B015D8">
              <w:rPr>
                <w:rStyle w:val="SpecialBold"/>
              </w:rPr>
              <w:t>4.1</w:t>
            </w:r>
          </w:p>
        </w:tc>
        <w:tc>
          <w:tcPr>
            <w:tcW w:w="56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015D8">
            <w:pPr>
              <w:pStyle w:val="BodyText"/>
              <w:rPr>
                <w:lang w:val="en-NZ"/>
              </w:rPr>
            </w:pPr>
            <w:r w:rsidRPr="00B015D8">
              <w:t>Management is kept informed of project progress, proposed variations in strategy, decisions and recommendations</w:t>
            </w:r>
          </w:p>
        </w:tc>
      </w:tr>
      <w:tr w:rsidTr="00B015D8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015D8">
            <w:pPr>
              <w:pStyle w:val="BodyText"/>
              <w:keepLines w:val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015D8">
            <w:pPr>
              <w:pStyle w:val="BodyText"/>
              <w:rPr>
                <w:lang w:val="en-NZ"/>
              </w:rPr>
            </w:pPr>
            <w:r w:rsidRPr="00B015D8">
              <w:rPr>
                <w:rStyle w:val="SpecialBold"/>
              </w:rPr>
              <w:t>4.2</w:t>
            </w:r>
          </w:p>
        </w:tc>
        <w:tc>
          <w:tcPr>
            <w:tcW w:w="56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015D8">
            <w:pPr>
              <w:pStyle w:val="BodyText"/>
              <w:rPr>
                <w:lang w:val="en-NZ"/>
              </w:rPr>
            </w:pPr>
            <w:r w:rsidRPr="00B015D8">
              <w:t>R</w:t>
            </w:r>
            <w:r w:rsidRPr="00B015D8">
              <w:t>esource variations are negotiated with authorised personnel</w:t>
            </w:r>
          </w:p>
        </w:tc>
      </w:tr>
      <w:tr w:rsidTr="00B015D8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015D8">
            <w:pPr>
              <w:pStyle w:val="BodyText"/>
              <w:keepLines w:val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015D8">
            <w:pPr>
              <w:pStyle w:val="BodyText"/>
              <w:rPr>
                <w:lang w:val="en-NZ"/>
              </w:rPr>
            </w:pPr>
            <w:r w:rsidRPr="00B015D8">
              <w:rPr>
                <w:rStyle w:val="SpecialBold"/>
              </w:rPr>
              <w:t>4.3</w:t>
            </w:r>
          </w:p>
        </w:tc>
        <w:tc>
          <w:tcPr>
            <w:tcW w:w="56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015D8">
            <w:pPr>
              <w:pStyle w:val="BodyText"/>
              <w:rPr>
                <w:lang w:val="en-NZ"/>
              </w:rPr>
            </w:pPr>
            <w:r w:rsidRPr="00B015D8">
              <w:t xml:space="preserve">Stages of emergency risk management processes, decisions and outcomes are documented </w:t>
            </w:r>
          </w:p>
        </w:tc>
      </w:tr>
      <w:tr w:rsidTr="00B015D8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015D8">
            <w:pPr>
              <w:pStyle w:val="BodyText"/>
              <w:keepLines w:val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015D8">
            <w:pPr>
              <w:pStyle w:val="BodyText"/>
              <w:rPr>
                <w:lang w:val="en-NZ"/>
              </w:rPr>
            </w:pPr>
            <w:r w:rsidRPr="00B015D8">
              <w:rPr>
                <w:rStyle w:val="SpecialBold"/>
              </w:rPr>
              <w:t>4.4</w:t>
            </w:r>
          </w:p>
        </w:tc>
        <w:tc>
          <w:tcPr>
            <w:tcW w:w="56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015D8">
            <w:pPr>
              <w:pStyle w:val="BodyText"/>
              <w:rPr>
                <w:lang w:val="en-NZ"/>
              </w:rPr>
            </w:pPr>
            <w:r w:rsidRPr="00B015D8">
              <w:t>Opportunities for improving emergency risk management processes are identified and reported to authorised personnel</w:t>
            </w:r>
          </w:p>
        </w:tc>
      </w:tr>
      <w:tr w:rsidTr="00B015D8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015D8">
            <w:pPr>
              <w:pStyle w:val="BodyText"/>
              <w:keepLines w:val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015D8">
            <w:pPr>
              <w:pStyle w:val="BodyText"/>
              <w:rPr>
                <w:lang w:val="en-NZ"/>
              </w:rPr>
            </w:pPr>
            <w:r w:rsidRPr="00B015D8">
              <w:rPr>
                <w:rStyle w:val="SpecialBold"/>
              </w:rPr>
              <w:t>4.5</w:t>
            </w:r>
          </w:p>
        </w:tc>
        <w:tc>
          <w:tcPr>
            <w:tcW w:w="56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015D8">
            <w:pPr>
              <w:pStyle w:val="BodyText"/>
              <w:rPr>
                <w:lang w:val="en-NZ"/>
              </w:rPr>
            </w:pPr>
            <w:r w:rsidRPr="00B015D8">
              <w:t>Allocated tasks are monitored and completed on time, whilst encouraging entities to help achieve common goals</w:t>
            </w:r>
          </w:p>
        </w:tc>
      </w:tr>
      <w:tr w:rsidTr="00B015D8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015D8">
            <w:pPr>
              <w:pStyle w:val="BodyText"/>
              <w:keepLines w:val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015D8">
            <w:pPr>
              <w:pStyle w:val="BodyText"/>
              <w:rPr>
                <w:lang w:val="en-NZ"/>
              </w:rPr>
            </w:pPr>
            <w:r w:rsidRPr="00B015D8">
              <w:rPr>
                <w:rStyle w:val="SpecialBold"/>
              </w:rPr>
              <w:t>4</w:t>
            </w:r>
            <w:r w:rsidRPr="00B015D8">
              <w:t>.</w:t>
            </w:r>
            <w:r w:rsidRPr="00B015D8">
              <w:rPr>
                <w:rStyle w:val="SpecialBold"/>
              </w:rPr>
              <w:t>6</w:t>
            </w:r>
          </w:p>
        </w:tc>
        <w:tc>
          <w:tcPr>
            <w:tcW w:w="56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015D8" w:rsidP="00B015D8">
            <w:pPr>
              <w:pStyle w:val="BodyText"/>
            </w:pPr>
            <w:r w:rsidRPr="00B015D8">
              <w:t>Documentation, r</w:t>
            </w:r>
            <w:r w:rsidRPr="00B015D8">
              <w:t xml:space="preserve">ecords, confidentiality and privacy of information are maintained </w:t>
            </w:r>
          </w:p>
        </w:tc>
      </w:tr>
    </w:tbl>
    <w:p w:rsidR="00000000" w:rsidRPr="00B015D8" w:rsidP="00B015D8">
      <w:pPr>
        <w:pStyle w:val="NoPaddingFontSize1"/>
      </w:pPr>
    </w:p>
    <w:p w:rsidR="00000000" w:rsidRPr="00B015D8" w:rsidP="00B015D8">
      <w:pPr>
        <w:pStyle w:val="AllowPageBreak"/>
      </w:pPr>
    </w:p>
    <w:p w:rsidR="00000000" w:rsidRPr="00B015D8" w:rsidP="00B015D8">
      <w:pPr>
        <w:pStyle w:val="Heading1"/>
      </w:pPr>
      <w:bookmarkStart w:id="7" w:name="O_1155931"/>
      <w:bookmarkEnd w:id="7"/>
      <w:r w:rsidRPr="00B015D8">
        <w:t>Foundation Skills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B015D8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015D8" w:rsidP="00B015D8">
            <w:pPr>
              <w:pStyle w:val="BodyText"/>
            </w:pPr>
            <w:r w:rsidRPr="00B015D8">
              <w:t>Foundation skills essential to performance are explicit in the performance criteria of this unit of competency.</w:t>
            </w:r>
          </w:p>
        </w:tc>
      </w:tr>
    </w:tbl>
    <w:p w:rsidR="00000000" w:rsidRPr="00B015D8" w:rsidP="00B015D8">
      <w:pPr>
        <w:pStyle w:val="NoPaddingFontSize1"/>
      </w:pPr>
    </w:p>
    <w:p w:rsidR="00000000" w:rsidRPr="00B015D8" w:rsidP="00B015D8">
      <w:pPr>
        <w:pStyle w:val="AllowPageBreak"/>
      </w:pPr>
    </w:p>
    <w:p w:rsidR="00000000" w:rsidRPr="00B015D8" w:rsidP="00B015D8">
      <w:pPr>
        <w:pStyle w:val="Heading1"/>
      </w:pPr>
      <w:bookmarkStart w:id="8" w:name="O_1155930"/>
      <w:bookmarkEnd w:id="8"/>
      <w:r w:rsidRPr="00B015D8">
        <w:t>Range of Conditions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B015D8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015D8" w:rsidP="00B015D8">
            <w:pPr>
              <w:pStyle w:val="BodyText"/>
            </w:pPr>
            <w:r w:rsidRPr="00B015D8">
              <w:t>Range is restricted to essential operating conditions and any other variables essential to the work environment.</w:t>
            </w:r>
          </w:p>
          <w:p w:rsidR="00000000" w:rsidRPr="00B015D8" w:rsidP="00B015D8">
            <w:pPr>
              <w:pStyle w:val="BodyText"/>
            </w:pPr>
            <w:r w:rsidRPr="00B015D8">
              <w:t>Non-essential conditions may be found in the Companion Volume Implementation Guide.</w:t>
            </w:r>
          </w:p>
        </w:tc>
      </w:tr>
    </w:tbl>
    <w:p w:rsidR="00000000" w:rsidRPr="00B015D8" w:rsidP="00B015D8">
      <w:pPr>
        <w:pStyle w:val="NoPaddingFontSize1"/>
      </w:pPr>
    </w:p>
    <w:p w:rsidR="00000000" w:rsidRPr="00B015D8" w:rsidP="00B015D8">
      <w:pPr>
        <w:pStyle w:val="AllowPageBreak"/>
      </w:pPr>
    </w:p>
    <w:p w:rsidR="00000000" w:rsidRPr="00B015D8" w:rsidP="00B015D8">
      <w:pPr>
        <w:pStyle w:val="Heading1"/>
      </w:pPr>
      <w:bookmarkStart w:id="9" w:name="O_1155929"/>
      <w:bookmarkEnd w:id="9"/>
      <w:r w:rsidRPr="00B015D8">
        <w:t>Unit Mapping Infor</w:t>
      </w:r>
      <w:r w:rsidRPr="00B015D8">
        <w:t>mation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B015D8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015D8" w:rsidP="00B015D8">
            <w:pPr>
              <w:pStyle w:val="BodyText"/>
            </w:pPr>
            <w:r w:rsidRPr="00B015D8">
              <w:t>This unit replaces and is not equivalent to PUAEMR008 Contribute to an emergency risk management process.</w:t>
            </w:r>
          </w:p>
        </w:tc>
      </w:tr>
    </w:tbl>
    <w:p w:rsidR="00000000" w:rsidRPr="00B015D8" w:rsidP="00B015D8">
      <w:pPr>
        <w:pStyle w:val="NoPaddingFontSize1"/>
      </w:pPr>
    </w:p>
    <w:p w:rsidR="00000000" w:rsidRPr="00B015D8" w:rsidP="00B015D8">
      <w:pPr>
        <w:pStyle w:val="AllowPageBreak"/>
      </w:pPr>
    </w:p>
    <w:p w:rsidR="00000000" w:rsidRPr="00B015D8" w:rsidP="00B015D8">
      <w:pPr>
        <w:pStyle w:val="Heading1"/>
      </w:pPr>
      <w:bookmarkStart w:id="10" w:name="O_1155938"/>
      <w:bookmarkEnd w:id="10"/>
      <w:r w:rsidRPr="00B015D8">
        <w:t>Links</w:t>
      </w:r>
    </w:p>
    <w:p w:rsidR="00000000" w:rsidRPr="00B015D8" w:rsidP="00A807F7">
      <w:pPr>
        <w:pStyle w:val="BodyText"/>
      </w:pPr>
      <w:r w:rsidRPr="00B015D8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"https://vetnet.gov.au/Pages/TrainingDocs.aspx?q=3eca5672-6d5a-410b-8942-810d0ba05bbf" </w:instrText>
      </w:r>
      <w:r>
        <w:fldChar w:fldCharType="separate"/>
      </w:r>
      <w:r w:rsidRPr="00680383">
        <w:rPr>
          <w:rStyle w:val="Hyperlink"/>
        </w:rPr>
        <w:t>https://vetnet.gov.au/Pages/TrainingDocs.aspx?q=3eca5672-6d5a-410b-8942-810d0ba05bbf</w:t>
      </w:r>
      <w:r>
        <w:fldChar w:fldCharType="end"/>
      </w:r>
    </w:p>
    <w:p w:rsidR="00000000" w:rsidRPr="00B015D8" w:rsidP="00B015D8"/>
    <w:sectPr w:rsidSect="00B015D8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015D8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015D8" w:rsidRPr="00A807F7" w:rsidP="00A807F7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015D8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807F7" w:rsidP="00B015D8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A807F7" w:rsidP="00B015D8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Australian Industry Standards</w:t>
    </w:r>
    <w:r>
      <w:fldChar w:fldCharType="end"/>
    </w:r>
  </w:p>
  <w:p w:rsidR="00A807F7" w:rsidP="00B015D8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015D8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807F7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B015D8" w:rsidRPr="00A807F7" w:rsidP="00A807F7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015D8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807F7" w:rsidRPr="002D2AF8" w:rsidP="00B015D8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PUAEMR019 Contribute to an emergency management process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16 December 2022</w:t>
    </w:r>
    <w:r>
      <w:fldChar w:fldCharType="end"/>
    </w:r>
  </w:p>
  <w:p w:rsidR="00A807F7" w:rsidP="00B015D8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8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0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1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2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4"/>
  </w:num>
  <w:num w:numId="2">
    <w:abstractNumId w:val="3"/>
  </w:num>
  <w:num w:numId="3">
    <w:abstractNumId w:val="2"/>
  </w:num>
  <w:num w:numId="4">
    <w:abstractNumId w:val="1"/>
  </w:num>
  <w:num w:numId="5">
    <w:abstractNumId w:val="0"/>
  </w:num>
  <w:num w:numId="6">
    <w:abstractNumId w:val="11"/>
  </w:num>
  <w:num w:numId="7">
    <w:abstractNumId w:val="8"/>
  </w:num>
  <w:num w:numId="8">
    <w:abstractNumId w:val="12"/>
  </w:num>
  <w:num w:numId="9">
    <w:abstractNumId w:val="6"/>
  </w:num>
  <w:num w:numId="10">
    <w:abstractNumId w:val="9"/>
  </w:num>
  <w:num w:numId="11">
    <w:abstractNumId w:val="7"/>
  </w:num>
  <w:num w:numId="12">
    <w:abstractNumId w:val="5"/>
  </w:num>
  <w:num w:numId="13">
    <w:abstractNumId w:val="1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B015D8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B015D8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B015D8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B015D8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B015D8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B015D8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B015D8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B015D8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B015D8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B015D8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B015D8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B015D8"/>
  </w:style>
  <w:style w:type="character" w:customStyle="1" w:styleId="Heading1Char">
    <w:name w:val="Heading 1 Char"/>
    <w:basedOn w:val="DefaultParagraphFont"/>
    <w:link w:val="Heading1"/>
    <w:rsid w:val="00B015D8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B015D8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B015D8"/>
    <w:rPr>
      <w:rFonts w:ascii="Times New Roman" w:eastAsia="Times New Roman" w:hAnsi="Times New Roman" w:cs="Times New Roman"/>
      <w:sz w:val="24"/>
      <w:lang w:eastAsia="en-US"/>
    </w:rPr>
  </w:style>
  <w:style w:type="character" w:customStyle="1" w:styleId="SpecialBold">
    <w:name w:val="Special Bold"/>
    <w:basedOn w:val="DefaultParagraphFont"/>
    <w:rsid w:val="00B015D8"/>
    <w:rPr>
      <w:b/>
      <w:spacing w:val="0"/>
    </w:rPr>
  </w:style>
  <w:style w:type="paragraph" w:customStyle="1" w:styleId="SuperHeading">
    <w:name w:val="SuperHeading"/>
    <w:basedOn w:val="Normal"/>
    <w:rsid w:val="00B015D8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B015D8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NoPaddingFontSize1">
    <w:name w:val="No Padding Font Size 1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Tahoma" w:hAnsi="Tahoma" w:cs="Tahoma"/>
      <w:color w:val="000000"/>
      <w:sz w:val="2"/>
      <w:szCs w:val="2"/>
      <w:vertAlign w:val="subscript"/>
    </w:rPr>
  </w:style>
  <w:style w:type="character" w:customStyle="1" w:styleId="Heading2Char">
    <w:name w:val="Heading 2 Char"/>
    <w:basedOn w:val="DefaultParagraphFont"/>
    <w:link w:val="Heading2"/>
    <w:rsid w:val="00B015D8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B015D8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B015D8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B015D8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B015D8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B015D8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B015D8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B015D8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B015D8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B015D8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B015D8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B015D8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B015D8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B015D8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B015D8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B015D8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B015D8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B015D8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B015D8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B015D8"/>
    <w:pPr>
      <w:numPr>
        <w:numId w:val="10"/>
      </w:numPr>
      <w:tabs>
        <w:tab w:val="clear" w:pos="340"/>
      </w:tabs>
      <w:spacing w:before="40" w:after="40"/>
    </w:pPr>
  </w:style>
  <w:style w:type="paragraph" w:customStyle="1" w:styleId="Note">
    <w:name w:val="Note"/>
    <w:basedOn w:val="BodyText"/>
    <w:rsid w:val="00B015D8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B015D8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B015D8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B015D8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B015D8"/>
    <w:pPr>
      <w:numPr>
        <w:numId w:val="11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B015D8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B015D8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B015D8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B015D8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B015D8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B015D8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B015D8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B015D8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B015D8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B015D8"/>
    <w:rPr>
      <w:i/>
    </w:rPr>
  </w:style>
  <w:style w:type="paragraph" w:styleId="Caption">
    <w:name w:val="caption"/>
    <w:basedOn w:val="BodyText"/>
    <w:next w:val="Normal"/>
    <w:qFormat/>
    <w:rsid w:val="00B015D8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B015D8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B015D8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B015D8"/>
  </w:style>
  <w:style w:type="paragraph" w:styleId="TableofFigures">
    <w:name w:val="table of figures"/>
    <w:basedOn w:val="Normal"/>
    <w:next w:val="Normal"/>
    <w:semiHidden/>
    <w:rsid w:val="00B015D8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B015D8"/>
    <w:pPr>
      <w:numPr>
        <w:numId w:val="13"/>
      </w:numPr>
      <w:tabs>
        <w:tab w:val="clear" w:pos="340"/>
      </w:tabs>
    </w:pPr>
  </w:style>
  <w:style w:type="character" w:customStyle="1" w:styleId="WingdingSymbols">
    <w:name w:val="Wingding Symbols"/>
    <w:rsid w:val="00B015D8"/>
    <w:rPr>
      <w:rFonts w:ascii="Wingdings" w:hAnsi="Wingdings"/>
    </w:rPr>
  </w:style>
  <w:style w:type="paragraph" w:customStyle="1" w:styleId="TableHeading">
    <w:name w:val="Table Heading"/>
    <w:basedOn w:val="HeadingBase"/>
    <w:rsid w:val="00B015D8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B015D8"/>
    <w:rPr>
      <w:color w:val="0033CC"/>
      <w:u w:val="none"/>
    </w:rPr>
  </w:style>
  <w:style w:type="paragraph" w:customStyle="1" w:styleId="BodyTextRight">
    <w:name w:val="Body Text Right"/>
    <w:basedOn w:val="BodyText"/>
    <w:rsid w:val="00B015D8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B015D8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B015D8"/>
    <w:pPr>
      <w:numPr>
        <w:numId w:val="8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B015D8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B015D8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B015D8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B015D8"/>
    <w:rPr>
      <w:sz w:val="32"/>
    </w:rPr>
  </w:style>
  <w:style w:type="paragraph" w:customStyle="1" w:styleId="HeadingProcedure">
    <w:name w:val="Heading Procedure"/>
    <w:basedOn w:val="HeadingBase"/>
    <w:next w:val="Normal"/>
    <w:rsid w:val="00B015D8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B015D8"/>
    <w:pPr>
      <w:spacing w:before="60" w:after="60"/>
    </w:pPr>
  </w:style>
  <w:style w:type="paragraph" w:styleId="ListContinue">
    <w:name w:val="List Continue"/>
    <w:basedOn w:val="List"/>
    <w:rsid w:val="00B015D8"/>
    <w:pPr>
      <w:ind w:firstLine="0"/>
    </w:pPr>
  </w:style>
  <w:style w:type="paragraph" w:customStyle="1" w:styleId="ListNote">
    <w:name w:val="List Note"/>
    <w:basedOn w:val="List"/>
    <w:rsid w:val="00B015D8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B015D8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B015D8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B015D8"/>
    <w:rPr>
      <w:rFonts w:ascii="Courier New" w:hAnsi="Courier New"/>
    </w:rPr>
  </w:style>
  <w:style w:type="paragraph" w:customStyle="1" w:styleId="NoteBullet">
    <w:name w:val="Note Bullet"/>
    <w:basedOn w:val="Note"/>
    <w:rsid w:val="00B015D8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B015D8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B015D8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B015D8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B015D8"/>
    <w:pPr>
      <w:numPr>
        <w:numId w:val="9"/>
      </w:numPr>
    </w:pPr>
  </w:style>
  <w:style w:type="paragraph" w:styleId="PlainText">
    <w:name w:val="Plain Text"/>
    <w:basedOn w:val="Normal"/>
    <w:link w:val="PlainTextChar"/>
    <w:rsid w:val="00B015D8"/>
    <w:rPr>
      <w:sz w:val="20"/>
    </w:rPr>
  </w:style>
  <w:style w:type="character" w:customStyle="1" w:styleId="PlainTextChar">
    <w:name w:val="Plain Text Char"/>
    <w:basedOn w:val="DefaultParagraphFont"/>
    <w:link w:val="PlainText"/>
    <w:rsid w:val="00B015D8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B015D8"/>
    <w:rPr>
      <w:b/>
      <w:smallCaps/>
    </w:rPr>
  </w:style>
  <w:style w:type="paragraph" w:customStyle="1" w:styleId="TableListNumber">
    <w:name w:val="Table List Number"/>
    <w:basedOn w:val="ListNumber"/>
    <w:rsid w:val="00B015D8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B015D8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B015D8"/>
    <w:pPr>
      <w:numPr>
        <w:numId w:val="7"/>
      </w:numPr>
    </w:pPr>
  </w:style>
  <w:style w:type="paragraph" w:customStyle="1" w:styleId="ListAlpha2">
    <w:name w:val="List Alpha 2"/>
    <w:basedOn w:val="List2"/>
    <w:rsid w:val="00B015D8"/>
    <w:pPr>
      <w:numPr>
        <w:numId w:val="6"/>
      </w:numPr>
    </w:pPr>
  </w:style>
  <w:style w:type="paragraph" w:styleId="List2">
    <w:name w:val="List 2"/>
    <w:basedOn w:val="BodyText"/>
    <w:rsid w:val="00B015D8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B015D8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B015D8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B015D8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B015D8"/>
    <w:pPr>
      <w:numPr>
        <w:numId w:val="12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B015D8"/>
    <w:pPr>
      <w:numPr>
        <w:numId w:val="1"/>
      </w:numPr>
      <w:tabs>
        <w:tab w:val="clear" w:pos="1361"/>
      </w:tabs>
    </w:pPr>
  </w:style>
  <w:style w:type="paragraph" w:styleId="ListBullet5">
    <w:name w:val="List Bullet 5"/>
    <w:basedOn w:val="List5"/>
    <w:rsid w:val="00B015D8"/>
    <w:pPr>
      <w:numPr>
        <w:numId w:val="2"/>
      </w:numPr>
    </w:pPr>
  </w:style>
  <w:style w:type="paragraph" w:styleId="ListContinue2">
    <w:name w:val="List Continue 2"/>
    <w:basedOn w:val="List2"/>
    <w:rsid w:val="00B015D8"/>
    <w:pPr>
      <w:ind w:firstLine="0"/>
    </w:pPr>
  </w:style>
  <w:style w:type="paragraph" w:styleId="ListContinue3">
    <w:name w:val="List Continue 3"/>
    <w:basedOn w:val="List3"/>
    <w:rsid w:val="00B015D8"/>
    <w:pPr>
      <w:ind w:left="1021" w:firstLine="0"/>
    </w:pPr>
  </w:style>
  <w:style w:type="paragraph" w:styleId="ListContinue4">
    <w:name w:val="List Continue 4"/>
    <w:basedOn w:val="List4"/>
    <w:rsid w:val="00B015D8"/>
    <w:pPr>
      <w:ind w:firstLine="0"/>
    </w:pPr>
  </w:style>
  <w:style w:type="paragraph" w:styleId="ListContinue5">
    <w:name w:val="List Continue 5"/>
    <w:basedOn w:val="List5"/>
    <w:rsid w:val="00B015D8"/>
    <w:pPr>
      <w:ind w:firstLine="0"/>
    </w:pPr>
  </w:style>
  <w:style w:type="paragraph" w:styleId="ListNumber3">
    <w:name w:val="List Number 3"/>
    <w:basedOn w:val="List3"/>
    <w:rsid w:val="00B015D8"/>
    <w:pPr>
      <w:numPr>
        <w:numId w:val="3"/>
      </w:numPr>
    </w:pPr>
  </w:style>
  <w:style w:type="paragraph" w:styleId="ListNumber4">
    <w:name w:val="List Number 4"/>
    <w:basedOn w:val="List4"/>
    <w:rsid w:val="00B015D8"/>
    <w:pPr>
      <w:numPr>
        <w:numId w:val="4"/>
      </w:numPr>
    </w:pPr>
  </w:style>
  <w:style w:type="paragraph" w:styleId="ListNumber5">
    <w:name w:val="List Number 5"/>
    <w:basedOn w:val="List5"/>
    <w:rsid w:val="00B015D8"/>
    <w:pPr>
      <w:numPr>
        <w:numId w:val="5"/>
      </w:numPr>
    </w:pPr>
  </w:style>
  <w:style w:type="paragraph" w:styleId="BlockText">
    <w:name w:val="Block Text"/>
    <w:basedOn w:val="Normal"/>
    <w:rsid w:val="00B015D8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B015D8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B015D8"/>
    <w:rPr>
      <w:sz w:val="16"/>
      <w:vertAlign w:val="superscript"/>
    </w:rPr>
  </w:style>
  <w:style w:type="character" w:customStyle="1" w:styleId="Symbols">
    <w:name w:val="Symbols"/>
    <w:basedOn w:val="DefaultParagraphFont"/>
    <w:rsid w:val="00B015D8"/>
    <w:rPr>
      <w:rFonts w:ascii="Symbol" w:hAnsi="Symbol"/>
    </w:rPr>
  </w:style>
  <w:style w:type="character" w:customStyle="1" w:styleId="MenuOptions">
    <w:name w:val="Menu Options"/>
    <w:basedOn w:val="DefaultParagraphFont"/>
    <w:rsid w:val="00B015D8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B015D8"/>
    <w:rPr>
      <w:b/>
    </w:rPr>
  </w:style>
  <w:style w:type="character" w:customStyle="1" w:styleId="Underlined">
    <w:name w:val="Underlined"/>
    <w:basedOn w:val="DefaultParagraphFont"/>
    <w:rsid w:val="00B015D8"/>
    <w:rPr>
      <w:u w:val="single"/>
    </w:rPr>
  </w:style>
  <w:style w:type="paragraph" w:customStyle="1" w:styleId="TableBodyTextRight">
    <w:name w:val="Table Body Text Right"/>
    <w:basedOn w:val="TableBodyText"/>
    <w:rsid w:val="00B015D8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B015D8"/>
    <w:rPr>
      <w:sz w:val="18"/>
    </w:rPr>
  </w:style>
  <w:style w:type="paragraph" w:customStyle="1" w:styleId="BodySmallRight">
    <w:name w:val="Body Small Right"/>
    <w:basedOn w:val="BodyTextRight"/>
    <w:rsid w:val="00B015D8"/>
    <w:rPr>
      <w:sz w:val="18"/>
      <w:szCs w:val="18"/>
    </w:rPr>
  </w:style>
  <w:style w:type="paragraph" w:customStyle="1" w:styleId="MarginEdition">
    <w:name w:val="Margin Edition"/>
    <w:basedOn w:val="MarginNote"/>
    <w:rsid w:val="00B015D8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B015D8"/>
    <w:rPr>
      <w:sz w:val="2"/>
      <w:szCs w:val="2"/>
    </w:rPr>
  </w:style>
  <w:style w:type="character" w:customStyle="1" w:styleId="Small">
    <w:name w:val="Small"/>
    <w:basedOn w:val="DefaultParagraphFont"/>
    <w:rsid w:val="00B015D8"/>
    <w:rPr>
      <w:sz w:val="16"/>
    </w:rPr>
  </w:style>
  <w:style w:type="paragraph" w:customStyle="1" w:styleId="WideTable">
    <w:name w:val="Wide Table"/>
    <w:basedOn w:val="Normal"/>
    <w:rsid w:val="00B015D8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B015D8"/>
  </w:style>
  <w:style w:type="paragraph" w:styleId="Quote">
    <w:name w:val="Quote"/>
    <w:basedOn w:val="Heading1"/>
    <w:link w:val="QuoteChar"/>
    <w:qFormat/>
    <w:rsid w:val="00B015D8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B015D8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B015D8"/>
    <w:pPr>
      <w:pageBreakBefore/>
    </w:pPr>
  </w:style>
  <w:style w:type="paragraph" w:customStyle="1" w:styleId="Border">
    <w:name w:val="Border"/>
    <w:basedOn w:val="Normal"/>
    <w:qFormat/>
    <w:rsid w:val="00B015D8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B015D8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B015D8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B015D8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B015D8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B015D8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B015D8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B015D8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B015D8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B015D8"/>
    <w:rPr>
      <w:u w:val="single"/>
    </w:rPr>
  </w:style>
  <w:style w:type="character" w:customStyle="1" w:styleId="BoldandItalics">
    <w:name w:val="Bold and Italics"/>
    <w:qFormat/>
    <w:rsid w:val="00B015D8"/>
    <w:rPr>
      <w:b/>
      <w:i/>
      <w:u w:val="none"/>
    </w:rPr>
  </w:style>
  <w:style w:type="paragraph" w:styleId="BalloonText">
    <w:name w:val="Balloon Text"/>
    <w:basedOn w:val="Normal"/>
    <w:link w:val="BalloonTextChar"/>
    <w:rsid w:val="00B015D8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B015D8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B015D8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B015D8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B015D8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B015D8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B015D8"/>
    <w:pPr>
      <w:spacing w:before="0" w:after="0"/>
    </w:pPr>
  </w:style>
  <w:style w:type="paragraph" w:customStyle="1" w:styleId="BodyTextBold">
    <w:name w:val="Body Text Bold"/>
    <w:basedOn w:val="BodyText"/>
    <w:qFormat/>
    <w:rsid w:val="00B015D8"/>
    <w:rPr>
      <w:b/>
    </w:rPr>
  </w:style>
  <w:style w:type="character" w:styleId="Hyperlink">
    <w:name w:val="Hyperlink"/>
    <w:basedOn w:val="DefaultParagraphFont"/>
    <w:uiPriority w:val="99"/>
    <w:unhideWhenUsed/>
    <w:rsid w:val="00A807F7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606</Words>
  <Characters>3923</Characters>
  <Application>Microsoft Office Word</Application>
  <DocSecurity>0</DocSecurity>
  <Lines>196</Lines>
  <Paragraphs>98</Paragraphs>
  <ScaleCrop>false</ScaleCrop>
  <Company>Author-it Software Corporation Ltd.</Company>
  <LinksUpToDate>false</LinksUpToDate>
  <CharactersWithSpaces>4431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PUAEMR019 Contribute to an emergency management process</dc:title>
  <dc:subject>Approved</dc:subject>
  <dc:creator>Australian Industry Standards</dc:creator>
  <cp:keywords>Release: 1</cp:keywords>
  <dc:description>Review Date: 12 April 2008</dc:description>
  <cp:lastModifiedBy>HSD_TPCMSd.prod</cp:lastModifiedBy>
  <cp:revision>3</cp:revision>
  <dcterms:created xsi:type="dcterms:W3CDTF">2022-12-16T01:13:00Z</dcterms:created>
  <dcterms:modified xsi:type="dcterms:W3CDTF">2022-12-16T01:13:00Z</dcterms:modified>
</cp:coreProperties>
</file>