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0C8" w:rsidP="00643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PUAEMR015 Establish and manage a recovery centre</w:t>
      </w:r>
      <w:r>
        <w:fldChar w:fldCharType="end"/>
      </w:r>
    </w:p>
    <w:p w:rsidR="006430C8" w:rsidP="006430C8">
      <w:pPr>
        <w:pStyle w:val="Version"/>
        <w:sectPr w:rsidSect="0001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8C4" w:rsidP="000158C4">
      <w:pPr>
        <w:pStyle w:val="SuperHeading"/>
      </w:pPr>
      <w:r w:rsidRPr="000158C4">
        <w:t>PUAEMR015 Establish and manage a recovery centre</w:t>
      </w:r>
    </w:p>
    <w:p w:rsidR="00000000" w:rsidRPr="000158C4" w:rsidP="000158C4">
      <w:pPr>
        <w:pStyle w:val="Heading1"/>
      </w:pPr>
      <w:bookmarkStart w:id="1" w:name="O_1024563"/>
      <w:bookmarkEnd w:id="1"/>
      <w:r w:rsidRPr="000158C4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0158C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Release 1.</w:t>
            </w:r>
            <w:r w:rsidRPr="000158C4">
              <w:t xml:space="preserve"> This is the first release of this unit of competency in the PUA Public Safety Training Package.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2" w:name="O_1024564"/>
      <w:bookmarkEnd w:id="2"/>
      <w:r w:rsidRPr="000158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This unit of competency involves the skills and knowledge required to set up and opera</w:t>
            </w:r>
            <w:r w:rsidRPr="000158C4">
              <w:t>te an emergency recovery centre to provide comprehensive recovery services. It includes establishing a recovery centre; managing human resources and physical resources; coordinating information flow, recovery services, transition to mainstream services and</w:t>
            </w:r>
            <w:r w:rsidRPr="000158C4">
              <w:t xml:space="preserve"> managing the closure of a recovery centre.</w:t>
            </w:r>
          </w:p>
          <w:p w:rsidR="00000000" w:rsidRPr="000158C4" w:rsidP="000158C4">
            <w:pPr>
              <w:pStyle w:val="BodyText"/>
            </w:pPr>
            <w:r w:rsidRPr="000158C4">
              <w:t xml:space="preserve">The mix of recovery and/or outreach services provided may change throughout the life of a centre to reflect a changing emphasis from short term relief to long term recovery. This may involve management of centre </w:t>
            </w:r>
            <w:r w:rsidRPr="000158C4">
              <w:t>infrastructure; promotion of the centre; management of paid and volunteer staff in a stressful environment; administration, information and financial management and the coordination of service providers.</w:t>
            </w:r>
          </w:p>
          <w:p w:rsidR="00000000" w:rsidRPr="000158C4" w:rsidP="000158C4">
            <w:pPr>
              <w:pStyle w:val="BodyText"/>
            </w:pPr>
            <w:r w:rsidRPr="000158C4">
              <w:t>The unit applies to personnel with responsibility fo</w:t>
            </w:r>
            <w:r w:rsidRPr="000158C4">
              <w:t>r the management of a recovery centre.</w:t>
            </w:r>
          </w:p>
          <w:p w:rsidR="00000000" w:rsidRPr="000158C4" w:rsidP="000158C4">
            <w:pPr>
              <w:pStyle w:val="BodyText"/>
            </w:pPr>
            <w:r w:rsidRPr="000158C4">
              <w:t>No licensing, legislative or certification requirements apply to this unit at the time of publication.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3" w:name="O_1024565"/>
      <w:bookmarkEnd w:id="3"/>
      <w:r w:rsidRPr="000158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Not applicable.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4" w:name="O_1024566"/>
      <w:bookmarkEnd w:id="4"/>
      <w:r w:rsidRPr="000158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Emergency Management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5" w:name="O_1024567"/>
      <w:bookmarkEnd w:id="5"/>
      <w:r w:rsidRPr="000158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Not applicable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6" w:name="O_1024568"/>
      <w:bookmarkEnd w:id="6"/>
      <w:r w:rsidRPr="000158C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PERFORMANCE CRITERIA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Performance criteria describe the performance needed to demonstrate achievement of the element.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Establish recovery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Emergency recovery plans and arrangements, manuals and contact lists are located and implemented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Recovery centre useab</w:t>
            </w:r>
            <w:r w:rsidRPr="000158C4">
              <w:t>ility and convenience are assessed given the likely scale of the emergency and impacts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Recovery centre initial resource needs are assessed and suppliers are selected,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Financial matters, administrative procedures and task delegations are clarified and applied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Utilities and communications are connected and equipment or materials are acquired,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Links with existing a</w:t>
            </w:r>
            <w:r w:rsidRPr="000158C4">
              <w:t>nd emerging stakeholders are established to determine level of involvement with recovery centre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Regular communication with recovery committee manager is established,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Centre layout is designed or organised to optimise efficiency, privacy, security and Work, Health and Safety (WHS)/Occupational Health and Safety (OHS) guidelines,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Manage human resources sustainably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Capac</w:t>
            </w:r>
            <w:r w:rsidRPr="000158C4">
              <w:t>ity or capability of available personnel is assessed and roles and responsibilities are assigned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Regular operational briefings are provided to update staff,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Screening, inducting and integrating new staff is established,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Strategies to ensure wellbeing of all staff are implemented, in accordance with organisational policies and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Staffing contingency plans and rosters are adjusted to meet changing needs and circumstances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Manage physical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An accurate recovery centre assets register is established and maintained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Centre maintenance is organised regularly, in acc</w:t>
            </w:r>
            <w:r w:rsidRPr="000158C4">
              <w:t>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Records of consumables and equipment used are maintained,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Expenditure is tracked and administered, in accordance with financial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Risks are assessed regularly and contingency plans developed for expansion and back up of resources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Coordinate information flow and recovery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Stakeholders are identified and a communication plan is developed, in accordance with organisat</w:t>
            </w:r>
            <w:r w:rsidRPr="000158C4">
              <w:t xml:space="preserve">ional procedures 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Community is provided with accurate and timely service delivery information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Client satisfaction is monitored to ensure inquiries are handled,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Accurate client files are maintained using an integrated electronic database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Key decisions, rationale and service activity levels are recorded to enable reporting and evaluation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Information is reported to stakeholders, in accordance with orga</w:t>
            </w:r>
            <w:r w:rsidRPr="000158C4">
              <w:t>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Strategy for the management of media and very important person visits is developed and implemented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rPr>
                <w:rStyle w:val="SpecialBold"/>
              </w:rPr>
              <w:t>Manage recovery centre closure and transition to mainstream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Transition of emergency centre arrangements are negotiated and publicised to the community to ensure continuity of services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Capacity of mainstream services to meet ongoing recovery needs is promoted, in accordance with media strategy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Files an</w:t>
            </w:r>
            <w:r w:rsidRPr="000158C4">
              <w:t>d information records are checked and rectified, as required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Arrangements for the transportation and secure storage of files and information records are made, in accordance with organisational procedures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Statistical and financial summaries of recovery services delivered are prepared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 xml:space="preserve">An audit of equipment and materials is undertaken against the recovery centre assets register, damages and losses are reported and resources are released or returned to </w:t>
            </w:r>
            <w:r w:rsidRPr="000158C4">
              <w:t>providers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Recovery centre is restored before handover to owner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Operational debriefing is held with recovery centre personnel to evaluate the centre</w:t>
            </w:r>
            <w:r>
              <w:t>’</w:t>
            </w:r>
            <w:r w:rsidRPr="000158C4">
              <w:t>s operation, service delivery and to identify ongoing service delivery needs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t>Arrangements are made to ensure the smooth transition of staff to normal duties</w:t>
            </w:r>
          </w:p>
        </w:tc>
      </w:tr>
      <w:tr w:rsidTr="000158C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8C4">
            <w:pPr>
              <w:pStyle w:val="BodyText"/>
              <w:rPr>
                <w:lang w:val="en-NZ"/>
              </w:rPr>
            </w:pPr>
            <w:r w:rsidRPr="000158C4">
              <w:rPr>
                <w:rStyle w:val="SpecialBold"/>
              </w:rPr>
              <w:t>5.10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 xml:space="preserve">Audit and reporting requirements are completed to assist in future recovery planning 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7" w:name="O_1024569"/>
      <w:bookmarkEnd w:id="7"/>
      <w:r w:rsidRPr="000158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 xml:space="preserve">Foundation skills essential to performance </w:t>
            </w:r>
            <w:r w:rsidRPr="000158C4">
              <w:t>are explicit in the performance criteria of this unit of competency.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8" w:name="O_1024570"/>
      <w:bookmarkEnd w:id="8"/>
      <w:r w:rsidRPr="000158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Range is restricted to essential operating conditions and any other variables essential to the work environment.</w:t>
            </w:r>
          </w:p>
          <w:p w:rsidR="00000000" w:rsidRPr="000158C4" w:rsidP="000158C4">
            <w:pPr>
              <w:pStyle w:val="BodyText"/>
            </w:pPr>
            <w:r w:rsidRPr="000158C4">
              <w:t>Non-essential conditions may be found in the Companion Volume Implementation Guide.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9" w:name="O_1024571"/>
      <w:bookmarkEnd w:id="9"/>
      <w:r w:rsidRPr="000158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8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8C4" w:rsidP="000158C4">
            <w:pPr>
              <w:pStyle w:val="BodyText"/>
            </w:pPr>
            <w:r w:rsidRPr="000158C4">
              <w:t>This unit replaces and is equivalent to PUAEMR015A Establish and manage a recovery centre.</w:t>
            </w:r>
          </w:p>
        </w:tc>
      </w:tr>
    </w:tbl>
    <w:p w:rsidR="00000000" w:rsidRPr="000158C4" w:rsidP="000158C4">
      <w:pPr>
        <w:pStyle w:val="NoPaddingFontSize1"/>
      </w:pPr>
    </w:p>
    <w:p w:rsidR="00000000" w:rsidRPr="000158C4" w:rsidP="000158C4">
      <w:pPr>
        <w:pStyle w:val="AllowPageBreak"/>
      </w:pPr>
    </w:p>
    <w:p w:rsidR="00000000" w:rsidRPr="000158C4" w:rsidP="000158C4">
      <w:pPr>
        <w:pStyle w:val="Heading1"/>
      </w:pPr>
      <w:bookmarkStart w:id="10" w:name="O_1024578"/>
      <w:bookmarkEnd w:id="10"/>
      <w:r w:rsidRPr="000158C4">
        <w:t>Links</w:t>
      </w:r>
    </w:p>
    <w:p w:rsidR="00000000" w:rsidRPr="000158C4" w:rsidP="006430C8">
      <w:pPr>
        <w:pStyle w:val="BodyText"/>
      </w:pPr>
      <w:r w:rsidRPr="000158C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B7D5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158C4" w:rsidP="000158C4"/>
    <w:sectPr w:rsidSect="00015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C4" w:rsidRPr="006430C8" w:rsidP="00643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8" w:rsidP="0001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0C8" w:rsidP="0001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30C8" w:rsidP="0001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8C4" w:rsidRPr="006430C8" w:rsidP="00643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8" w:rsidRPr="002D2AF8" w:rsidP="0001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PUAEMR015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6430C8" w:rsidP="0001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8C4"/>
  </w:style>
  <w:style w:type="character" w:customStyle="1" w:styleId="Heading1Char">
    <w:name w:val="Heading 1 Char"/>
    <w:basedOn w:val="DefaultParagraphFont"/>
    <w:link w:val="Heading1"/>
    <w:rsid w:val="0001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8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58C4"/>
    <w:rPr>
      <w:b/>
      <w:spacing w:val="0"/>
    </w:rPr>
  </w:style>
  <w:style w:type="paragraph" w:customStyle="1" w:styleId="SuperHeading">
    <w:name w:val="SuperHeading"/>
    <w:basedOn w:val="Normal"/>
    <w:rsid w:val="0001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8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8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8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8C4"/>
    <w:rPr>
      <w:i/>
    </w:rPr>
  </w:style>
  <w:style w:type="paragraph" w:styleId="Caption">
    <w:name w:val="caption"/>
    <w:basedOn w:val="BodyText"/>
    <w:next w:val="Normal"/>
    <w:qFormat/>
    <w:rsid w:val="0001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8C4"/>
  </w:style>
  <w:style w:type="paragraph" w:styleId="TableofFigures">
    <w:name w:val="table of figures"/>
    <w:basedOn w:val="Normal"/>
    <w:next w:val="Normal"/>
    <w:semiHidden/>
    <w:rsid w:val="0001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8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58C4"/>
    <w:rPr>
      <w:rFonts w:ascii="Wingdings" w:hAnsi="Wingdings"/>
    </w:rPr>
  </w:style>
  <w:style w:type="paragraph" w:customStyle="1" w:styleId="TableHeading">
    <w:name w:val="Table Heading"/>
    <w:basedOn w:val="HeadingBase"/>
    <w:rsid w:val="0001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8C4"/>
    <w:rPr>
      <w:color w:val="0033CC"/>
      <w:u w:val="none"/>
    </w:rPr>
  </w:style>
  <w:style w:type="paragraph" w:customStyle="1" w:styleId="BodyTextRight">
    <w:name w:val="Body Text Right"/>
    <w:basedOn w:val="BodyText"/>
    <w:rsid w:val="0001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8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8C4"/>
    <w:rPr>
      <w:sz w:val="32"/>
    </w:rPr>
  </w:style>
  <w:style w:type="paragraph" w:customStyle="1" w:styleId="HeadingProcedure">
    <w:name w:val="Heading Procedure"/>
    <w:basedOn w:val="HeadingBase"/>
    <w:next w:val="Normal"/>
    <w:rsid w:val="0001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8C4"/>
    <w:pPr>
      <w:spacing w:before="60" w:after="60"/>
    </w:pPr>
  </w:style>
  <w:style w:type="paragraph" w:styleId="ListContinue">
    <w:name w:val="List Continue"/>
    <w:basedOn w:val="List"/>
    <w:rsid w:val="000158C4"/>
    <w:pPr>
      <w:ind w:firstLine="0"/>
    </w:pPr>
  </w:style>
  <w:style w:type="paragraph" w:customStyle="1" w:styleId="ListNote">
    <w:name w:val="List Note"/>
    <w:basedOn w:val="List"/>
    <w:rsid w:val="0001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8C4"/>
    <w:rPr>
      <w:rFonts w:ascii="Courier New" w:hAnsi="Courier New"/>
    </w:rPr>
  </w:style>
  <w:style w:type="paragraph" w:customStyle="1" w:styleId="NoteBullet">
    <w:name w:val="Note Bullet"/>
    <w:basedOn w:val="Note"/>
    <w:rsid w:val="0001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8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8C4"/>
    <w:rPr>
      <w:b/>
      <w:smallCaps/>
    </w:rPr>
  </w:style>
  <w:style w:type="paragraph" w:customStyle="1" w:styleId="TableListNumber">
    <w:name w:val="Table List Number"/>
    <w:basedOn w:val="ListNumber"/>
    <w:rsid w:val="0001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8C4"/>
    <w:pPr>
      <w:numPr>
        <w:numId w:val="7"/>
      </w:numPr>
    </w:pPr>
  </w:style>
  <w:style w:type="paragraph" w:customStyle="1" w:styleId="ListAlpha2">
    <w:name w:val="List Alpha 2"/>
    <w:basedOn w:val="List2"/>
    <w:rsid w:val="000158C4"/>
    <w:pPr>
      <w:numPr>
        <w:numId w:val="6"/>
      </w:numPr>
    </w:pPr>
  </w:style>
  <w:style w:type="paragraph" w:styleId="List2">
    <w:name w:val="List 2"/>
    <w:basedOn w:val="BodyText"/>
    <w:rsid w:val="0001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8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8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58C4"/>
    <w:pPr>
      <w:numPr>
        <w:numId w:val="2"/>
      </w:numPr>
    </w:pPr>
  </w:style>
  <w:style w:type="paragraph" w:styleId="ListContinue2">
    <w:name w:val="List Continue 2"/>
    <w:basedOn w:val="List2"/>
    <w:rsid w:val="000158C4"/>
    <w:pPr>
      <w:ind w:firstLine="0"/>
    </w:pPr>
  </w:style>
  <w:style w:type="paragraph" w:styleId="ListContinue3">
    <w:name w:val="List Continue 3"/>
    <w:basedOn w:val="List3"/>
    <w:rsid w:val="000158C4"/>
    <w:pPr>
      <w:ind w:left="1021" w:firstLine="0"/>
    </w:pPr>
  </w:style>
  <w:style w:type="paragraph" w:styleId="ListContinue4">
    <w:name w:val="List Continue 4"/>
    <w:basedOn w:val="List4"/>
    <w:rsid w:val="000158C4"/>
    <w:pPr>
      <w:ind w:firstLine="0"/>
    </w:pPr>
  </w:style>
  <w:style w:type="paragraph" w:styleId="ListContinue5">
    <w:name w:val="List Continue 5"/>
    <w:basedOn w:val="List5"/>
    <w:rsid w:val="000158C4"/>
    <w:pPr>
      <w:ind w:firstLine="0"/>
    </w:pPr>
  </w:style>
  <w:style w:type="paragraph" w:styleId="ListNumber3">
    <w:name w:val="List Number 3"/>
    <w:basedOn w:val="List3"/>
    <w:rsid w:val="000158C4"/>
    <w:pPr>
      <w:numPr>
        <w:numId w:val="3"/>
      </w:numPr>
    </w:pPr>
  </w:style>
  <w:style w:type="paragraph" w:styleId="ListNumber4">
    <w:name w:val="List Number 4"/>
    <w:basedOn w:val="List4"/>
    <w:rsid w:val="000158C4"/>
    <w:pPr>
      <w:numPr>
        <w:numId w:val="4"/>
      </w:numPr>
    </w:pPr>
  </w:style>
  <w:style w:type="paragraph" w:styleId="ListNumber5">
    <w:name w:val="List Number 5"/>
    <w:basedOn w:val="List5"/>
    <w:rsid w:val="000158C4"/>
    <w:pPr>
      <w:numPr>
        <w:numId w:val="5"/>
      </w:numPr>
    </w:pPr>
  </w:style>
  <w:style w:type="paragraph" w:styleId="BlockText">
    <w:name w:val="Block Text"/>
    <w:basedOn w:val="Normal"/>
    <w:rsid w:val="0001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8C4"/>
    <w:rPr>
      <w:sz w:val="16"/>
      <w:vertAlign w:val="superscript"/>
    </w:rPr>
  </w:style>
  <w:style w:type="character" w:customStyle="1" w:styleId="Symbols">
    <w:name w:val="Symbols"/>
    <w:basedOn w:val="DefaultParagraphFont"/>
    <w:rsid w:val="000158C4"/>
    <w:rPr>
      <w:rFonts w:ascii="Symbol" w:hAnsi="Symbol"/>
    </w:rPr>
  </w:style>
  <w:style w:type="character" w:customStyle="1" w:styleId="MenuOptions">
    <w:name w:val="Menu Options"/>
    <w:basedOn w:val="DefaultParagraphFont"/>
    <w:rsid w:val="0001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8C4"/>
    <w:rPr>
      <w:b/>
    </w:rPr>
  </w:style>
  <w:style w:type="character" w:customStyle="1" w:styleId="Underlined">
    <w:name w:val="Underlined"/>
    <w:basedOn w:val="DefaultParagraphFont"/>
    <w:rsid w:val="000158C4"/>
    <w:rPr>
      <w:u w:val="single"/>
    </w:rPr>
  </w:style>
  <w:style w:type="paragraph" w:customStyle="1" w:styleId="TableBodyTextRight">
    <w:name w:val="Table Body Text Right"/>
    <w:basedOn w:val="TableBodyText"/>
    <w:rsid w:val="0001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8C4"/>
    <w:rPr>
      <w:sz w:val="18"/>
    </w:rPr>
  </w:style>
  <w:style w:type="paragraph" w:customStyle="1" w:styleId="BodySmallRight">
    <w:name w:val="Body Small Right"/>
    <w:basedOn w:val="BodyTextRight"/>
    <w:rsid w:val="000158C4"/>
    <w:rPr>
      <w:sz w:val="18"/>
      <w:szCs w:val="18"/>
    </w:rPr>
  </w:style>
  <w:style w:type="paragraph" w:customStyle="1" w:styleId="MarginEdition">
    <w:name w:val="Margin Edition"/>
    <w:basedOn w:val="MarginNote"/>
    <w:rsid w:val="0001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8C4"/>
    <w:rPr>
      <w:sz w:val="2"/>
      <w:szCs w:val="2"/>
    </w:rPr>
  </w:style>
  <w:style w:type="character" w:customStyle="1" w:styleId="Small">
    <w:name w:val="Small"/>
    <w:basedOn w:val="DefaultParagraphFont"/>
    <w:rsid w:val="000158C4"/>
    <w:rPr>
      <w:sz w:val="16"/>
    </w:rPr>
  </w:style>
  <w:style w:type="paragraph" w:customStyle="1" w:styleId="WideTable">
    <w:name w:val="Wide Table"/>
    <w:basedOn w:val="Normal"/>
    <w:rsid w:val="0001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8C4"/>
  </w:style>
  <w:style w:type="paragraph" w:styleId="Quote">
    <w:name w:val="Quote"/>
    <w:basedOn w:val="Heading1"/>
    <w:link w:val="QuoteChar"/>
    <w:qFormat/>
    <w:rsid w:val="0001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8C4"/>
    <w:pPr>
      <w:pageBreakBefore/>
    </w:pPr>
  </w:style>
  <w:style w:type="paragraph" w:customStyle="1" w:styleId="Border">
    <w:name w:val="Border"/>
    <w:basedOn w:val="Normal"/>
    <w:qFormat/>
    <w:rsid w:val="0001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8C4"/>
    <w:rPr>
      <w:u w:val="single"/>
    </w:rPr>
  </w:style>
  <w:style w:type="character" w:customStyle="1" w:styleId="BoldandItalics">
    <w:name w:val="Bold and Italics"/>
    <w:qFormat/>
    <w:rsid w:val="000158C4"/>
    <w:rPr>
      <w:b/>
      <w:i/>
      <w:u w:val="none"/>
    </w:rPr>
  </w:style>
  <w:style w:type="paragraph" w:styleId="BalloonText">
    <w:name w:val="Balloon Text"/>
    <w:basedOn w:val="Normal"/>
    <w:link w:val="BalloonTextChar"/>
    <w:rsid w:val="0001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8C4"/>
    <w:pPr>
      <w:spacing w:before="0" w:after="0"/>
    </w:pPr>
  </w:style>
  <w:style w:type="paragraph" w:customStyle="1" w:styleId="BodyTextBold">
    <w:name w:val="Body Text Bold"/>
    <w:basedOn w:val="BodyText"/>
    <w:qFormat/>
    <w:rsid w:val="000158C4"/>
    <w:rPr>
      <w:b/>
    </w:rPr>
  </w:style>
  <w:style w:type="character" w:styleId="Hyperlink">
    <w:name w:val="Hyperlink"/>
    <w:basedOn w:val="DefaultParagraphFont"/>
    <w:uiPriority w:val="99"/>
    <w:unhideWhenUsed/>
    <w:rsid w:val="00643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5664</Characters>
  <Application>Microsoft Office Word</Application>
  <DocSecurity>0</DocSecurity>
  <Lines>283</Lines>
  <Paragraphs>131</Paragraphs>
  <ScaleCrop>false</ScaleCrop>
  <Company>Author-it Software Corporation Ltd.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PUAEMR015 Establish and manage a recovery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2020-12-17T22:39:00Z</dcterms:created>
  <dcterms:modified xsi:type="dcterms:W3CDTF">2020-12-17T22:39:00Z</dcterms:modified>
</cp:coreProperties>
</file>