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AB1" w:rsidP="00403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PUAEMR015 Establish and manage a recovery centre</w:t>
      </w:r>
      <w:r>
        <w:fldChar w:fldCharType="end"/>
      </w:r>
    </w:p>
    <w:p w:rsidR="00403AB1" w:rsidP="00403AB1">
      <w:pPr>
        <w:pStyle w:val="Version"/>
        <w:sectPr w:rsidSect="00124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DBC" w:rsidP="00124DBC">
      <w:pPr>
        <w:pStyle w:val="SuperHeading"/>
      </w:pPr>
      <w:r w:rsidRPr="00124DBC">
        <w:t>Assessment Requirements for PUAEMR015 Establish and manage a recovery centre</w:t>
      </w:r>
    </w:p>
    <w:p w:rsidR="00000000" w:rsidRPr="00124DBC" w:rsidP="00124DBC">
      <w:pPr>
        <w:pStyle w:val="Heading1"/>
      </w:pPr>
      <w:bookmarkStart w:id="1" w:name="O_1024573"/>
      <w:bookmarkEnd w:id="1"/>
      <w:r w:rsidRPr="00124D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D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DBC" w:rsidP="00124DBC">
            <w:pPr>
              <w:pStyle w:val="BodyText"/>
            </w:pPr>
            <w:r w:rsidRPr="00124DBC">
              <w:rPr>
                <w:rStyle w:val="SpecialBold"/>
              </w:rPr>
              <w:t>Release 1.</w:t>
            </w:r>
            <w:r w:rsidRPr="00124DBC">
              <w:t xml:space="preserve"> This is the first release of this unit of competency in the PUA Public Safety Training Package.</w:t>
            </w:r>
          </w:p>
        </w:tc>
      </w:tr>
    </w:tbl>
    <w:p w:rsidR="00000000" w:rsidRPr="00124DBC" w:rsidP="00124DBC">
      <w:pPr>
        <w:pStyle w:val="NoPaddingFontSize1"/>
      </w:pPr>
    </w:p>
    <w:p w:rsidR="00000000" w:rsidRPr="00124DBC" w:rsidP="00124DBC">
      <w:pPr>
        <w:pStyle w:val="AllowPageBreak"/>
      </w:pPr>
    </w:p>
    <w:p w:rsidR="00000000" w:rsidRPr="00124DBC" w:rsidP="00124DBC">
      <w:pPr>
        <w:pStyle w:val="Heading1"/>
      </w:pPr>
      <w:bookmarkStart w:id="2" w:name="O_1024574"/>
      <w:bookmarkEnd w:id="2"/>
      <w:r w:rsidRPr="00124D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D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DBC">
            <w:pPr>
              <w:pStyle w:val="BodyText"/>
              <w:rPr>
                <w:lang w:val="en-NZ"/>
              </w:rPr>
            </w:pPr>
            <w:r w:rsidRPr="00124DBC">
              <w:t xml:space="preserve">Evidence required to demonstrate competence in this unit must be relevant to and satisfy all the requirements of the elements and performance criteria on at least two occasions and includes </w:t>
            </w:r>
          </w:p>
        </w:tc>
      </w:tr>
      <w:tr w:rsidTr="00124D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DBC" w:rsidP="00124DBC">
            <w:pPr>
              <w:pStyle w:val="ListBullet"/>
            </w:pPr>
            <w:r w:rsidRPr="00124DBC">
              <w:t>analysing recovery centre financial report</w:t>
            </w:r>
            <w:r w:rsidRPr="00124DBC">
              <w:t>s</w:t>
            </w:r>
          </w:p>
          <w:p w:rsidR="00000000" w:rsidRPr="00124DBC" w:rsidP="00124DBC">
            <w:pPr>
              <w:pStyle w:val="ListBullet"/>
            </w:pPr>
            <w:r w:rsidRPr="00124DBC">
              <w:t>applying Work, Health and Safety (WHS)/Occupational Health and Safety (OHS) requirements</w:t>
            </w:r>
          </w:p>
          <w:p w:rsidR="00000000" w:rsidRPr="00124DBC" w:rsidP="00124DBC">
            <w:pPr>
              <w:pStyle w:val="ListBullet"/>
            </w:pPr>
            <w:r w:rsidRPr="00124DBC">
              <w:t>conducting briefings and debriefings including</w:t>
            </w:r>
          </w:p>
          <w:p w:rsidR="00000000" w:rsidRPr="00124DBC" w:rsidP="00124DBC">
            <w:pPr>
              <w:pStyle w:val="ListBullet2"/>
            </w:pPr>
            <w:r w:rsidRPr="00124DBC">
              <w:t>detail of specific activities</w:t>
            </w:r>
          </w:p>
          <w:p w:rsidR="00000000" w:rsidRPr="00124DBC" w:rsidP="00124DBC">
            <w:pPr>
              <w:pStyle w:val="ListBullet2"/>
            </w:pPr>
            <w:r w:rsidRPr="00124DBC">
              <w:t>emergent issues</w:t>
            </w:r>
          </w:p>
          <w:p w:rsidR="00000000" w:rsidRPr="00124DBC" w:rsidP="00124DBC">
            <w:pPr>
              <w:pStyle w:val="ListBullet2"/>
            </w:pPr>
            <w:r w:rsidRPr="00124DBC">
              <w:t>following organisational policies and procedures</w:t>
            </w:r>
          </w:p>
          <w:p w:rsidR="00000000" w:rsidRPr="00124DBC" w:rsidP="00124DBC">
            <w:pPr>
              <w:pStyle w:val="ListBullet2"/>
            </w:pPr>
            <w:r w:rsidRPr="00124DBC">
              <w:t>identification of persons in charge, organisations and people involved in the operation</w:t>
            </w:r>
          </w:p>
          <w:p w:rsidR="00000000" w:rsidRPr="00124DBC" w:rsidP="00124DBC">
            <w:pPr>
              <w:pStyle w:val="ListBullet2"/>
            </w:pPr>
            <w:r w:rsidRPr="00124DBC">
              <w:t>methods and timing of communication</w:t>
            </w:r>
          </w:p>
          <w:p w:rsidR="00000000" w:rsidRPr="00124DBC" w:rsidP="00124DBC">
            <w:pPr>
              <w:pStyle w:val="ListBullet2"/>
            </w:pPr>
            <w:r w:rsidRPr="00124DBC">
              <w:t>overview of recovery purpose and operations</w:t>
            </w:r>
          </w:p>
          <w:p w:rsidR="00000000" w:rsidRPr="00124DBC" w:rsidP="00124DBC">
            <w:pPr>
              <w:pStyle w:val="ListBullet2"/>
            </w:pPr>
            <w:r w:rsidRPr="00124DBC">
              <w:t>overview of the nature and impact of the emergency</w:t>
            </w:r>
          </w:p>
          <w:p w:rsidR="00000000" w:rsidRPr="00124DBC" w:rsidP="00124DBC">
            <w:pPr>
              <w:pStyle w:val="ListBullet2"/>
            </w:pPr>
            <w:r w:rsidRPr="00124DBC">
              <w:t>preparing communication reports and i</w:t>
            </w:r>
            <w:r w:rsidRPr="00124DBC">
              <w:t>nformation briefs to suit a range of audiences</w:t>
            </w:r>
          </w:p>
          <w:p w:rsidR="00000000" w:rsidRPr="00124DBC" w:rsidP="00124DBC">
            <w:pPr>
              <w:pStyle w:val="ListBullet2"/>
            </w:pPr>
            <w:r w:rsidRPr="00124DBC">
              <w:t>protocols and procedures</w:t>
            </w:r>
          </w:p>
          <w:p w:rsidR="00000000" w:rsidRPr="00124DBC" w:rsidP="00124DBC">
            <w:pPr>
              <w:pStyle w:val="ListBullet2"/>
            </w:pPr>
            <w:r w:rsidRPr="00124DBC">
              <w:t>resources available and not available</w:t>
            </w:r>
          </w:p>
          <w:p w:rsidR="00000000" w:rsidRPr="00124DBC" w:rsidP="00124DBC">
            <w:pPr>
              <w:pStyle w:val="ListBullet2"/>
            </w:pPr>
            <w:r w:rsidRPr="00124DBC">
              <w:t>staff arrangements including such as shift timings, breaks, meals and additional support</w:t>
            </w:r>
          </w:p>
          <w:p w:rsidR="00000000" w:rsidRPr="00124DBC" w:rsidP="00124DBC">
            <w:pPr>
              <w:pStyle w:val="ListBullet"/>
            </w:pPr>
            <w:r w:rsidRPr="00124DBC">
              <w:t>establishing and managing a recovery centre including</w:t>
            </w:r>
          </w:p>
          <w:p w:rsidR="00000000" w:rsidRPr="00124DBC" w:rsidP="00124DBC">
            <w:pPr>
              <w:pStyle w:val="ListBullet2"/>
            </w:pPr>
            <w:r w:rsidRPr="00124DBC">
              <w:t>c</w:t>
            </w:r>
            <w:r w:rsidRPr="00124DBC">
              <w:t>ollecting data and information</w:t>
            </w:r>
          </w:p>
          <w:p w:rsidR="00000000" w:rsidRPr="00124DBC" w:rsidP="00124DBC">
            <w:pPr>
              <w:pStyle w:val="ListBullet2"/>
            </w:pPr>
            <w:r w:rsidRPr="00124DBC">
              <w:t>communicating with community members with diverse needs, perspectives and cultural backgrounds</w:t>
            </w:r>
          </w:p>
          <w:p w:rsidR="00000000" w:rsidRPr="00124DBC" w:rsidP="00124DBC">
            <w:pPr>
              <w:pStyle w:val="ListBullet2"/>
            </w:pPr>
            <w:r w:rsidRPr="00124DBC">
              <w:t xml:space="preserve">demonstrating interpersonal skills including diplomacy, tact, negotiation and conflict resolution </w:t>
            </w:r>
          </w:p>
          <w:p w:rsidR="00000000" w:rsidRPr="00124DBC" w:rsidP="00124DBC">
            <w:pPr>
              <w:pStyle w:val="ListBullet2"/>
            </w:pPr>
            <w:r w:rsidRPr="00124DBC">
              <w:t>demonstrating organisational skills including prioritising, resource assessment and allocation and use of equipment</w:t>
            </w:r>
          </w:p>
          <w:p w:rsidR="00000000" w:rsidRPr="00124DBC" w:rsidP="00124DBC">
            <w:pPr>
              <w:pStyle w:val="ListBullet2"/>
            </w:pPr>
            <w:r w:rsidRPr="00124DBC">
              <w:t>layout of recovery centre and promotion of services</w:t>
            </w:r>
          </w:p>
          <w:p w:rsidR="00000000" w:rsidRPr="00124DBC" w:rsidP="00124DBC">
            <w:pPr>
              <w:pStyle w:val="ListBullet2"/>
            </w:pPr>
            <w:r w:rsidRPr="00124DBC">
              <w:t>maintaining accurate files and records</w:t>
            </w:r>
          </w:p>
          <w:p w:rsidR="00000000" w:rsidRPr="00124DBC" w:rsidP="00124DBC">
            <w:pPr>
              <w:pStyle w:val="ListBullet2"/>
            </w:pPr>
            <w:r w:rsidRPr="00124DBC">
              <w:t>managing daily recovery centre operations</w:t>
            </w:r>
          </w:p>
          <w:p w:rsidR="00000000" w:rsidRPr="00124DBC" w:rsidP="00124DBC">
            <w:pPr>
              <w:pStyle w:val="ListBullet2"/>
            </w:pPr>
            <w:r w:rsidRPr="00124DBC">
              <w:t>managin</w:t>
            </w:r>
            <w:r w:rsidRPr="00124DBC">
              <w:t>g recovery centre closure and transition to mainstream services</w:t>
            </w:r>
          </w:p>
          <w:p w:rsidR="00000000" w:rsidRPr="00124DBC" w:rsidP="00124DBC">
            <w:pPr>
              <w:pStyle w:val="ListBullet2"/>
            </w:pPr>
            <w:r w:rsidRPr="00124DBC">
              <w:t>monitoring and adjusting recovery services to suit changing needs</w:t>
            </w:r>
          </w:p>
          <w:p w:rsidR="00000000" w:rsidRPr="00124DBC" w:rsidP="00124DBC">
            <w:pPr>
              <w:pStyle w:val="ListBullet"/>
            </w:pPr>
            <w:r w:rsidRPr="00124DBC">
              <w:t>liaising with other organisations, service providers, coordinators and controllers</w:t>
            </w:r>
          </w:p>
          <w:p w:rsidR="00000000" w:rsidRPr="00124DBC" w:rsidP="00124DBC">
            <w:pPr>
              <w:pStyle w:val="ListBullet"/>
            </w:pPr>
            <w:r w:rsidRPr="00124DBC">
              <w:t>locating recovery plans and identifying ar</w:t>
            </w:r>
            <w:r w:rsidRPr="00124DBC">
              <w:t>rangements and initial resource needs</w:t>
            </w:r>
          </w:p>
          <w:p w:rsidR="00000000" w:rsidRPr="00124DBC" w:rsidP="00124DBC">
            <w:pPr>
              <w:pStyle w:val="ListBullet"/>
            </w:pPr>
            <w:r w:rsidRPr="00124DBC">
              <w:t>recognising stress behaviours and recovery needs of clients and personnel</w:t>
            </w:r>
          </w:p>
          <w:p w:rsidR="00000000" w:rsidRPr="00124DBC" w:rsidP="00124DBC">
            <w:pPr>
              <w:pStyle w:val="ListBullet"/>
            </w:pPr>
            <w:r w:rsidRPr="00124DBC">
              <w:t>working with competing and conflicting priorities and possible shortage of resources.</w:t>
            </w:r>
          </w:p>
        </w:tc>
      </w:tr>
    </w:tbl>
    <w:p w:rsidR="00000000" w:rsidRPr="00124DBC" w:rsidP="00124DBC">
      <w:pPr>
        <w:pStyle w:val="NoPaddingFontSize1"/>
      </w:pPr>
    </w:p>
    <w:p w:rsidR="00000000" w:rsidRPr="00124DBC" w:rsidP="00124DBC">
      <w:pPr>
        <w:pStyle w:val="AllowPageBreak"/>
      </w:pPr>
    </w:p>
    <w:p w:rsidR="00000000" w:rsidRPr="00124DBC" w:rsidP="00124DBC">
      <w:pPr>
        <w:pStyle w:val="Heading1"/>
      </w:pPr>
      <w:bookmarkStart w:id="3" w:name="O_1024575"/>
      <w:bookmarkEnd w:id="3"/>
      <w:r w:rsidRPr="00124D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D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DBC">
            <w:pPr>
              <w:pStyle w:val="BodyText"/>
              <w:rPr>
                <w:lang w:val="en-NZ"/>
              </w:rPr>
            </w:pPr>
            <w:r w:rsidRPr="00124DB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124D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DBC" w:rsidP="00124DBC">
            <w:pPr>
              <w:pStyle w:val="ListBullet"/>
            </w:pPr>
            <w:r w:rsidRPr="00124DBC">
              <w:t>audit and reporting requirements including</w:t>
            </w:r>
          </w:p>
          <w:p w:rsidR="00000000" w:rsidRPr="00124DBC" w:rsidP="00124DBC">
            <w:pPr>
              <w:pStyle w:val="ListBullet2"/>
            </w:pPr>
            <w:r w:rsidRPr="00124DBC">
              <w:t>analysis of service statistics</w:t>
            </w:r>
          </w:p>
          <w:p w:rsidR="00000000" w:rsidRPr="00124DBC" w:rsidP="00124DBC">
            <w:pPr>
              <w:pStyle w:val="ListBullet2"/>
            </w:pPr>
            <w:r w:rsidRPr="00124DBC">
              <w:t>comparison of grant applications against operational logs and grant criteria</w:t>
            </w:r>
          </w:p>
          <w:p w:rsidR="00000000" w:rsidRPr="00124DBC" w:rsidP="00124DBC">
            <w:pPr>
              <w:pStyle w:val="ListBullet2"/>
            </w:pPr>
            <w:r w:rsidRPr="00124DBC">
              <w:t>coronial inquiries</w:t>
            </w:r>
          </w:p>
          <w:p w:rsidR="00000000" w:rsidRPr="00124DBC" w:rsidP="00124DBC">
            <w:pPr>
              <w:pStyle w:val="ListBullet2"/>
            </w:pPr>
            <w:r w:rsidRPr="00124DBC">
              <w:t>evaluation and revision of policies and procedures</w:t>
            </w:r>
          </w:p>
          <w:p w:rsidR="00000000" w:rsidRPr="00124DBC" w:rsidP="00124DBC">
            <w:pPr>
              <w:pStyle w:val="ListBullet2"/>
            </w:pPr>
            <w:r w:rsidRPr="00124DBC">
              <w:t>key decisions and rationale</w:t>
            </w:r>
          </w:p>
          <w:p w:rsidR="00000000" w:rsidRPr="00124DBC" w:rsidP="00124DBC">
            <w:pPr>
              <w:pStyle w:val="ListBullet"/>
            </w:pPr>
            <w:r w:rsidRPr="00124DBC">
              <w:t>characteristics of common emergency events together with related impacts, recove</w:t>
            </w:r>
            <w:r w:rsidRPr="00124DBC">
              <w:t>ry needs and issues</w:t>
            </w:r>
          </w:p>
          <w:p w:rsidR="00000000" w:rsidRPr="00124DBC" w:rsidP="00124DBC">
            <w:pPr>
              <w:pStyle w:val="ListBullet"/>
            </w:pPr>
            <w:r w:rsidRPr="00124DBC">
              <w:t>communication strategies for promoting the centre</w:t>
            </w:r>
            <w:r>
              <w:t>’</w:t>
            </w:r>
            <w:r w:rsidRPr="00124DBC">
              <w:t>s recovery services</w:t>
            </w:r>
          </w:p>
          <w:p w:rsidR="00000000" w:rsidRPr="00124DBC" w:rsidP="00124DBC">
            <w:pPr>
              <w:pStyle w:val="ListBullet"/>
            </w:pPr>
            <w:r w:rsidRPr="00124DBC">
              <w:t>design principles for recovery centres along with essential equipment, systems, consumables and initial resource requirements</w:t>
            </w:r>
          </w:p>
          <w:p w:rsidR="00000000" w:rsidRPr="00124DBC" w:rsidP="00124DBC">
            <w:pPr>
              <w:pStyle w:val="ListBullet"/>
            </w:pPr>
            <w:r w:rsidRPr="00124DBC">
              <w:t>layout of the recovery centre including</w:t>
            </w:r>
          </w:p>
          <w:p w:rsidR="00000000" w:rsidRPr="00124DBC" w:rsidP="00124DBC">
            <w:pPr>
              <w:pStyle w:val="ListBullet2"/>
            </w:pPr>
            <w:r w:rsidRPr="00124DBC">
              <w:t>appropriate signage</w:t>
            </w:r>
          </w:p>
          <w:p w:rsidR="00000000" w:rsidRPr="00124DBC" w:rsidP="00124DBC">
            <w:pPr>
              <w:pStyle w:val="ListBullet2"/>
            </w:pPr>
            <w:r w:rsidRPr="00124DBC">
              <w:t>car parking</w:t>
            </w:r>
          </w:p>
          <w:p w:rsidR="00000000" w:rsidRPr="00124DBC" w:rsidP="00124DBC">
            <w:pPr>
              <w:pStyle w:val="ListBullet2"/>
            </w:pPr>
            <w:r w:rsidRPr="00124DBC">
              <w:t>childminding</w:t>
            </w:r>
          </w:p>
          <w:p w:rsidR="00000000" w:rsidRPr="00124DBC" w:rsidP="00124DBC">
            <w:pPr>
              <w:pStyle w:val="ListBullet2"/>
            </w:pPr>
            <w:r w:rsidRPr="00124DBC">
              <w:t>floor plan to optimise access and mobility</w:t>
            </w:r>
          </w:p>
          <w:p w:rsidR="00000000" w:rsidRPr="00124DBC" w:rsidP="00124DBC">
            <w:pPr>
              <w:pStyle w:val="ListBullet2"/>
            </w:pPr>
            <w:r w:rsidRPr="00124DBC">
              <w:t>heating and cooling</w:t>
            </w:r>
          </w:p>
          <w:p w:rsidR="00000000" w:rsidRPr="00124DBC" w:rsidP="00124DBC">
            <w:pPr>
              <w:pStyle w:val="ListBullet2"/>
            </w:pPr>
            <w:r w:rsidRPr="00124DBC">
              <w:t>office storage</w:t>
            </w:r>
          </w:p>
          <w:p w:rsidR="00000000" w:rsidRPr="00124DBC" w:rsidP="00124DBC">
            <w:pPr>
              <w:pStyle w:val="ListBullet2"/>
            </w:pPr>
            <w:r w:rsidRPr="00124DBC">
              <w:t>public noticeboard and staff information boards</w:t>
            </w:r>
          </w:p>
          <w:p w:rsidR="00000000" w:rsidRPr="00124DBC" w:rsidP="00124DBC">
            <w:pPr>
              <w:pStyle w:val="ListBullet2"/>
            </w:pPr>
            <w:r w:rsidRPr="00124DBC">
              <w:t>reception, interview, meeting, staff and quiet rooms for privacy including toilets, showers, kitchen and catering facilities</w:t>
            </w:r>
          </w:p>
          <w:p w:rsidR="00000000" w:rsidRPr="00124DBC" w:rsidP="00124DBC">
            <w:pPr>
              <w:pStyle w:val="ListBullet2"/>
            </w:pPr>
            <w:r w:rsidRPr="00124DBC">
              <w:t>security</w:t>
            </w:r>
          </w:p>
          <w:p w:rsidR="00000000" w:rsidRPr="00124DBC" w:rsidP="00124DBC">
            <w:pPr>
              <w:pStyle w:val="ListBullet2"/>
            </w:pPr>
            <w:r w:rsidRPr="00124DBC">
              <w:t>technological connections</w:t>
            </w:r>
          </w:p>
          <w:p w:rsidR="00000000" w:rsidRPr="00124DBC" w:rsidP="00124DBC">
            <w:pPr>
              <w:pStyle w:val="ListBullet"/>
            </w:pPr>
            <w:r w:rsidRPr="00124DBC">
              <w:t xml:space="preserve">legislative and regulatory framework </w:t>
            </w:r>
          </w:p>
          <w:p w:rsidR="00000000" w:rsidRPr="00124DBC" w:rsidP="00124DBC">
            <w:pPr>
              <w:pStyle w:val="ListBullet"/>
            </w:pPr>
            <w:r w:rsidRPr="00124DBC">
              <w:t>local, state and territory emergency management arrangeme</w:t>
            </w:r>
            <w:r w:rsidRPr="00124DBC">
              <w:t>nts and recovery programs</w:t>
            </w:r>
          </w:p>
          <w:p w:rsidR="00000000" w:rsidRPr="00124DBC" w:rsidP="00124DBC">
            <w:pPr>
              <w:pStyle w:val="ListBullet"/>
            </w:pPr>
            <w:r w:rsidRPr="00124DBC">
              <w:t>organisational documentation, policies and procedures including facility emergency response plans</w:t>
            </w:r>
          </w:p>
          <w:p w:rsidR="00000000" w:rsidRPr="00124DBC" w:rsidP="00124DBC">
            <w:pPr>
              <w:pStyle w:val="ListBullet"/>
            </w:pPr>
            <w:r w:rsidRPr="00124DBC">
              <w:t xml:space="preserve">principles of recovery management </w:t>
            </w:r>
          </w:p>
          <w:p w:rsidR="00000000" w:rsidRPr="00124DBC" w:rsidP="00124DBC">
            <w:pPr>
              <w:pStyle w:val="ListBullet"/>
            </w:pPr>
            <w:r w:rsidRPr="00124DBC">
              <w:t>procedures relating to recovery centre manager role and responsibilities including financial mana</w:t>
            </w:r>
            <w:r w:rsidRPr="00124DBC">
              <w:t>gement, coordinating appeals and donations, liaison, auditing, reporting, centre administration and media requirements</w:t>
            </w:r>
          </w:p>
          <w:p w:rsidR="00000000" w:rsidRPr="00124DBC" w:rsidP="00124DBC">
            <w:pPr>
              <w:pStyle w:val="ListBullet"/>
            </w:pPr>
            <w:r w:rsidRPr="00124DBC">
              <w:t>range of stakeholders who contribute to emergency and disaster recovery operations, including grants, assistance programs and services</w:t>
            </w:r>
          </w:p>
          <w:p w:rsidR="00000000" w:rsidRPr="00124DBC" w:rsidP="00124DBC">
            <w:pPr>
              <w:pStyle w:val="ListBullet"/>
            </w:pPr>
            <w:r w:rsidRPr="00124DBC">
              <w:t>re</w:t>
            </w:r>
            <w:r w:rsidRPr="00124DBC">
              <w:t>covery plans and arrangements including</w:t>
            </w:r>
          </w:p>
          <w:p w:rsidR="00000000" w:rsidRPr="00124DBC" w:rsidP="00124DBC">
            <w:pPr>
              <w:pStyle w:val="ListBullet2"/>
            </w:pPr>
            <w:r w:rsidRPr="00124DBC">
              <w:t>arrangements specified in legislation or regulation</w:t>
            </w:r>
          </w:p>
          <w:p w:rsidR="00000000" w:rsidRPr="00124DBC" w:rsidP="00124DBC">
            <w:pPr>
              <w:pStyle w:val="ListBullet2"/>
            </w:pPr>
            <w:r w:rsidRPr="00124DBC">
              <w:t>existing recovery plans, agreements or memoranda of understanding and contact lists</w:t>
            </w:r>
          </w:p>
          <w:p w:rsidR="00000000" w:rsidRPr="00124DBC" w:rsidP="00124DBC">
            <w:pPr>
              <w:pStyle w:val="ListBullet2"/>
            </w:pPr>
            <w:r w:rsidRPr="00124DBC">
              <w:t>local planning regulations, development controls and environmental plans</w:t>
            </w:r>
          </w:p>
          <w:p w:rsidR="00000000" w:rsidRPr="00124DBC" w:rsidP="00124DBC">
            <w:pPr>
              <w:pStyle w:val="ListBullet2"/>
            </w:pPr>
            <w:r w:rsidRPr="00124DBC">
              <w:t>organisational or jurisdictional emergency recovery policies or procedures including media protocols and techniques</w:t>
            </w:r>
          </w:p>
          <w:p w:rsidR="00000000" w:rsidRPr="00124DBC" w:rsidP="00124DBC">
            <w:pPr>
              <w:pStyle w:val="ListBullet2"/>
            </w:pPr>
            <w:r w:rsidRPr="00124DBC">
              <w:t xml:space="preserve">Work, Health and Safety (WHS)/Occupational Health and Safety (OHS) requirements including risk mitigation </w:t>
            </w:r>
          </w:p>
          <w:p w:rsidR="00000000" w:rsidRPr="00124DBC" w:rsidP="00124DBC">
            <w:pPr>
              <w:pStyle w:val="ListBullet"/>
            </w:pPr>
            <w:r w:rsidRPr="00124DBC">
              <w:t>specific needs and sensitivities</w:t>
            </w:r>
            <w:r w:rsidRPr="00124DBC">
              <w:t xml:space="preserve"> of affected communities including cultural, language, religious, physical and dietary requirements </w:t>
            </w:r>
          </w:p>
          <w:p w:rsidR="00000000" w:rsidRPr="00124DBC" w:rsidP="00124DBC">
            <w:pPr>
              <w:pStyle w:val="ListBullet"/>
            </w:pPr>
            <w:r w:rsidRPr="00124DBC">
              <w:t xml:space="preserve">WHS/OHS principles and procedures for ensuring safety of recovery operation personnel and visitors </w:t>
            </w:r>
          </w:p>
        </w:tc>
      </w:tr>
    </w:tbl>
    <w:p w:rsidR="00000000" w:rsidRPr="00124DBC" w:rsidP="00124DBC">
      <w:pPr>
        <w:pStyle w:val="NoPaddingFontSize1"/>
      </w:pPr>
    </w:p>
    <w:p w:rsidR="00000000" w:rsidRPr="00124DBC" w:rsidP="00124DBC">
      <w:pPr>
        <w:pStyle w:val="AllowPageBreak"/>
      </w:pPr>
    </w:p>
    <w:p w:rsidR="00000000" w:rsidRPr="00124DBC" w:rsidP="00124DBC">
      <w:pPr>
        <w:pStyle w:val="Heading1"/>
      </w:pPr>
      <w:bookmarkStart w:id="4" w:name="O_1024576"/>
      <w:bookmarkEnd w:id="4"/>
      <w:r w:rsidRPr="00124D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4D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DBC" w:rsidP="00124DBC">
            <w:pPr>
              <w:pStyle w:val="BodyText"/>
            </w:pPr>
            <w:r w:rsidRPr="00124DB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24DBC" w:rsidP="00124DBC">
            <w:pPr>
              <w:pStyle w:val="BodyText"/>
            </w:pPr>
            <w:r w:rsidRPr="00124DBC">
              <w:t>As a minimum, assessment must satisfy applicable regulatory requi</w:t>
            </w:r>
            <w:r w:rsidRPr="00124DBC">
              <w:t>rements, which include requirements in the Standards for Registered Training Organisations current at the time of assessment.</w:t>
            </w:r>
          </w:p>
          <w:p w:rsidR="00000000" w:rsidRPr="00124DBC" w:rsidP="00124DBC">
            <w:pPr>
              <w:pStyle w:val="BodyText"/>
            </w:pPr>
            <w:r w:rsidRPr="00124DBC">
              <w:t>Assessment processes and techniques must be appropriate to the language, literacy and numeracy requirements of the work being perf</w:t>
            </w:r>
            <w:r w:rsidRPr="00124DBC">
              <w:t>ormed and the needs of the candidate.</w:t>
            </w:r>
          </w:p>
          <w:p w:rsidR="00000000" w:rsidRPr="00124DBC" w:rsidP="00124DBC">
            <w:pPr>
              <w:pStyle w:val="BodyText"/>
            </w:pPr>
            <w:r w:rsidRPr="00124DBC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124DBC">
              <w:t>nditions.</w:t>
            </w:r>
          </w:p>
          <w:p w:rsidR="00000000" w:rsidRPr="00124DBC" w:rsidP="00124DBC">
            <w:pPr>
              <w:pStyle w:val="BodyText"/>
            </w:pPr>
            <w:r w:rsidRPr="00124DBC">
              <w:t>Resources for assessment must include access to</w:t>
            </w:r>
          </w:p>
          <w:p w:rsidR="00000000" w:rsidRPr="00124DBC" w:rsidP="00124DBC">
            <w:pPr>
              <w:pStyle w:val="ListBullet"/>
            </w:pPr>
            <w:r w:rsidRPr="00124DBC">
              <w:t>a range of relevant exercises, case studies and/or simulations</w:t>
            </w:r>
          </w:p>
          <w:p w:rsidR="00000000" w:rsidRPr="00124DBC" w:rsidP="00124DBC">
            <w:pPr>
              <w:pStyle w:val="ListBullet"/>
            </w:pPr>
            <w:r w:rsidRPr="00124DBC">
              <w:t>relevant and appropriate materials, equipment, tools and personal protective clothing and equipment currently used in industry includi</w:t>
            </w:r>
            <w:r w:rsidRPr="00124DBC">
              <w:t>ng</w:t>
            </w:r>
          </w:p>
          <w:p w:rsidR="00000000" w:rsidRPr="00124DBC" w:rsidP="00124DBC">
            <w:pPr>
              <w:pStyle w:val="ListBullet2"/>
            </w:pPr>
            <w:r w:rsidRPr="00124DBC">
              <w:t>a recovery centre in the workplace or in a simulated workplace environment</w:t>
            </w:r>
          </w:p>
          <w:p w:rsidR="00000000" w:rsidRPr="00124DBC" w:rsidP="00124DBC">
            <w:pPr>
              <w:pStyle w:val="ListBullet"/>
            </w:pPr>
            <w:r w:rsidRPr="00124DBC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124DBC" w:rsidP="00124DBC">
      <w:pPr>
        <w:pStyle w:val="NoPaddingFontSize1"/>
      </w:pPr>
    </w:p>
    <w:p w:rsidR="00000000" w:rsidRPr="00124DBC" w:rsidP="00124DBC">
      <w:pPr>
        <w:pStyle w:val="AllowPageBreak"/>
      </w:pPr>
    </w:p>
    <w:p w:rsidR="00000000" w:rsidRPr="00124DBC" w:rsidP="00124DBC">
      <w:pPr>
        <w:pStyle w:val="Heading1"/>
      </w:pPr>
      <w:bookmarkStart w:id="5" w:name="O_1024579"/>
      <w:bookmarkEnd w:id="5"/>
      <w:r w:rsidRPr="00124DBC">
        <w:t>Links</w:t>
      </w:r>
    </w:p>
    <w:p w:rsidR="00000000" w:rsidRPr="00124DBC" w:rsidP="00403AB1">
      <w:pPr>
        <w:pStyle w:val="BodyText"/>
      </w:pPr>
      <w:r w:rsidRPr="00124DB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4670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24DBC" w:rsidP="00124DBC"/>
    <w:sectPr w:rsidSect="00124D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BC" w:rsidRPr="00403AB1" w:rsidP="00403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B1" w:rsidP="00124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AB1" w:rsidP="00124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3AB1" w:rsidP="00124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DBC" w:rsidRPr="00403AB1" w:rsidP="00403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B1" w:rsidRPr="002D2AF8" w:rsidP="00124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PUAEMR015 Establish and manage a recovery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403AB1" w:rsidP="00124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CB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16A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FA2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DBC"/>
  </w:style>
  <w:style w:type="character" w:customStyle="1" w:styleId="Heading1Char">
    <w:name w:val="Heading 1 Char"/>
    <w:basedOn w:val="DefaultParagraphFont"/>
    <w:link w:val="Heading1"/>
    <w:rsid w:val="00124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D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DBC"/>
    <w:rPr>
      <w:b/>
      <w:spacing w:val="0"/>
    </w:rPr>
  </w:style>
  <w:style w:type="paragraph" w:styleId="ListBullet2">
    <w:name w:val="List Bullet 2"/>
    <w:basedOn w:val="List2"/>
    <w:rsid w:val="00124D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4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4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DBC"/>
    <w:rPr>
      <w:i/>
    </w:rPr>
  </w:style>
  <w:style w:type="paragraph" w:styleId="Caption">
    <w:name w:val="caption"/>
    <w:basedOn w:val="BodyText"/>
    <w:next w:val="Normal"/>
    <w:qFormat/>
    <w:rsid w:val="00124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DBC"/>
  </w:style>
  <w:style w:type="paragraph" w:styleId="TableofFigures">
    <w:name w:val="table of figures"/>
    <w:basedOn w:val="Normal"/>
    <w:next w:val="Normal"/>
    <w:semiHidden/>
    <w:rsid w:val="00124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D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DBC"/>
    <w:rPr>
      <w:rFonts w:ascii="Wingdings" w:hAnsi="Wingdings"/>
    </w:rPr>
  </w:style>
  <w:style w:type="paragraph" w:customStyle="1" w:styleId="TableHeading">
    <w:name w:val="Table Heading"/>
    <w:basedOn w:val="HeadingBase"/>
    <w:rsid w:val="00124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DBC"/>
    <w:rPr>
      <w:color w:val="0033CC"/>
      <w:u w:val="none"/>
    </w:rPr>
  </w:style>
  <w:style w:type="paragraph" w:customStyle="1" w:styleId="BodyTextRight">
    <w:name w:val="Body Text Right"/>
    <w:basedOn w:val="BodyText"/>
    <w:rsid w:val="00124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D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DBC"/>
    <w:rPr>
      <w:sz w:val="32"/>
    </w:rPr>
  </w:style>
  <w:style w:type="paragraph" w:customStyle="1" w:styleId="HeadingProcedure">
    <w:name w:val="Heading Procedure"/>
    <w:basedOn w:val="HeadingBase"/>
    <w:next w:val="Normal"/>
    <w:rsid w:val="00124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DBC"/>
    <w:pPr>
      <w:spacing w:before="60" w:after="60"/>
    </w:pPr>
  </w:style>
  <w:style w:type="paragraph" w:styleId="ListContinue">
    <w:name w:val="List Continue"/>
    <w:basedOn w:val="List"/>
    <w:rsid w:val="00124DBC"/>
    <w:pPr>
      <w:ind w:firstLine="0"/>
    </w:pPr>
  </w:style>
  <w:style w:type="paragraph" w:customStyle="1" w:styleId="ListNote">
    <w:name w:val="List Note"/>
    <w:basedOn w:val="List"/>
    <w:rsid w:val="00124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DBC"/>
    <w:rPr>
      <w:rFonts w:ascii="Courier New" w:hAnsi="Courier New"/>
    </w:rPr>
  </w:style>
  <w:style w:type="paragraph" w:customStyle="1" w:styleId="NoteBullet">
    <w:name w:val="Note Bullet"/>
    <w:basedOn w:val="Note"/>
    <w:rsid w:val="00124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DBC"/>
    <w:rPr>
      <w:b/>
      <w:smallCaps/>
    </w:rPr>
  </w:style>
  <w:style w:type="paragraph" w:customStyle="1" w:styleId="TableListNumber">
    <w:name w:val="Table List Number"/>
    <w:basedOn w:val="ListNumber"/>
    <w:rsid w:val="00124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DBC"/>
    <w:pPr>
      <w:numPr>
        <w:numId w:val="9"/>
      </w:numPr>
    </w:pPr>
  </w:style>
  <w:style w:type="paragraph" w:customStyle="1" w:styleId="ListAlpha2">
    <w:name w:val="List Alpha 2"/>
    <w:basedOn w:val="List2"/>
    <w:rsid w:val="00124DBC"/>
    <w:pPr>
      <w:numPr>
        <w:numId w:val="8"/>
      </w:numPr>
    </w:pPr>
  </w:style>
  <w:style w:type="paragraph" w:styleId="List2">
    <w:name w:val="List 2"/>
    <w:basedOn w:val="BodyText"/>
    <w:rsid w:val="00124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D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DBC"/>
    <w:pPr>
      <w:numPr>
        <w:numId w:val="4"/>
      </w:numPr>
    </w:pPr>
  </w:style>
  <w:style w:type="paragraph" w:styleId="ListContinue2">
    <w:name w:val="List Continue 2"/>
    <w:basedOn w:val="List2"/>
    <w:rsid w:val="00124DBC"/>
    <w:pPr>
      <w:ind w:firstLine="0"/>
    </w:pPr>
  </w:style>
  <w:style w:type="paragraph" w:styleId="ListContinue3">
    <w:name w:val="List Continue 3"/>
    <w:basedOn w:val="List3"/>
    <w:rsid w:val="00124DBC"/>
    <w:pPr>
      <w:ind w:left="1021" w:firstLine="0"/>
    </w:pPr>
  </w:style>
  <w:style w:type="paragraph" w:styleId="ListContinue4">
    <w:name w:val="List Continue 4"/>
    <w:basedOn w:val="List4"/>
    <w:rsid w:val="00124DBC"/>
    <w:pPr>
      <w:ind w:firstLine="0"/>
    </w:pPr>
  </w:style>
  <w:style w:type="paragraph" w:styleId="ListContinue5">
    <w:name w:val="List Continue 5"/>
    <w:basedOn w:val="List5"/>
    <w:rsid w:val="00124DBC"/>
    <w:pPr>
      <w:ind w:firstLine="0"/>
    </w:pPr>
  </w:style>
  <w:style w:type="paragraph" w:styleId="ListNumber3">
    <w:name w:val="List Number 3"/>
    <w:basedOn w:val="List3"/>
    <w:rsid w:val="00124DBC"/>
    <w:pPr>
      <w:numPr>
        <w:numId w:val="5"/>
      </w:numPr>
    </w:pPr>
  </w:style>
  <w:style w:type="paragraph" w:styleId="ListNumber4">
    <w:name w:val="List Number 4"/>
    <w:basedOn w:val="List4"/>
    <w:rsid w:val="00124DBC"/>
    <w:pPr>
      <w:numPr>
        <w:numId w:val="6"/>
      </w:numPr>
    </w:pPr>
  </w:style>
  <w:style w:type="paragraph" w:styleId="ListNumber5">
    <w:name w:val="List Number 5"/>
    <w:basedOn w:val="List5"/>
    <w:rsid w:val="00124DBC"/>
    <w:pPr>
      <w:numPr>
        <w:numId w:val="7"/>
      </w:numPr>
    </w:pPr>
  </w:style>
  <w:style w:type="paragraph" w:styleId="BlockText">
    <w:name w:val="Block Text"/>
    <w:basedOn w:val="Normal"/>
    <w:rsid w:val="00124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DBC"/>
    <w:rPr>
      <w:sz w:val="16"/>
      <w:vertAlign w:val="superscript"/>
    </w:rPr>
  </w:style>
  <w:style w:type="character" w:customStyle="1" w:styleId="Symbols">
    <w:name w:val="Symbols"/>
    <w:basedOn w:val="DefaultParagraphFont"/>
    <w:rsid w:val="00124DBC"/>
    <w:rPr>
      <w:rFonts w:ascii="Symbol" w:hAnsi="Symbol"/>
    </w:rPr>
  </w:style>
  <w:style w:type="character" w:customStyle="1" w:styleId="MenuOptions">
    <w:name w:val="Menu Options"/>
    <w:basedOn w:val="DefaultParagraphFont"/>
    <w:rsid w:val="00124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DBC"/>
    <w:rPr>
      <w:b/>
    </w:rPr>
  </w:style>
  <w:style w:type="character" w:customStyle="1" w:styleId="Underlined">
    <w:name w:val="Underlined"/>
    <w:basedOn w:val="DefaultParagraphFont"/>
    <w:rsid w:val="00124DBC"/>
    <w:rPr>
      <w:u w:val="single"/>
    </w:rPr>
  </w:style>
  <w:style w:type="paragraph" w:customStyle="1" w:styleId="TableBodyTextRight">
    <w:name w:val="Table Body Text Right"/>
    <w:basedOn w:val="TableBodyText"/>
    <w:rsid w:val="00124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DBC"/>
    <w:rPr>
      <w:sz w:val="18"/>
    </w:rPr>
  </w:style>
  <w:style w:type="paragraph" w:customStyle="1" w:styleId="BodySmallRight">
    <w:name w:val="Body Small Right"/>
    <w:basedOn w:val="BodyTextRight"/>
    <w:rsid w:val="00124DBC"/>
    <w:rPr>
      <w:sz w:val="18"/>
      <w:szCs w:val="18"/>
    </w:rPr>
  </w:style>
  <w:style w:type="paragraph" w:customStyle="1" w:styleId="MarginEdition">
    <w:name w:val="Margin Edition"/>
    <w:basedOn w:val="MarginNote"/>
    <w:rsid w:val="00124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DBC"/>
    <w:rPr>
      <w:sz w:val="2"/>
      <w:szCs w:val="2"/>
    </w:rPr>
  </w:style>
  <w:style w:type="character" w:customStyle="1" w:styleId="Small">
    <w:name w:val="Small"/>
    <w:basedOn w:val="DefaultParagraphFont"/>
    <w:rsid w:val="00124DBC"/>
    <w:rPr>
      <w:sz w:val="16"/>
    </w:rPr>
  </w:style>
  <w:style w:type="paragraph" w:customStyle="1" w:styleId="WideTable">
    <w:name w:val="Wide Table"/>
    <w:basedOn w:val="Normal"/>
    <w:rsid w:val="00124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DBC"/>
  </w:style>
  <w:style w:type="paragraph" w:styleId="Quote">
    <w:name w:val="Quote"/>
    <w:basedOn w:val="Heading1"/>
    <w:link w:val="QuoteChar"/>
    <w:qFormat/>
    <w:rsid w:val="00124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DBC"/>
    <w:pPr>
      <w:pageBreakBefore/>
    </w:pPr>
  </w:style>
  <w:style w:type="paragraph" w:customStyle="1" w:styleId="Border">
    <w:name w:val="Border"/>
    <w:basedOn w:val="Normal"/>
    <w:qFormat/>
    <w:rsid w:val="00124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DBC"/>
    <w:rPr>
      <w:u w:val="single"/>
    </w:rPr>
  </w:style>
  <w:style w:type="character" w:customStyle="1" w:styleId="BoldandItalics">
    <w:name w:val="Bold and Italics"/>
    <w:qFormat/>
    <w:rsid w:val="00124DBC"/>
    <w:rPr>
      <w:b/>
      <w:i/>
      <w:u w:val="none"/>
    </w:rPr>
  </w:style>
  <w:style w:type="paragraph" w:styleId="BalloonText">
    <w:name w:val="Balloon Text"/>
    <w:basedOn w:val="Normal"/>
    <w:link w:val="BalloonTextChar"/>
    <w:rsid w:val="00124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DBC"/>
    <w:pPr>
      <w:spacing w:before="0" w:after="0"/>
    </w:pPr>
  </w:style>
  <w:style w:type="paragraph" w:customStyle="1" w:styleId="BodyTextBold">
    <w:name w:val="Body Text Bold"/>
    <w:basedOn w:val="BodyText"/>
    <w:qFormat/>
    <w:rsid w:val="00124DBC"/>
    <w:rPr>
      <w:b/>
    </w:rPr>
  </w:style>
  <w:style w:type="character" w:styleId="Hyperlink">
    <w:name w:val="Hyperlink"/>
    <w:basedOn w:val="DefaultParagraphFont"/>
    <w:uiPriority w:val="99"/>
    <w:unhideWhenUsed/>
    <w:rsid w:val="00403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5502</Characters>
  <Application>Microsoft Office Word</Application>
  <DocSecurity>0</DocSecurity>
  <Lines>125</Lines>
  <Paragraphs>96</Paragraphs>
  <ScaleCrop>false</ScaleCrop>
  <Company>Author-it Software Corporation Ltd.</Company>
  <LinksUpToDate>false</LinksUpToDate>
  <CharactersWithSpaces>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PUAEMR015 Establish and manage a recovery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2020-12-17T22:28:00Z</dcterms:created>
  <dcterms:modified xsi:type="dcterms:W3CDTF">2020-12-17T22:28:00Z</dcterms:modified>
</cp:coreProperties>
</file>