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610" w:rsidP="00F64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PUAEMR014 Deliver recovery services</w:t>
      </w:r>
      <w:r>
        <w:fldChar w:fldCharType="end"/>
      </w:r>
    </w:p>
    <w:p w:rsidR="00F64610" w:rsidP="00F64610">
      <w:pPr>
        <w:pStyle w:val="Version"/>
        <w:sectPr w:rsidSect="00D24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4DA9" w:rsidP="00D24DA9">
      <w:pPr>
        <w:pStyle w:val="SuperHeading"/>
      </w:pPr>
      <w:r w:rsidRPr="00D24DA9">
        <w:t>PUAEMR014 Deliver recovery services</w:t>
      </w:r>
    </w:p>
    <w:p w:rsidR="00000000" w:rsidRPr="00D24DA9" w:rsidP="00D24DA9">
      <w:pPr>
        <w:pStyle w:val="Heading1"/>
      </w:pPr>
      <w:bookmarkStart w:id="1" w:name="O_1153457"/>
      <w:bookmarkEnd w:id="1"/>
      <w:r w:rsidRPr="00D24D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Release 2.0</w:t>
            </w:r>
            <w:r w:rsidRPr="00D24DA9">
              <w:t xml:space="preserve"> This is the second release of this unit of competency in the PUA Public Safety Training Package.</w:t>
            </w:r>
          </w:p>
          <w:p w:rsidR="00000000" w:rsidRPr="00D24DA9" w:rsidP="00D24DA9">
            <w:pPr>
              <w:pStyle w:val="BodyText"/>
            </w:pPr>
            <w:r w:rsidRPr="00D24DA9">
              <w:t>Clarification of text, addition/deletion of Performance Criteria and minor changes to Knowledge and Performance Evidence.</w:t>
            </w:r>
          </w:p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Rele</w:t>
            </w:r>
            <w:r w:rsidRPr="00D24DA9">
              <w:rPr>
                <w:rStyle w:val="SpecialBold"/>
              </w:rPr>
              <w:t>ase 1.0</w:t>
            </w:r>
            <w:r w:rsidRPr="00D24DA9">
              <w:t xml:space="preserve"> This is the first release of this unit of competency in the PUA Public Safety Training Package.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2" w:name="O_1153456"/>
      <w:bookmarkEnd w:id="2"/>
      <w:r w:rsidRPr="00D24D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This unit of competency involves the skills and knowledge required to deliver administrative, technical and/or professi</w:t>
            </w:r>
            <w:r w:rsidRPr="00D24DA9">
              <w:t>onal services in a recovery service. This is provided by individuals working within a recovery framework of existing emergency management legislation, regulations, plans and arrangements. It includes clarifying service delivery requirements, implementing a</w:t>
            </w:r>
            <w:r w:rsidRPr="00D24DA9">
              <w:t>n action plan for service delivery and delivering recovery services.</w:t>
            </w:r>
          </w:p>
          <w:p w:rsidR="00000000" w:rsidRPr="00D24DA9" w:rsidP="00D24DA9">
            <w:pPr>
              <w:pStyle w:val="BodyText"/>
            </w:pPr>
            <w:r w:rsidRPr="00D24DA9">
              <w:t>The range of services provided will vary markedly with the scale and type of emergency and will address aspects of recovery in the social, built, economic and natural environments. Please</w:t>
            </w:r>
            <w:r w:rsidRPr="00D24DA9">
              <w:t xml:space="preserve"> note that the unit is not applicable to individuals performing management roles in the delivery of a recovery service.</w:t>
            </w:r>
          </w:p>
          <w:p w:rsidR="00000000" w:rsidRPr="00D24DA9" w:rsidP="00D24DA9">
            <w:pPr>
              <w:pStyle w:val="BodyText"/>
            </w:pPr>
            <w:r w:rsidRPr="00D24DA9">
              <w:t>No licensing, legislative or certification requirements apply to this unit at the time of publication.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3" w:name="O_1153455"/>
      <w:bookmarkEnd w:id="3"/>
      <w:r w:rsidRPr="00D24DA9">
        <w:t>Pre-requisit</w:t>
      </w:r>
      <w:r w:rsidRPr="00D24DA9">
        <w:t>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Not applicable.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4" w:name="O_1153454"/>
      <w:bookmarkEnd w:id="4"/>
      <w:r w:rsidRPr="00D24D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Emergency Management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5" w:name="O_1153453"/>
      <w:bookmarkEnd w:id="5"/>
      <w:r w:rsidRPr="00D24D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Not applicable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6" w:name="O_1153452"/>
      <w:bookmarkEnd w:id="6"/>
      <w:r w:rsidRPr="00D24D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PERFORMANCE CRITERIA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Elements describe the essential </w:t>
            </w:r>
            <w:r w:rsidRPr="00D24DA9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Performance criteria describe the performance needed to </w:t>
            </w:r>
            <w:r w:rsidRPr="00D24DA9">
              <w:t>demonstrate achievement of the element.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Clarify service delivery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Nature of role is established within overall emergency recovery strategy and service delivery model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Scope, limits and priorities for recovery services are clarified with entities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Range of information to be collected during recovery service delivery is confirmed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Communication is established with recovery services manager and other providers to ensure integration of delivery and collection of information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Implement action pl</w:t>
            </w:r>
            <w:r w:rsidRPr="00D24DA9">
              <w:rPr>
                <w:rStyle w:val="SpecialBold"/>
              </w:rPr>
              <w:t>an for service delivery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Service delivery action plan is communicated to relevant entities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Service delivery implications of potential short, medium and long term recovery issues are considered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Contingencies to address likely recovery issu</w:t>
            </w:r>
            <w:r w:rsidRPr="00D24DA9">
              <w:t xml:space="preserve">es are communicated with entities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Service delivery action plan is implemented in consultation with relevant entities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rPr>
                <w:rStyle w:val="SpecialBold"/>
              </w:rPr>
              <w:t>Deliver recovery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Team members are briefed and assigned tasks and roles consistent with their capability and capacity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Services are delivered in accordance with the recovery framework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Services are delivered in cooperation with other service providers to ensure</w:t>
            </w:r>
            <w:r w:rsidRPr="00D24DA9">
              <w:t xml:space="preserve"> seamless delivery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Requests for services outside assigned scope are referred to appropriate service providers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Established protocols and administration systems are used to track jobs and expenditure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Confidential</w:t>
            </w:r>
            <w:r w:rsidRPr="00D24DA9">
              <w:t>ity of information is maintained in accordance with organisational procedures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>Quality and progress of service delivery is monitored and adjusted within agreed scope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t xml:space="preserve">Information about community needs, service level activity and suggested improvements to delivery is </w:t>
            </w:r>
            <w:r w:rsidRPr="00D24DA9">
              <w:t xml:space="preserve">collected and reported to the recovery services manager </w:t>
            </w:r>
          </w:p>
        </w:tc>
      </w:tr>
      <w:tr w:rsidTr="00D24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DA9">
            <w:pPr>
              <w:pStyle w:val="BodyText"/>
              <w:rPr>
                <w:lang w:val="en-NZ"/>
              </w:rPr>
            </w:pPr>
            <w:r w:rsidRPr="00D24DA9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 xml:space="preserve">Team members are debriefed 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7" w:name="O_1153451"/>
      <w:bookmarkEnd w:id="7"/>
      <w:r w:rsidRPr="00D24D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Foundation skills essenti</w:t>
            </w:r>
            <w:r w:rsidRPr="00D24DA9">
              <w:t>al to performance are explicit in the performance criteria of this unit of competency.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8" w:name="O_1153450"/>
      <w:bookmarkEnd w:id="8"/>
      <w:r w:rsidRPr="00D24D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Range is restricted to essential operating conditions and any other variables essential to the work environment.</w:t>
            </w:r>
          </w:p>
          <w:p w:rsidR="00000000" w:rsidRPr="00D24DA9" w:rsidP="00D24DA9">
            <w:pPr>
              <w:pStyle w:val="BodyText"/>
            </w:pPr>
            <w:r w:rsidRPr="00D24DA9">
              <w:t>Non-essential c</w:t>
            </w:r>
            <w:r w:rsidRPr="00D24DA9">
              <w:t>onditions may be found in the Companion Volume Implementation Guide.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9" w:name="O_1153449"/>
      <w:bookmarkEnd w:id="9"/>
      <w:r w:rsidRPr="00D24D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DA9" w:rsidP="00D24DA9">
            <w:pPr>
              <w:pStyle w:val="BodyText"/>
            </w:pPr>
            <w:r w:rsidRPr="00D24DA9">
              <w:t>This unit replaces and is equivalent to PUAEMR014A Deliver recovery services.</w:t>
            </w:r>
          </w:p>
        </w:tc>
      </w:tr>
    </w:tbl>
    <w:p w:rsidR="00000000" w:rsidRPr="00D24DA9" w:rsidP="00D24DA9">
      <w:pPr>
        <w:pStyle w:val="NoPaddingFontSize1"/>
      </w:pPr>
    </w:p>
    <w:p w:rsidR="00000000" w:rsidRPr="00D24DA9" w:rsidP="00D24DA9">
      <w:pPr>
        <w:pStyle w:val="AllowPageBreak"/>
      </w:pPr>
    </w:p>
    <w:p w:rsidR="00000000" w:rsidRPr="00D24DA9" w:rsidP="00D24DA9">
      <w:pPr>
        <w:pStyle w:val="Heading1"/>
      </w:pPr>
      <w:bookmarkStart w:id="10" w:name="O_1153458"/>
      <w:bookmarkEnd w:id="10"/>
      <w:r w:rsidRPr="00D24DA9">
        <w:t>Links</w:t>
      </w:r>
    </w:p>
    <w:p w:rsidR="00000000" w:rsidRPr="00D24DA9" w:rsidP="00F64610">
      <w:pPr>
        <w:pStyle w:val="BodyText"/>
      </w:pPr>
      <w:r w:rsidRPr="00D24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D1F7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24DA9" w:rsidP="00D24DA9"/>
    <w:sectPr w:rsidSect="00D24D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A9" w:rsidRPr="00F64610" w:rsidP="00F64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10" w:rsidP="00D24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610" w:rsidP="00D24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4610" w:rsidP="00D24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DA9" w:rsidRPr="00F64610" w:rsidP="00F64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10" w:rsidRPr="002D2AF8" w:rsidP="00D24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PUAEMR014 Deliver recovery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64610" w:rsidP="00D24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DA9"/>
  </w:style>
  <w:style w:type="character" w:customStyle="1" w:styleId="Heading1Char">
    <w:name w:val="Heading 1 Char"/>
    <w:basedOn w:val="DefaultParagraphFont"/>
    <w:link w:val="Heading1"/>
    <w:rsid w:val="00D24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D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4DA9"/>
    <w:rPr>
      <w:b/>
      <w:spacing w:val="0"/>
    </w:rPr>
  </w:style>
  <w:style w:type="paragraph" w:customStyle="1" w:styleId="SuperHeading">
    <w:name w:val="SuperHeading"/>
    <w:basedOn w:val="Normal"/>
    <w:rsid w:val="00D24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4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D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4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D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DA9"/>
    <w:rPr>
      <w:i/>
    </w:rPr>
  </w:style>
  <w:style w:type="paragraph" w:styleId="Caption">
    <w:name w:val="caption"/>
    <w:basedOn w:val="BodyText"/>
    <w:next w:val="Normal"/>
    <w:qFormat/>
    <w:rsid w:val="00D24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DA9"/>
  </w:style>
  <w:style w:type="paragraph" w:styleId="TableofFigures">
    <w:name w:val="table of figures"/>
    <w:basedOn w:val="Normal"/>
    <w:next w:val="Normal"/>
    <w:semiHidden/>
    <w:rsid w:val="00D24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D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4DA9"/>
    <w:rPr>
      <w:rFonts w:ascii="Wingdings" w:hAnsi="Wingdings"/>
    </w:rPr>
  </w:style>
  <w:style w:type="paragraph" w:customStyle="1" w:styleId="TableHeading">
    <w:name w:val="Table Heading"/>
    <w:basedOn w:val="HeadingBase"/>
    <w:rsid w:val="00D24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DA9"/>
    <w:rPr>
      <w:color w:val="0033CC"/>
      <w:u w:val="none"/>
    </w:rPr>
  </w:style>
  <w:style w:type="paragraph" w:customStyle="1" w:styleId="BodyTextRight">
    <w:name w:val="Body Text Right"/>
    <w:basedOn w:val="BodyText"/>
    <w:rsid w:val="00D24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D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DA9"/>
    <w:rPr>
      <w:sz w:val="32"/>
    </w:rPr>
  </w:style>
  <w:style w:type="paragraph" w:customStyle="1" w:styleId="HeadingProcedure">
    <w:name w:val="Heading Procedure"/>
    <w:basedOn w:val="HeadingBase"/>
    <w:next w:val="Normal"/>
    <w:rsid w:val="00D24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DA9"/>
    <w:pPr>
      <w:spacing w:before="60" w:after="60"/>
    </w:pPr>
  </w:style>
  <w:style w:type="paragraph" w:styleId="ListContinue">
    <w:name w:val="List Continue"/>
    <w:basedOn w:val="List"/>
    <w:rsid w:val="00D24DA9"/>
    <w:pPr>
      <w:ind w:firstLine="0"/>
    </w:pPr>
  </w:style>
  <w:style w:type="paragraph" w:customStyle="1" w:styleId="ListNote">
    <w:name w:val="List Note"/>
    <w:basedOn w:val="List"/>
    <w:rsid w:val="00D24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DA9"/>
    <w:rPr>
      <w:rFonts w:ascii="Courier New" w:hAnsi="Courier New"/>
    </w:rPr>
  </w:style>
  <w:style w:type="paragraph" w:customStyle="1" w:styleId="NoteBullet">
    <w:name w:val="Note Bullet"/>
    <w:basedOn w:val="Note"/>
    <w:rsid w:val="00D24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D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4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DA9"/>
    <w:rPr>
      <w:b/>
      <w:smallCaps/>
    </w:rPr>
  </w:style>
  <w:style w:type="paragraph" w:customStyle="1" w:styleId="TableListNumber">
    <w:name w:val="Table List Number"/>
    <w:basedOn w:val="ListNumber"/>
    <w:rsid w:val="00D24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DA9"/>
    <w:pPr>
      <w:numPr>
        <w:numId w:val="7"/>
      </w:numPr>
    </w:pPr>
  </w:style>
  <w:style w:type="paragraph" w:customStyle="1" w:styleId="ListAlpha2">
    <w:name w:val="List Alpha 2"/>
    <w:basedOn w:val="List2"/>
    <w:rsid w:val="00D24DA9"/>
    <w:pPr>
      <w:numPr>
        <w:numId w:val="6"/>
      </w:numPr>
    </w:pPr>
  </w:style>
  <w:style w:type="paragraph" w:styleId="List2">
    <w:name w:val="List 2"/>
    <w:basedOn w:val="BodyText"/>
    <w:rsid w:val="00D24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D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D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4DA9"/>
    <w:pPr>
      <w:numPr>
        <w:numId w:val="2"/>
      </w:numPr>
    </w:pPr>
  </w:style>
  <w:style w:type="paragraph" w:styleId="ListContinue2">
    <w:name w:val="List Continue 2"/>
    <w:basedOn w:val="List2"/>
    <w:rsid w:val="00D24DA9"/>
    <w:pPr>
      <w:ind w:firstLine="0"/>
    </w:pPr>
  </w:style>
  <w:style w:type="paragraph" w:styleId="ListContinue3">
    <w:name w:val="List Continue 3"/>
    <w:basedOn w:val="List3"/>
    <w:rsid w:val="00D24DA9"/>
    <w:pPr>
      <w:ind w:left="1021" w:firstLine="0"/>
    </w:pPr>
  </w:style>
  <w:style w:type="paragraph" w:styleId="ListContinue4">
    <w:name w:val="List Continue 4"/>
    <w:basedOn w:val="List4"/>
    <w:rsid w:val="00D24DA9"/>
    <w:pPr>
      <w:ind w:firstLine="0"/>
    </w:pPr>
  </w:style>
  <w:style w:type="paragraph" w:styleId="ListContinue5">
    <w:name w:val="List Continue 5"/>
    <w:basedOn w:val="List5"/>
    <w:rsid w:val="00D24DA9"/>
    <w:pPr>
      <w:ind w:firstLine="0"/>
    </w:pPr>
  </w:style>
  <w:style w:type="paragraph" w:styleId="ListNumber3">
    <w:name w:val="List Number 3"/>
    <w:basedOn w:val="List3"/>
    <w:rsid w:val="00D24DA9"/>
    <w:pPr>
      <w:numPr>
        <w:numId w:val="3"/>
      </w:numPr>
    </w:pPr>
  </w:style>
  <w:style w:type="paragraph" w:styleId="ListNumber4">
    <w:name w:val="List Number 4"/>
    <w:basedOn w:val="List4"/>
    <w:rsid w:val="00D24DA9"/>
    <w:pPr>
      <w:numPr>
        <w:numId w:val="4"/>
      </w:numPr>
    </w:pPr>
  </w:style>
  <w:style w:type="paragraph" w:styleId="ListNumber5">
    <w:name w:val="List Number 5"/>
    <w:basedOn w:val="List5"/>
    <w:rsid w:val="00D24DA9"/>
    <w:pPr>
      <w:numPr>
        <w:numId w:val="5"/>
      </w:numPr>
    </w:pPr>
  </w:style>
  <w:style w:type="paragraph" w:styleId="BlockText">
    <w:name w:val="Block Text"/>
    <w:basedOn w:val="Normal"/>
    <w:rsid w:val="00D24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DA9"/>
    <w:rPr>
      <w:sz w:val="16"/>
      <w:vertAlign w:val="superscript"/>
    </w:rPr>
  </w:style>
  <w:style w:type="character" w:customStyle="1" w:styleId="Symbols">
    <w:name w:val="Symbols"/>
    <w:basedOn w:val="DefaultParagraphFont"/>
    <w:rsid w:val="00D24DA9"/>
    <w:rPr>
      <w:rFonts w:ascii="Symbol" w:hAnsi="Symbol"/>
    </w:rPr>
  </w:style>
  <w:style w:type="character" w:customStyle="1" w:styleId="MenuOptions">
    <w:name w:val="Menu Options"/>
    <w:basedOn w:val="DefaultParagraphFont"/>
    <w:rsid w:val="00D24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DA9"/>
    <w:rPr>
      <w:b/>
    </w:rPr>
  </w:style>
  <w:style w:type="character" w:customStyle="1" w:styleId="Underlined">
    <w:name w:val="Underlined"/>
    <w:basedOn w:val="DefaultParagraphFont"/>
    <w:rsid w:val="00D24DA9"/>
    <w:rPr>
      <w:u w:val="single"/>
    </w:rPr>
  </w:style>
  <w:style w:type="paragraph" w:customStyle="1" w:styleId="TableBodyTextRight">
    <w:name w:val="Table Body Text Right"/>
    <w:basedOn w:val="TableBodyText"/>
    <w:rsid w:val="00D24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DA9"/>
    <w:rPr>
      <w:sz w:val="18"/>
    </w:rPr>
  </w:style>
  <w:style w:type="paragraph" w:customStyle="1" w:styleId="BodySmallRight">
    <w:name w:val="Body Small Right"/>
    <w:basedOn w:val="BodyTextRight"/>
    <w:rsid w:val="00D24DA9"/>
    <w:rPr>
      <w:sz w:val="18"/>
      <w:szCs w:val="18"/>
    </w:rPr>
  </w:style>
  <w:style w:type="paragraph" w:customStyle="1" w:styleId="MarginEdition">
    <w:name w:val="Margin Edition"/>
    <w:basedOn w:val="MarginNote"/>
    <w:rsid w:val="00D24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DA9"/>
    <w:rPr>
      <w:sz w:val="2"/>
      <w:szCs w:val="2"/>
    </w:rPr>
  </w:style>
  <w:style w:type="character" w:customStyle="1" w:styleId="Small">
    <w:name w:val="Small"/>
    <w:basedOn w:val="DefaultParagraphFont"/>
    <w:rsid w:val="00D24DA9"/>
    <w:rPr>
      <w:sz w:val="16"/>
    </w:rPr>
  </w:style>
  <w:style w:type="paragraph" w:customStyle="1" w:styleId="WideTable">
    <w:name w:val="Wide Table"/>
    <w:basedOn w:val="Normal"/>
    <w:rsid w:val="00D24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DA9"/>
  </w:style>
  <w:style w:type="paragraph" w:styleId="Quote">
    <w:name w:val="Quote"/>
    <w:basedOn w:val="Heading1"/>
    <w:link w:val="QuoteChar"/>
    <w:qFormat/>
    <w:rsid w:val="00D24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DA9"/>
    <w:pPr>
      <w:pageBreakBefore/>
    </w:pPr>
  </w:style>
  <w:style w:type="paragraph" w:customStyle="1" w:styleId="Border">
    <w:name w:val="Border"/>
    <w:basedOn w:val="Normal"/>
    <w:qFormat/>
    <w:rsid w:val="00D24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DA9"/>
    <w:rPr>
      <w:u w:val="single"/>
    </w:rPr>
  </w:style>
  <w:style w:type="character" w:customStyle="1" w:styleId="BoldandItalics">
    <w:name w:val="Bold and Italics"/>
    <w:qFormat/>
    <w:rsid w:val="00D24DA9"/>
    <w:rPr>
      <w:b/>
      <w:i/>
      <w:u w:val="none"/>
    </w:rPr>
  </w:style>
  <w:style w:type="paragraph" w:styleId="BalloonText">
    <w:name w:val="Balloon Text"/>
    <w:basedOn w:val="Normal"/>
    <w:link w:val="BalloonTextChar"/>
    <w:rsid w:val="00D24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DA9"/>
    <w:pPr>
      <w:spacing w:before="0" w:after="0"/>
    </w:pPr>
  </w:style>
  <w:style w:type="paragraph" w:customStyle="1" w:styleId="BodyTextBold">
    <w:name w:val="Body Text Bold"/>
    <w:basedOn w:val="BodyText"/>
    <w:qFormat/>
    <w:rsid w:val="00D24DA9"/>
    <w:rPr>
      <w:b/>
    </w:rPr>
  </w:style>
  <w:style w:type="character" w:styleId="Hyperlink">
    <w:name w:val="Hyperlink"/>
    <w:basedOn w:val="DefaultParagraphFont"/>
    <w:uiPriority w:val="99"/>
    <w:unhideWhenUsed/>
    <w:rsid w:val="00F64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3610</Characters>
  <Application>Microsoft Office Word</Application>
  <DocSecurity>0</DocSecurity>
  <Lines>164</Lines>
  <Paragraphs>87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PUAEMR014 Deliver recovery services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2022-12-16T01:37:00Z</dcterms:created>
  <dcterms:modified xsi:type="dcterms:W3CDTF">2022-12-16T01:37:00Z</dcterms:modified>
</cp:coreProperties>
</file>