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D37" w:rsidP="00772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PUAEMR014 Deliver recovery services</w:t>
      </w:r>
      <w:r>
        <w:fldChar w:fldCharType="end"/>
      </w:r>
    </w:p>
    <w:p w:rsidR="00772D37" w:rsidP="00772D37">
      <w:pPr>
        <w:pStyle w:val="Version"/>
        <w:sectPr w:rsidSect="002A2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B09" w:rsidP="002A2B09">
      <w:pPr>
        <w:pStyle w:val="SuperHeading"/>
      </w:pPr>
      <w:r w:rsidRPr="002A2B09">
        <w:t>Assessment Requirements for PUAEMR014 Deliver recovery services</w:t>
      </w:r>
    </w:p>
    <w:p w:rsidR="00000000" w:rsidRPr="002A2B09" w:rsidP="002A2B09">
      <w:pPr>
        <w:pStyle w:val="Heading1"/>
      </w:pPr>
      <w:bookmarkStart w:id="1" w:name="O_1153447"/>
      <w:bookmarkEnd w:id="1"/>
      <w:r w:rsidRPr="002A2B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09" w:rsidP="002A2B09">
            <w:pPr>
              <w:pStyle w:val="BodyText"/>
            </w:pPr>
            <w:r w:rsidRPr="002A2B09">
              <w:rPr>
                <w:rStyle w:val="SpecialBold"/>
              </w:rPr>
              <w:t>Release 2.0</w:t>
            </w:r>
            <w:r w:rsidRPr="002A2B09">
              <w:t xml:space="preserve"> This is the second release of this unit of competency in the PUA Public Safety Training Package.</w:t>
            </w:r>
          </w:p>
          <w:p w:rsidR="00000000" w:rsidRPr="002A2B09" w:rsidP="002A2B09">
            <w:pPr>
              <w:pStyle w:val="BodyText"/>
            </w:pPr>
            <w:r w:rsidRPr="002A2B09">
              <w:t>Clarification of text, addition/deletion of Performance Criteria and minor changes to Knowledge and Performance Evidence.</w:t>
            </w:r>
          </w:p>
          <w:p w:rsidR="00000000" w:rsidRPr="002A2B09" w:rsidP="002A2B09">
            <w:pPr>
              <w:pStyle w:val="BodyText"/>
            </w:pPr>
            <w:r w:rsidRPr="002A2B09">
              <w:rPr>
                <w:rStyle w:val="SpecialBold"/>
              </w:rPr>
              <w:t>Release 1.0</w:t>
            </w:r>
            <w:r w:rsidRPr="002A2B09">
              <w:t xml:space="preserve"> This is the first release of this unit of competency in the PUA Public Safety Training Package.</w:t>
            </w:r>
          </w:p>
        </w:tc>
      </w:tr>
    </w:tbl>
    <w:p w:rsidR="00000000" w:rsidRPr="002A2B09" w:rsidP="002A2B09">
      <w:pPr>
        <w:pStyle w:val="NoPaddingFontSize1"/>
      </w:pPr>
    </w:p>
    <w:p w:rsidR="00000000" w:rsidRPr="002A2B09" w:rsidP="002A2B09">
      <w:pPr>
        <w:pStyle w:val="AllowPageBreak"/>
      </w:pPr>
    </w:p>
    <w:p w:rsidR="00000000" w:rsidRPr="002A2B09" w:rsidP="002A2B09">
      <w:pPr>
        <w:pStyle w:val="Heading1"/>
      </w:pPr>
      <w:bookmarkStart w:id="2" w:name="O_1153446"/>
      <w:bookmarkEnd w:id="2"/>
      <w:r w:rsidRPr="002A2B09">
        <w:t>Perfo</w:t>
      </w:r>
      <w:r w:rsidRPr="002A2B09">
        <w:t>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09">
            <w:pPr>
              <w:pStyle w:val="BodyText"/>
              <w:rPr>
                <w:lang w:val="en-NZ"/>
              </w:rPr>
            </w:pPr>
            <w:r w:rsidRPr="002A2B0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09" w:rsidP="002A2B09">
            <w:pPr>
              <w:pStyle w:val="ListBullet"/>
            </w:pPr>
            <w:r w:rsidRPr="002A2B09">
              <w:t>assigning tasks and roles consistent with capabi</w:t>
            </w:r>
            <w:r w:rsidRPr="002A2B09">
              <w:t xml:space="preserve">lity and capacity </w:t>
            </w:r>
          </w:p>
          <w:p w:rsidR="00000000" w:rsidRPr="002A2B09" w:rsidP="002A2B09">
            <w:pPr>
              <w:pStyle w:val="ListBullet"/>
            </w:pPr>
            <w:r w:rsidRPr="002A2B09">
              <w:t>collecting accurate information about community needs and services</w:t>
            </w:r>
          </w:p>
          <w:p w:rsidR="00000000" w:rsidRPr="002A2B09" w:rsidP="002A2B09">
            <w:pPr>
              <w:pStyle w:val="ListBullet"/>
            </w:pPr>
            <w:r w:rsidRPr="002A2B09">
              <w:t>communicating with recovery managers, other service providers and the community</w:t>
            </w:r>
          </w:p>
          <w:p w:rsidR="00000000" w:rsidRPr="002A2B09" w:rsidP="002A2B09">
            <w:pPr>
              <w:pStyle w:val="ListBullet"/>
            </w:pPr>
            <w:r w:rsidRPr="002A2B09">
              <w:t>conducting data collection, evaluation and needs analysis</w:t>
            </w:r>
          </w:p>
          <w:p w:rsidR="00000000" w:rsidRPr="002A2B09" w:rsidP="002A2B09">
            <w:pPr>
              <w:pStyle w:val="ListBullet"/>
            </w:pPr>
            <w:r w:rsidRPr="002A2B09">
              <w:t>delivering recovery services safely and efficiently</w:t>
            </w:r>
          </w:p>
          <w:p w:rsidR="00000000" w:rsidRPr="002A2B09" w:rsidP="002A2B09">
            <w:pPr>
              <w:pStyle w:val="ListBullet"/>
            </w:pPr>
            <w:r w:rsidRPr="002A2B09">
              <w:t>demonstrating decision making in recovery services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following organisational policies and procedures </w:t>
            </w:r>
          </w:p>
          <w:p w:rsidR="00000000" w:rsidRPr="002A2B09" w:rsidP="002A2B09">
            <w:pPr>
              <w:pStyle w:val="ListBullet"/>
            </w:pPr>
            <w:r w:rsidRPr="002A2B09">
              <w:t>identifying risks and hazards for recovery services</w:t>
            </w:r>
          </w:p>
          <w:p w:rsidR="00000000" w:rsidRPr="002A2B09" w:rsidP="002A2B09">
            <w:pPr>
              <w:pStyle w:val="ListBullet"/>
            </w:pPr>
            <w:r w:rsidRPr="002A2B09">
              <w:t>implementing an action plan for recovery service de</w:t>
            </w:r>
            <w:r w:rsidRPr="002A2B09">
              <w:t>livery</w:t>
            </w:r>
          </w:p>
          <w:p w:rsidR="00000000" w:rsidRPr="002A2B09" w:rsidP="002A2B09">
            <w:pPr>
              <w:pStyle w:val="ListBullet"/>
            </w:pPr>
            <w:r w:rsidRPr="002A2B09">
              <w:t>participating in briefings and debriefings with team members</w:t>
            </w:r>
          </w:p>
          <w:p w:rsidR="00000000" w:rsidRPr="002A2B09" w:rsidP="002A2B09">
            <w:pPr>
              <w:pStyle w:val="ListBullet"/>
            </w:pPr>
            <w:r w:rsidRPr="002A2B09">
              <w:t>recognising recovery needs and monitoring and reporting on service delivery within agreed scope</w:t>
            </w:r>
          </w:p>
          <w:p w:rsidR="00000000" w:rsidRPr="002A2B09" w:rsidP="002A2B09">
            <w:pPr>
              <w:pStyle w:val="ListBullet"/>
            </w:pPr>
            <w:r w:rsidRPr="002A2B09">
              <w:t>understanding and confirming recovery service delivery requirements</w:t>
            </w:r>
          </w:p>
          <w:p w:rsidR="00000000" w:rsidRPr="002A2B09" w:rsidP="002A2B09">
            <w:pPr>
              <w:pStyle w:val="ListBullet"/>
            </w:pPr>
            <w:r w:rsidRPr="002A2B09">
              <w:t>using interpersonal skil</w:t>
            </w:r>
            <w:r w:rsidRPr="002A2B09">
              <w:t xml:space="preserve">ls including diplomacy, tact, negotiation and conflict resolution </w:t>
            </w:r>
          </w:p>
          <w:p w:rsidR="00000000" w:rsidRPr="002A2B09" w:rsidP="002A2B09">
            <w:pPr>
              <w:pStyle w:val="ListBullet"/>
            </w:pPr>
            <w:r w:rsidRPr="002A2B09">
              <w:t>working as a team member.</w:t>
            </w:r>
          </w:p>
        </w:tc>
      </w:tr>
    </w:tbl>
    <w:p w:rsidR="00000000" w:rsidRPr="002A2B09" w:rsidP="002A2B09">
      <w:pPr>
        <w:pStyle w:val="NoPaddingFontSize1"/>
      </w:pPr>
    </w:p>
    <w:p w:rsidR="00000000" w:rsidRPr="002A2B09" w:rsidP="002A2B09">
      <w:pPr>
        <w:pStyle w:val="AllowPageBreak"/>
      </w:pPr>
    </w:p>
    <w:p w:rsidR="00000000" w:rsidRPr="002A2B09" w:rsidP="002A2B09">
      <w:pPr>
        <w:pStyle w:val="Heading1"/>
      </w:pPr>
      <w:bookmarkStart w:id="3" w:name="O_1153445"/>
      <w:bookmarkEnd w:id="3"/>
      <w:r w:rsidRPr="002A2B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09">
            <w:pPr>
              <w:pStyle w:val="BodyText"/>
              <w:rPr>
                <w:lang w:val="en-NZ"/>
              </w:rPr>
            </w:pPr>
            <w:r w:rsidRPr="002A2B09">
              <w:t>Evidence required to demonstrate competence in this unit must be relevant to and satisfy all the requirements of the elemen</w:t>
            </w:r>
            <w:r w:rsidRPr="002A2B09">
              <w:t>ts and performance criteria and includes knowledge of</w:t>
            </w:r>
          </w:p>
        </w:tc>
      </w:tr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09" w:rsidP="002A2B09">
            <w:pPr>
              <w:pStyle w:val="ListBullet"/>
            </w:pPr>
            <w:r w:rsidRPr="002A2B09">
              <w:t xml:space="preserve">approaches and strategies for community development </w:t>
            </w:r>
          </w:p>
          <w:p w:rsidR="00000000" w:rsidRPr="002A2B09" w:rsidP="002A2B09">
            <w:pPr>
              <w:pStyle w:val="ListBullet"/>
            </w:pPr>
            <w:r w:rsidRPr="002A2B09">
              <w:t>common impacts of emergencies on communities and individuals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community contexts </w:t>
            </w:r>
          </w:p>
          <w:p w:rsidR="00000000" w:rsidRPr="002A2B09" w:rsidP="002A2B09">
            <w:pPr>
              <w:pStyle w:val="ListBullet"/>
            </w:pPr>
            <w:r w:rsidRPr="002A2B09">
              <w:t>delegations and administrative processes within recovery service organisations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disaster recovery funding arrangements  </w:t>
            </w:r>
          </w:p>
          <w:p w:rsidR="00000000" w:rsidRPr="002A2B09" w:rsidP="002A2B09">
            <w:pPr>
              <w:pStyle w:val="ListBullet"/>
            </w:pPr>
            <w:r w:rsidRPr="002A2B09">
              <w:t>event specific recommendations to recovery service delivery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fundamentals of recovery operations </w:t>
            </w:r>
          </w:p>
          <w:p w:rsidR="00000000" w:rsidRPr="002A2B09" w:rsidP="002A2B09">
            <w:pPr>
              <w:pStyle w:val="ListBullet"/>
            </w:pPr>
            <w:r w:rsidRPr="002A2B09">
              <w:t>issues relating to recovery services de</w:t>
            </w:r>
            <w:r w:rsidRPr="002A2B09">
              <w:t xml:space="preserve">livery including transition to business as usual </w:t>
            </w:r>
          </w:p>
          <w:p w:rsidR="00000000" w:rsidRPr="002A2B09" w:rsidP="002A2B09">
            <w:pPr>
              <w:pStyle w:val="ListBullet"/>
            </w:pPr>
            <w:r w:rsidRPr="002A2B09">
              <w:t>jurisdictional recovery assistance programs relevant to recovery service role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legislative and regulatory framework and local, state and territory emergency management arrangements </w:t>
            </w:r>
          </w:p>
          <w:p w:rsidR="00000000" w:rsidRPr="002A2B09" w:rsidP="002A2B09">
            <w:pPr>
              <w:pStyle w:val="ListBullet"/>
            </w:pPr>
            <w:r w:rsidRPr="002A2B09">
              <w:t>organisational documentat</w:t>
            </w:r>
            <w:r w:rsidRPr="002A2B09">
              <w:t xml:space="preserve">ion, policies and procedures </w:t>
            </w:r>
          </w:p>
          <w:p w:rsidR="00000000" w:rsidRPr="002A2B09" w:rsidP="002A2B09">
            <w:pPr>
              <w:pStyle w:val="ListBullet"/>
            </w:pPr>
            <w:r w:rsidRPr="002A2B09">
              <w:t>strategies for briefings and debriefings</w:t>
            </w:r>
          </w:p>
          <w:p w:rsidR="00000000" w:rsidRPr="002A2B09" w:rsidP="002A2B09">
            <w:pPr>
              <w:pStyle w:val="ListBullet"/>
            </w:pPr>
            <w:r w:rsidRPr="002A2B09">
              <w:t>types of service providers and delivery.</w:t>
            </w:r>
          </w:p>
        </w:tc>
      </w:tr>
    </w:tbl>
    <w:p w:rsidR="00000000" w:rsidRPr="002A2B09" w:rsidP="002A2B09">
      <w:pPr>
        <w:pStyle w:val="NoPaddingFontSize1"/>
      </w:pPr>
    </w:p>
    <w:p w:rsidR="00000000" w:rsidRPr="002A2B09" w:rsidP="002A2B09">
      <w:pPr>
        <w:pStyle w:val="AllowPageBreak"/>
      </w:pPr>
    </w:p>
    <w:p w:rsidR="00000000" w:rsidRPr="002A2B09" w:rsidP="002A2B09">
      <w:pPr>
        <w:pStyle w:val="Heading1"/>
      </w:pPr>
      <w:bookmarkStart w:id="4" w:name="O_1153444"/>
      <w:bookmarkEnd w:id="4"/>
      <w:r w:rsidRPr="002A2B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09" w:rsidP="002A2B09">
            <w:pPr>
              <w:pStyle w:val="BodyText"/>
            </w:pPr>
            <w:r w:rsidRPr="002A2B09">
              <w:t xml:space="preserve">Assessors must hold credentials specified within the Standards for Registered Training Organisations current at the time of assessment. </w:t>
            </w:r>
          </w:p>
          <w:p w:rsidR="00000000" w:rsidRPr="002A2B09" w:rsidP="002A2B09">
            <w:pPr>
              <w:pStyle w:val="BodyText"/>
            </w:pPr>
            <w:r w:rsidRPr="002A2B09">
              <w:t>Assessment must satisfy the Principles of Assessment and Rules of Evidence and all regulatory requirements included wit</w:t>
            </w:r>
            <w:r w:rsidRPr="002A2B09">
              <w:t xml:space="preserve">hin the Standards for Registered Training Organisations current at the time of assessment. </w:t>
            </w:r>
          </w:p>
          <w:p w:rsidR="00000000" w:rsidRPr="002A2B09" w:rsidP="002A2B09">
            <w:pPr>
              <w:pStyle w:val="BodyText"/>
            </w:pPr>
            <w:r w:rsidRPr="002A2B09">
              <w:t>Assessment must occur in operational situations or in simulated operational training situations that reflect workplace conditions.</w:t>
            </w:r>
          </w:p>
          <w:p w:rsidR="00000000" w:rsidRPr="002A2B09" w:rsidP="002A2B09">
            <w:pPr>
              <w:pStyle w:val="BodyText"/>
            </w:pPr>
            <w:r w:rsidRPr="002A2B09">
              <w:t>Assessment processes and techniqu</w:t>
            </w:r>
            <w:r w:rsidRPr="002A2B09">
              <w:t xml:space="preserve">es must be appropriate to the language, literacy and numeracy requirements of the work being performed and the needs of the candidate. </w:t>
            </w:r>
          </w:p>
          <w:p w:rsidR="00000000" w:rsidRPr="002A2B09" w:rsidP="002A2B09">
            <w:pPr>
              <w:pStyle w:val="BodyText"/>
            </w:pPr>
            <w:r w:rsidRPr="002A2B09">
              <w:t>Resources for assessment must include access to</w:t>
            </w:r>
          </w:p>
          <w:p w:rsidR="00000000" w:rsidRPr="002A2B09" w:rsidP="002A2B09">
            <w:pPr>
              <w:pStyle w:val="ListBullet"/>
            </w:pPr>
            <w:r w:rsidRPr="002A2B09">
              <w:t xml:space="preserve">a range of exercises and/or case studies </w:t>
            </w:r>
          </w:p>
          <w:p w:rsidR="00000000" w:rsidRPr="002A2B09" w:rsidP="002A2B09">
            <w:pPr>
              <w:pStyle w:val="ListBullet"/>
            </w:pPr>
            <w:r w:rsidRPr="002A2B09">
              <w:t>appropriate materials and equ</w:t>
            </w:r>
            <w:r w:rsidRPr="002A2B09">
              <w:t>ipment currently used in industry including</w:t>
            </w:r>
          </w:p>
          <w:p w:rsidR="00000000" w:rsidRPr="002A2B09" w:rsidP="002A2B09">
            <w:pPr>
              <w:pStyle w:val="ListBullet"/>
            </w:pPr>
            <w:r w:rsidRPr="002A2B09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2A2B09" w:rsidP="002A2B09">
      <w:pPr>
        <w:pStyle w:val="NoPaddingFontSize1"/>
      </w:pPr>
    </w:p>
    <w:p w:rsidR="00000000" w:rsidRPr="002A2B09" w:rsidP="002A2B09">
      <w:pPr>
        <w:pStyle w:val="AllowPageBreak"/>
      </w:pPr>
    </w:p>
    <w:p w:rsidR="00000000" w:rsidRPr="002A2B09" w:rsidP="002A2B09">
      <w:pPr>
        <w:pStyle w:val="Heading1"/>
      </w:pPr>
      <w:bookmarkStart w:id="5" w:name="O_1153459"/>
      <w:bookmarkEnd w:id="5"/>
      <w:r w:rsidRPr="002A2B09">
        <w:t>Links</w:t>
      </w:r>
    </w:p>
    <w:p w:rsidR="00000000" w:rsidRPr="002A2B09" w:rsidP="00772D37">
      <w:pPr>
        <w:pStyle w:val="BodyText"/>
      </w:pPr>
      <w:r w:rsidRPr="002A2B09">
        <w:t>Companion Volume Implementatio</w:t>
      </w:r>
      <w:r w:rsidRPr="002A2B09">
        <w:t xml:space="preserve">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E0BF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A2B09" w:rsidP="002A2B09"/>
    <w:sectPr w:rsidSect="002A2B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09" w:rsidRPr="00772D37" w:rsidP="00772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7" w:rsidP="002A2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D37" w:rsidP="002A2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2D37" w:rsidP="002A2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B09" w:rsidRPr="00772D37" w:rsidP="00772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7" w:rsidRPr="002D2AF8" w:rsidP="002A2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PUAEMR014 Deliver recovery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72D37" w:rsidP="002A2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ED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1AD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B09"/>
  </w:style>
  <w:style w:type="character" w:customStyle="1" w:styleId="Heading1Char">
    <w:name w:val="Heading 1 Char"/>
    <w:basedOn w:val="DefaultParagraphFont"/>
    <w:link w:val="Heading1"/>
    <w:rsid w:val="002A2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B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B09"/>
    <w:rPr>
      <w:b/>
      <w:spacing w:val="0"/>
    </w:rPr>
  </w:style>
  <w:style w:type="paragraph" w:customStyle="1" w:styleId="SuperHeading">
    <w:name w:val="SuperHeading"/>
    <w:basedOn w:val="Normal"/>
    <w:rsid w:val="002A2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2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B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B09"/>
    <w:rPr>
      <w:i/>
    </w:rPr>
  </w:style>
  <w:style w:type="paragraph" w:styleId="Caption">
    <w:name w:val="caption"/>
    <w:basedOn w:val="BodyText"/>
    <w:next w:val="Normal"/>
    <w:qFormat/>
    <w:rsid w:val="002A2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B09"/>
  </w:style>
  <w:style w:type="paragraph" w:styleId="TableofFigures">
    <w:name w:val="table of figures"/>
    <w:basedOn w:val="Normal"/>
    <w:next w:val="Normal"/>
    <w:semiHidden/>
    <w:rsid w:val="002A2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B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B09"/>
    <w:rPr>
      <w:rFonts w:ascii="Wingdings" w:hAnsi="Wingdings"/>
    </w:rPr>
  </w:style>
  <w:style w:type="paragraph" w:customStyle="1" w:styleId="TableHeading">
    <w:name w:val="Table Heading"/>
    <w:basedOn w:val="HeadingBase"/>
    <w:rsid w:val="002A2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B09"/>
    <w:rPr>
      <w:color w:val="0033CC"/>
      <w:u w:val="none"/>
    </w:rPr>
  </w:style>
  <w:style w:type="paragraph" w:customStyle="1" w:styleId="BodyTextRight">
    <w:name w:val="Body Text Right"/>
    <w:basedOn w:val="BodyText"/>
    <w:rsid w:val="002A2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B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B09"/>
    <w:rPr>
      <w:sz w:val="32"/>
    </w:rPr>
  </w:style>
  <w:style w:type="paragraph" w:customStyle="1" w:styleId="HeadingProcedure">
    <w:name w:val="Heading Procedure"/>
    <w:basedOn w:val="HeadingBase"/>
    <w:next w:val="Normal"/>
    <w:rsid w:val="002A2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B09"/>
    <w:pPr>
      <w:spacing w:before="60" w:after="60"/>
    </w:pPr>
  </w:style>
  <w:style w:type="paragraph" w:styleId="ListContinue">
    <w:name w:val="List Continue"/>
    <w:basedOn w:val="List"/>
    <w:rsid w:val="002A2B09"/>
    <w:pPr>
      <w:ind w:firstLine="0"/>
    </w:pPr>
  </w:style>
  <w:style w:type="paragraph" w:customStyle="1" w:styleId="ListNote">
    <w:name w:val="List Note"/>
    <w:basedOn w:val="List"/>
    <w:rsid w:val="002A2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B09"/>
    <w:rPr>
      <w:rFonts w:ascii="Courier New" w:hAnsi="Courier New"/>
    </w:rPr>
  </w:style>
  <w:style w:type="paragraph" w:customStyle="1" w:styleId="NoteBullet">
    <w:name w:val="Note Bullet"/>
    <w:basedOn w:val="Note"/>
    <w:rsid w:val="002A2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B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B09"/>
    <w:rPr>
      <w:b/>
      <w:smallCaps/>
    </w:rPr>
  </w:style>
  <w:style w:type="paragraph" w:customStyle="1" w:styleId="TableListNumber">
    <w:name w:val="Table List Number"/>
    <w:basedOn w:val="ListNumber"/>
    <w:rsid w:val="002A2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B09"/>
    <w:pPr>
      <w:numPr>
        <w:numId w:val="8"/>
      </w:numPr>
    </w:pPr>
  </w:style>
  <w:style w:type="paragraph" w:customStyle="1" w:styleId="ListAlpha2">
    <w:name w:val="List Alpha 2"/>
    <w:basedOn w:val="List2"/>
    <w:rsid w:val="002A2B09"/>
    <w:pPr>
      <w:numPr>
        <w:numId w:val="7"/>
      </w:numPr>
    </w:pPr>
  </w:style>
  <w:style w:type="paragraph" w:styleId="List2">
    <w:name w:val="List 2"/>
    <w:basedOn w:val="BodyText"/>
    <w:rsid w:val="002A2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B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B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B09"/>
    <w:pPr>
      <w:numPr>
        <w:numId w:val="3"/>
      </w:numPr>
    </w:pPr>
  </w:style>
  <w:style w:type="paragraph" w:styleId="ListContinue2">
    <w:name w:val="List Continue 2"/>
    <w:basedOn w:val="List2"/>
    <w:rsid w:val="002A2B09"/>
    <w:pPr>
      <w:ind w:firstLine="0"/>
    </w:pPr>
  </w:style>
  <w:style w:type="paragraph" w:styleId="ListContinue3">
    <w:name w:val="List Continue 3"/>
    <w:basedOn w:val="List3"/>
    <w:rsid w:val="002A2B09"/>
    <w:pPr>
      <w:ind w:left="1021" w:firstLine="0"/>
    </w:pPr>
  </w:style>
  <w:style w:type="paragraph" w:styleId="ListContinue4">
    <w:name w:val="List Continue 4"/>
    <w:basedOn w:val="List4"/>
    <w:rsid w:val="002A2B09"/>
    <w:pPr>
      <w:ind w:firstLine="0"/>
    </w:pPr>
  </w:style>
  <w:style w:type="paragraph" w:styleId="ListContinue5">
    <w:name w:val="List Continue 5"/>
    <w:basedOn w:val="List5"/>
    <w:rsid w:val="002A2B09"/>
    <w:pPr>
      <w:ind w:firstLine="0"/>
    </w:pPr>
  </w:style>
  <w:style w:type="paragraph" w:styleId="ListNumber3">
    <w:name w:val="List Number 3"/>
    <w:basedOn w:val="List3"/>
    <w:rsid w:val="002A2B09"/>
    <w:pPr>
      <w:numPr>
        <w:numId w:val="4"/>
      </w:numPr>
    </w:pPr>
  </w:style>
  <w:style w:type="paragraph" w:styleId="ListNumber4">
    <w:name w:val="List Number 4"/>
    <w:basedOn w:val="List4"/>
    <w:rsid w:val="002A2B09"/>
    <w:pPr>
      <w:numPr>
        <w:numId w:val="5"/>
      </w:numPr>
    </w:pPr>
  </w:style>
  <w:style w:type="paragraph" w:styleId="ListNumber5">
    <w:name w:val="List Number 5"/>
    <w:basedOn w:val="List5"/>
    <w:rsid w:val="002A2B09"/>
    <w:pPr>
      <w:numPr>
        <w:numId w:val="6"/>
      </w:numPr>
    </w:pPr>
  </w:style>
  <w:style w:type="paragraph" w:styleId="BlockText">
    <w:name w:val="Block Text"/>
    <w:basedOn w:val="Normal"/>
    <w:rsid w:val="002A2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B09"/>
    <w:rPr>
      <w:sz w:val="16"/>
      <w:vertAlign w:val="superscript"/>
    </w:rPr>
  </w:style>
  <w:style w:type="character" w:customStyle="1" w:styleId="Symbols">
    <w:name w:val="Symbols"/>
    <w:basedOn w:val="DefaultParagraphFont"/>
    <w:rsid w:val="002A2B09"/>
    <w:rPr>
      <w:rFonts w:ascii="Symbol" w:hAnsi="Symbol"/>
    </w:rPr>
  </w:style>
  <w:style w:type="character" w:customStyle="1" w:styleId="MenuOptions">
    <w:name w:val="Menu Options"/>
    <w:basedOn w:val="DefaultParagraphFont"/>
    <w:rsid w:val="002A2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B09"/>
    <w:rPr>
      <w:b/>
    </w:rPr>
  </w:style>
  <w:style w:type="character" w:customStyle="1" w:styleId="Underlined">
    <w:name w:val="Underlined"/>
    <w:basedOn w:val="DefaultParagraphFont"/>
    <w:rsid w:val="002A2B09"/>
    <w:rPr>
      <w:u w:val="single"/>
    </w:rPr>
  </w:style>
  <w:style w:type="paragraph" w:customStyle="1" w:styleId="TableBodyTextRight">
    <w:name w:val="Table Body Text Right"/>
    <w:basedOn w:val="TableBodyText"/>
    <w:rsid w:val="002A2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B09"/>
    <w:rPr>
      <w:sz w:val="18"/>
    </w:rPr>
  </w:style>
  <w:style w:type="paragraph" w:customStyle="1" w:styleId="BodySmallRight">
    <w:name w:val="Body Small Right"/>
    <w:basedOn w:val="BodyTextRight"/>
    <w:rsid w:val="002A2B09"/>
    <w:rPr>
      <w:sz w:val="18"/>
      <w:szCs w:val="18"/>
    </w:rPr>
  </w:style>
  <w:style w:type="paragraph" w:customStyle="1" w:styleId="MarginEdition">
    <w:name w:val="Margin Edition"/>
    <w:basedOn w:val="MarginNote"/>
    <w:rsid w:val="002A2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B09"/>
    <w:rPr>
      <w:sz w:val="2"/>
      <w:szCs w:val="2"/>
    </w:rPr>
  </w:style>
  <w:style w:type="character" w:customStyle="1" w:styleId="Small">
    <w:name w:val="Small"/>
    <w:basedOn w:val="DefaultParagraphFont"/>
    <w:rsid w:val="002A2B09"/>
    <w:rPr>
      <w:sz w:val="16"/>
    </w:rPr>
  </w:style>
  <w:style w:type="paragraph" w:customStyle="1" w:styleId="WideTable">
    <w:name w:val="Wide Table"/>
    <w:basedOn w:val="Normal"/>
    <w:rsid w:val="002A2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B09"/>
  </w:style>
  <w:style w:type="paragraph" w:styleId="Quote">
    <w:name w:val="Quote"/>
    <w:basedOn w:val="Heading1"/>
    <w:link w:val="QuoteChar"/>
    <w:qFormat/>
    <w:rsid w:val="002A2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B09"/>
    <w:pPr>
      <w:pageBreakBefore/>
    </w:pPr>
  </w:style>
  <w:style w:type="paragraph" w:customStyle="1" w:styleId="Border">
    <w:name w:val="Border"/>
    <w:basedOn w:val="Normal"/>
    <w:qFormat/>
    <w:rsid w:val="002A2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B09"/>
    <w:rPr>
      <w:u w:val="single"/>
    </w:rPr>
  </w:style>
  <w:style w:type="character" w:customStyle="1" w:styleId="BoldandItalics">
    <w:name w:val="Bold and Italics"/>
    <w:qFormat/>
    <w:rsid w:val="002A2B09"/>
    <w:rPr>
      <w:b/>
      <w:i/>
      <w:u w:val="none"/>
    </w:rPr>
  </w:style>
  <w:style w:type="paragraph" w:styleId="BalloonText">
    <w:name w:val="Balloon Text"/>
    <w:basedOn w:val="Normal"/>
    <w:link w:val="BalloonTextChar"/>
    <w:rsid w:val="002A2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B09"/>
    <w:pPr>
      <w:spacing w:before="0" w:after="0"/>
    </w:pPr>
  </w:style>
  <w:style w:type="paragraph" w:customStyle="1" w:styleId="BodyTextBold">
    <w:name w:val="Body Text Bold"/>
    <w:basedOn w:val="BodyText"/>
    <w:qFormat/>
    <w:rsid w:val="002A2B09"/>
    <w:rPr>
      <w:b/>
    </w:rPr>
  </w:style>
  <w:style w:type="character" w:styleId="Hyperlink">
    <w:name w:val="Hyperlink"/>
    <w:basedOn w:val="DefaultParagraphFont"/>
    <w:uiPriority w:val="99"/>
    <w:unhideWhenUsed/>
    <w:rsid w:val="00772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3377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PUAEMR014 Deliver recovery services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