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5A2" w:rsidP="003055A2">
      <w:pPr>
        <w:pStyle w:val="Title"/>
      </w:pPr>
      <w:r>
        <w:fldChar w:fldCharType="begin"/>
      </w:r>
      <w:r>
        <w:instrText xml:space="preserve"> TITLE   \* MERGEFORMAT </w:instrText>
      </w:r>
      <w:r>
        <w:fldChar w:fldCharType="separate"/>
      </w:r>
      <w:r>
        <w:t>PUAEMR012 Determine treatment options</w:t>
      </w:r>
      <w:r>
        <w:fldChar w:fldCharType="end"/>
      </w:r>
    </w:p>
    <w:p w:rsidR="003055A2" w:rsidP="003055A2">
      <w:pPr>
        <w:pStyle w:val="Version"/>
        <w:sectPr w:rsidSect="000A4D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D9E" w:rsidP="000A4D9E">
      <w:pPr>
        <w:pStyle w:val="SuperHeading"/>
      </w:pPr>
      <w:r w:rsidRPr="000A4D9E">
        <w:t>PUAEMR012 Determine treatment options</w:t>
      </w:r>
    </w:p>
    <w:p w:rsidR="00000000" w:rsidRPr="000A4D9E" w:rsidP="000A4D9E">
      <w:pPr>
        <w:pStyle w:val="Heading1"/>
      </w:pPr>
      <w:bookmarkStart w:id="1" w:name="O_1024506"/>
      <w:bookmarkEnd w:id="1"/>
      <w:r w:rsidRPr="000A4D9E">
        <w:t>Modification History</w:t>
      </w:r>
    </w:p>
    <w:tbl>
      <w:tblPr>
        <w:tblW w:w="9493" w:type="dxa"/>
        <w:tblLayout w:type="fixed"/>
        <w:tblCellMar>
          <w:left w:w="62" w:type="dxa"/>
          <w:right w:w="62" w:type="dxa"/>
        </w:tblCellMar>
        <w:tblLook w:val="0000"/>
      </w:tblPr>
      <w:tblGrid>
        <w:gridCol w:w="9493"/>
      </w:tblGrid>
      <w:tr w:rsidTr="000A4D9E">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Release 1.</w:t>
            </w:r>
            <w:r w:rsidRPr="000A4D9E">
              <w:t xml:space="preserve"> This is the first release of this unit of competency in the PUA Public Safety Training Package.</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2" w:name="O_1024507"/>
      <w:bookmarkEnd w:id="2"/>
      <w:r w:rsidRPr="000A4D9E">
        <w:t>Application</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This unit of competency involves the skills and knowledge required to determine a range of trea</w:t>
            </w:r>
            <w:r w:rsidRPr="000A4D9E">
              <w:t>tment options for responding to emergency risks. It includes establishing project and working groups, confirming risks to be considered, identifying and evaluating treatment options, recommending treatment options for each risk, promoting ongoing commitmen</w:t>
            </w:r>
            <w:r w:rsidRPr="000A4D9E">
              <w:t>t and ownership of processes and outcomes as well as monitoring and reviewing processes.</w:t>
            </w:r>
          </w:p>
          <w:p w:rsidR="00000000" w:rsidRPr="000A4D9E" w:rsidP="000A4D9E">
            <w:pPr>
              <w:pStyle w:val="BodyText"/>
            </w:pPr>
            <w:r w:rsidRPr="000A4D9E">
              <w:t xml:space="preserve">The unit applies to personnel who are part of a working group that develops treatment options during an emergency risk assessment with a community. </w:t>
            </w:r>
          </w:p>
          <w:p w:rsidR="00000000" w:rsidRPr="000A4D9E" w:rsidP="000A4D9E">
            <w:pPr>
              <w:pStyle w:val="BodyText"/>
            </w:pPr>
            <w:r w:rsidRPr="000A4D9E">
              <w:t>No licensing, legi</w:t>
            </w:r>
            <w:r w:rsidRPr="000A4D9E">
              <w:t>slative or certification requirements apply to this unit at the time of publication.</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3" w:name="O_1024508"/>
      <w:bookmarkEnd w:id="3"/>
      <w:r w:rsidRPr="000A4D9E">
        <w:t>Pre-requisite Unit</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PUAEMR008 Contribute to an emergency risk management process</w:t>
            </w:r>
          </w:p>
          <w:p w:rsidR="00000000" w:rsidRPr="000A4D9E" w:rsidP="000A4D9E">
            <w:pPr>
              <w:pStyle w:val="BodyText"/>
            </w:pPr>
            <w:r w:rsidRPr="000A4D9E">
              <w:t>PUAEMR009 Facilitate emergency risk assessment</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4" w:name="O_1024509"/>
      <w:bookmarkEnd w:id="4"/>
      <w:r w:rsidRPr="000A4D9E">
        <w:t>Competency Field</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Emergency Management</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5" w:name="O_1024510"/>
      <w:bookmarkEnd w:id="5"/>
      <w:r w:rsidRPr="000A4D9E">
        <w:t>Unit Sector</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Not applicable</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6" w:name="O_1024511"/>
      <w:bookmarkEnd w:id="6"/>
      <w:r w:rsidRPr="000A4D9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4D9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PERFORMANCE CRITERIA</w:t>
            </w:r>
          </w:p>
        </w:tc>
      </w:tr>
      <w:tr w:rsidTr="000A4D9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Performance criteria describe the performance needed to demonstrate achievement of the element.</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Establish</w:t>
            </w:r>
            <w:r w:rsidRPr="000A4D9E">
              <w:t xml:space="preserve"> </w:t>
            </w:r>
            <w:r w:rsidRPr="000A4D9E">
              <w:rPr>
                <w:rStyle w:val="SpecialBold"/>
              </w:rPr>
              <w:t>project and working group</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Policies, procedures, reports, records and emergency risk assessments are located and analysed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A working gr</w:t>
            </w:r>
            <w:r w:rsidRPr="000A4D9E">
              <w:t>oup is established with an appropriate balance of expertise, representation and authority</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Emergency risk management principles, terminology, processes and organisational procedures are identified and confirmed to the working group</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Sustainable emergency risk management process is negotiated for community context and capability, stakeholder needs and identified practical constraints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Project management and consultation plans are developed with stakeholders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Need for speci</w:t>
            </w:r>
            <w:r w:rsidRPr="000A4D9E">
              <w:t>alised information, additional skills and expertise in determining treatment options is identified, in accordance with organisational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Confirm risks to be considered</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Existing risk assessments are reviewed, in accordance with organisational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Sources of risk in determining treatment options are identified</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Responsibility for single or multi organisational management of risks is identified</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Ri</w:t>
            </w:r>
            <w:r w:rsidRPr="000A4D9E">
              <w:t xml:space="preserve">sk treatment objectives are identified in consultation with stakeholders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Identify treatment options</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Effectiveness of existing risk treatments is established through research and stakeholder consultation</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Community vulnerability is reviewed when identifying treatment options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A range of potential risk treatment options is identified through research and stakeholder consultation</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Evaluate treatment options</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Evaluation methods are agreed with stake</w:t>
            </w:r>
            <w:r w:rsidRPr="000A4D9E">
              <w:t xml:space="preserve">holders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Treatment options are assessed and risks and implications for stakeholders are identified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Treatment options are documented so they can be accessed by stakeholders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Feedback on likely implications and impacts of </w:t>
            </w:r>
            <w:r w:rsidRPr="000A4D9E">
              <w:t xml:space="preserve">treatment options is obtained from stakeholders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Residual risks are assessed for tolerability or acceptance, in accordance with organisational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Cost benefit analysis is completed for ea</w:t>
            </w:r>
            <w:r w:rsidRPr="000A4D9E">
              <w:t>ch risk treatment option, in accordance with organisational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Recommend treatment options for each risk</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Recommended options including implementation responsibilities are agreed in consultation with stakeholders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Recommended options and residual risks are documented, in accordance with organisational policies and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Recommendations are submitted for approval, in accordance with organisational policies and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Promote commitment and ownershi</w:t>
            </w:r>
            <w:r w:rsidRPr="000A4D9E">
              <w:rPr>
                <w:rStyle w:val="SpecialBold"/>
              </w:rPr>
              <w:t>p of processes and outcomes</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Communication and consultation is undertaken with community stakeholders using a range of methods and options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A range of communication strategies are used whilst determining treatment options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Processes, decisions and outcomes are documented, in accordance with organisational policies and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Information is provided to the community and stakeholders </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Monitor and review processes</w:t>
            </w: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Data and stakeholders contact information is r</w:t>
            </w:r>
            <w:r w:rsidRPr="000A4D9E">
              <w:t>eviewed and updated, as required</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Treatment options are monitored and reviewed, in accordance with organisational procedures</w:t>
            </w:r>
          </w:p>
        </w:tc>
      </w:tr>
      <w:tr w:rsidTr="000A4D9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4D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 xml:space="preserve">Opportunities for improving emergency risk management processes are reported to authorised personnel </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7" w:name="O_1024512"/>
      <w:bookmarkEnd w:id="7"/>
      <w:r w:rsidRPr="000A4D9E">
        <w:t>Foundation Skills</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Foundation skills essential to performance are explicit in the performance criteria of this unit of competency.</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8" w:name="O_1024513"/>
      <w:bookmarkEnd w:id="8"/>
      <w:r w:rsidRPr="000A4D9E">
        <w:t>Range of Conditions</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Range is restricted to essential operating conditions and any other variable</w:t>
            </w:r>
            <w:r w:rsidRPr="000A4D9E">
              <w:t>s essential to the work environment.</w:t>
            </w:r>
          </w:p>
          <w:p w:rsidR="00000000" w:rsidRPr="000A4D9E" w:rsidP="000A4D9E">
            <w:pPr>
              <w:pStyle w:val="BodyText"/>
            </w:pPr>
            <w:r w:rsidRPr="000A4D9E">
              <w:t>Non-essential conditions may be found in the Companion Volume Implementation Guide.</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9" w:name="O_1024514"/>
      <w:bookmarkEnd w:id="9"/>
      <w:r w:rsidRPr="000A4D9E">
        <w:t>Unit Mapping Information</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This unit replaces and is equivalent to PUAEMR012B Determine treatment options.</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10" w:name="O_1024521"/>
      <w:bookmarkEnd w:id="10"/>
      <w:r w:rsidRPr="000A4D9E">
        <w:t>Links</w:t>
      </w:r>
    </w:p>
    <w:p w:rsidR="00000000" w:rsidRPr="000A4D9E" w:rsidP="003055A2">
      <w:pPr>
        <w:pStyle w:val="BodyText"/>
      </w:pPr>
      <w:r w:rsidRPr="000A4D9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D6ECD">
        <w:rPr>
          <w:rStyle w:val="Hyperlink"/>
        </w:rPr>
        <w:t>https://vetnet.gov.au/Pages/TrainingDocs.aspx?q=3eca5672-6d5a-410b-8942-810d0ba05bbf</w:t>
      </w:r>
      <w:r>
        <w:fldChar w:fldCharType="end"/>
      </w:r>
    </w:p>
    <w:p w:rsidR="00000000" w:rsidRPr="000A4D9E" w:rsidP="003055A2">
      <w:pPr>
        <w:pStyle w:val="BodyText"/>
        <w:sectPr w:rsidSect="000A4D9E">
          <w:headerReference w:type="default" r:id="rId10"/>
          <w:footerReference w:type="default" r:id="rId11"/>
          <w:pgSz w:w="11908" w:h="16833"/>
          <w:pgMar w:top="1702" w:right="1418" w:bottom="1702" w:left="1418" w:header="992" w:footer="992" w:gutter="0"/>
          <w:cols w:space="720"/>
          <w:noEndnote/>
          <w:docGrid w:linePitch="299"/>
        </w:sectPr>
      </w:pPr>
    </w:p>
    <w:p w:rsidR="00000000" w:rsidRPr="000A4D9E" w:rsidP="000A4D9E">
      <w:pPr>
        <w:pStyle w:val="SuperHeading"/>
      </w:pPr>
      <w:r w:rsidRPr="000A4D9E">
        <w:t>Assessment Requireme</w:t>
      </w:r>
      <w:r w:rsidRPr="000A4D9E">
        <w:t>nts for PUAEMR012 Determine treatment options</w:t>
      </w:r>
    </w:p>
    <w:p w:rsidR="00000000" w:rsidRPr="000A4D9E" w:rsidP="000A4D9E">
      <w:pPr>
        <w:pStyle w:val="Heading1"/>
      </w:pPr>
      <w:bookmarkStart w:id="11" w:name="O_1024516"/>
      <w:bookmarkEnd w:id="11"/>
      <w:r w:rsidRPr="000A4D9E">
        <w:t>Modification History</w:t>
      </w:r>
    </w:p>
    <w:tbl>
      <w:tblPr>
        <w:tblW w:w="9493" w:type="dxa"/>
        <w:tblLayout w:type="fixed"/>
        <w:tblCellMar>
          <w:left w:w="62" w:type="dxa"/>
          <w:right w:w="62" w:type="dxa"/>
        </w:tblCellMar>
        <w:tblLook w:val="0000"/>
      </w:tblPr>
      <w:tblGrid>
        <w:gridCol w:w="9493"/>
      </w:tblGrid>
      <w:tr w:rsidTr="000A4D9E">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rPr>
                <w:rStyle w:val="SpecialBold"/>
              </w:rPr>
              <w:t>Release 1.</w:t>
            </w:r>
            <w:r w:rsidRPr="000A4D9E">
              <w:t xml:space="preserve"> This is the first release of this unit of competency in the PUA Public Safety Training Package.</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12" w:name="O_1024517"/>
      <w:bookmarkEnd w:id="12"/>
      <w:r w:rsidRPr="000A4D9E">
        <w:t>Performance Evidence</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 xml:space="preserve">Evidence required to demonstrate competence in this unit must be relevant to and satisfy all the requirements of the elements and performance criteria on at least one occasion and includes </w:t>
            </w:r>
          </w:p>
        </w:tc>
      </w:tr>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ListBullet"/>
            </w:pPr>
            <w:r w:rsidRPr="000A4D9E">
              <w:t>completing documentation</w:t>
            </w:r>
          </w:p>
          <w:p w:rsidR="00000000" w:rsidRPr="000A4D9E" w:rsidP="000A4D9E">
            <w:pPr>
              <w:pStyle w:val="ListBullet"/>
            </w:pPr>
            <w:r w:rsidRPr="000A4D9E">
              <w:t xml:space="preserve">determining risks to be considered and </w:t>
            </w:r>
            <w:r w:rsidRPr="000A4D9E">
              <w:t>producing recommendations</w:t>
            </w:r>
          </w:p>
          <w:p w:rsidR="00000000" w:rsidRPr="000A4D9E" w:rsidP="000A4D9E">
            <w:pPr>
              <w:pStyle w:val="ListBullet"/>
            </w:pPr>
            <w:r w:rsidRPr="000A4D9E">
              <w:t>establishing project and working group</w:t>
            </w:r>
          </w:p>
          <w:p w:rsidR="00000000" w:rsidRPr="000A4D9E" w:rsidP="000A4D9E">
            <w:pPr>
              <w:pStyle w:val="ListBullet"/>
            </w:pPr>
            <w:r w:rsidRPr="000A4D9E">
              <w:t xml:space="preserve">following organisational policies and procedures including Work, Health and Safety (WHS)/Occupational Health and Safety (OHS) requirements </w:t>
            </w:r>
          </w:p>
          <w:p w:rsidR="00000000" w:rsidRPr="000A4D9E" w:rsidP="000A4D9E">
            <w:pPr>
              <w:pStyle w:val="ListBullet"/>
            </w:pPr>
            <w:r w:rsidRPr="000A4D9E">
              <w:t xml:space="preserve">identifying, evaluating and recommending treatment </w:t>
            </w:r>
            <w:r w:rsidRPr="000A4D9E">
              <w:t xml:space="preserve">options for each risk </w:t>
            </w:r>
          </w:p>
          <w:p w:rsidR="00000000" w:rsidRPr="000A4D9E" w:rsidP="000A4D9E">
            <w:pPr>
              <w:pStyle w:val="ListBullet"/>
            </w:pPr>
            <w:r w:rsidRPr="000A4D9E">
              <w:t>maintaining momentum and achieving project outcomes using available resources</w:t>
            </w:r>
          </w:p>
          <w:p w:rsidR="00000000" w:rsidRPr="000A4D9E" w:rsidP="000A4D9E">
            <w:pPr>
              <w:pStyle w:val="ListBullet"/>
            </w:pPr>
            <w:r w:rsidRPr="000A4D9E">
              <w:t>managing meetings including negotiating and communicating with stakeholders</w:t>
            </w:r>
          </w:p>
          <w:p w:rsidR="00000000" w:rsidRPr="000A4D9E" w:rsidP="000A4D9E">
            <w:pPr>
              <w:pStyle w:val="ListBullet"/>
            </w:pPr>
            <w:r w:rsidRPr="000A4D9E">
              <w:t>negotiating and working with stakeholder groups</w:t>
            </w:r>
          </w:p>
          <w:p w:rsidR="00000000" w:rsidRPr="000A4D9E" w:rsidP="000A4D9E">
            <w:pPr>
              <w:pStyle w:val="ListBullet"/>
            </w:pPr>
            <w:r w:rsidRPr="000A4D9E">
              <w:t>obtaining feedback and monitori</w:t>
            </w:r>
            <w:r w:rsidRPr="000A4D9E">
              <w:t>ng and reviewing treatment processes and outcomes</w:t>
            </w:r>
          </w:p>
          <w:p w:rsidR="00000000" w:rsidRPr="000A4D9E" w:rsidP="000A4D9E">
            <w:pPr>
              <w:pStyle w:val="ListBullet"/>
            </w:pPr>
            <w:r w:rsidRPr="000A4D9E">
              <w:t>promoting commitment and ownership of processes and outcomes</w:t>
            </w:r>
          </w:p>
          <w:p w:rsidR="00000000" w:rsidRPr="000A4D9E" w:rsidP="000A4D9E">
            <w:pPr>
              <w:pStyle w:val="ListBullet"/>
            </w:pPr>
            <w:r w:rsidRPr="000A4D9E">
              <w:t xml:space="preserve">recognising project constraints </w:t>
            </w:r>
          </w:p>
          <w:p w:rsidR="00000000" w:rsidRPr="000A4D9E" w:rsidP="000A4D9E">
            <w:pPr>
              <w:pStyle w:val="ListBullet"/>
            </w:pPr>
            <w:r w:rsidRPr="000A4D9E">
              <w:t xml:space="preserve">researching and analysing skills to determine potential treatment options </w:t>
            </w:r>
          </w:p>
          <w:p w:rsidR="00000000" w:rsidRPr="000A4D9E" w:rsidP="000A4D9E">
            <w:pPr>
              <w:pStyle w:val="ListBullet"/>
            </w:pPr>
            <w:r w:rsidRPr="000A4D9E">
              <w:t xml:space="preserve">utilising specialised information </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13" w:name="O_1024518"/>
      <w:bookmarkEnd w:id="13"/>
      <w:r w:rsidRPr="000A4D9E">
        <w:t>Knowledge Evidence</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4D9E">
            <w:pPr>
              <w:pStyle w:val="BodyText"/>
              <w:rPr>
                <w:lang w:val="en-NZ"/>
              </w:rPr>
            </w:pPr>
            <w:r w:rsidRPr="000A4D9E">
              <w:t>Evidence required to demonstrate competence in this unit must be relevant to and satisfy all the requirements of the elements and performance criteria and includes knowledge of</w:t>
            </w:r>
          </w:p>
        </w:tc>
      </w:tr>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ListBullet"/>
            </w:pPr>
            <w:r w:rsidRPr="000A4D9E">
              <w:t>characteristics and demographics of com</w:t>
            </w:r>
            <w:r w:rsidRPr="000A4D9E">
              <w:t>munity</w:t>
            </w:r>
          </w:p>
          <w:p w:rsidR="00000000" w:rsidRPr="000A4D9E" w:rsidP="000A4D9E">
            <w:pPr>
              <w:pStyle w:val="ListBullet"/>
            </w:pPr>
            <w:r w:rsidRPr="000A4D9E">
              <w:t>communication and negotiation techniques</w:t>
            </w:r>
          </w:p>
          <w:p w:rsidR="00000000" w:rsidRPr="000A4D9E" w:rsidP="000A4D9E">
            <w:pPr>
              <w:pStyle w:val="ListBullet"/>
            </w:pPr>
            <w:r w:rsidRPr="000A4D9E">
              <w:t>decision making techniques to facilitate evaluating residual risk and cost benefit analysis</w:t>
            </w:r>
          </w:p>
          <w:p w:rsidR="00000000" w:rsidRPr="000A4D9E" w:rsidP="000A4D9E">
            <w:pPr>
              <w:pStyle w:val="ListBullet"/>
            </w:pPr>
            <w:r w:rsidRPr="000A4D9E">
              <w:t>emergency risk management concepts and principles including facility emergency response plan</w:t>
            </w:r>
          </w:p>
          <w:p w:rsidR="00000000" w:rsidRPr="000A4D9E" w:rsidP="000A4D9E">
            <w:pPr>
              <w:pStyle w:val="ListBullet"/>
            </w:pPr>
            <w:r w:rsidRPr="000A4D9E">
              <w:t>evaluation methods incl</w:t>
            </w:r>
            <w:r w:rsidRPr="000A4D9E">
              <w:t>uding</w:t>
            </w:r>
          </w:p>
          <w:p w:rsidR="00000000" w:rsidRPr="000A4D9E" w:rsidP="000A4D9E">
            <w:pPr>
              <w:pStyle w:val="ListBullet2"/>
            </w:pPr>
            <w:r w:rsidRPr="000A4D9E">
              <w:t>analysis of treatment effectiveness</w:t>
            </w:r>
          </w:p>
          <w:p w:rsidR="00000000" w:rsidRPr="000A4D9E" w:rsidP="000A4D9E">
            <w:pPr>
              <w:pStyle w:val="ListBullet2"/>
            </w:pPr>
            <w:r w:rsidRPr="000A4D9E">
              <w:t>first pass cost benefit analysis</w:t>
            </w:r>
          </w:p>
          <w:p w:rsidR="00000000" w:rsidRPr="000A4D9E" w:rsidP="000A4D9E">
            <w:pPr>
              <w:pStyle w:val="ListBullet2"/>
            </w:pPr>
            <w:r w:rsidRPr="000A4D9E">
              <w:t>legal, regulatory and compliance impact</w:t>
            </w:r>
          </w:p>
          <w:p w:rsidR="00000000" w:rsidRPr="000A4D9E" w:rsidP="000A4D9E">
            <w:pPr>
              <w:pStyle w:val="ListBullet2"/>
            </w:pPr>
            <w:r w:rsidRPr="000A4D9E">
              <w:t>potential to create new or secondary risks</w:t>
            </w:r>
          </w:p>
          <w:p w:rsidR="00000000" w:rsidRPr="000A4D9E" w:rsidP="000A4D9E">
            <w:pPr>
              <w:pStyle w:val="ListBullet2"/>
            </w:pPr>
            <w:r w:rsidRPr="000A4D9E">
              <w:t>stakeholder acceptability</w:t>
            </w:r>
          </w:p>
          <w:p w:rsidR="00000000" w:rsidRPr="000A4D9E" w:rsidP="000A4D9E">
            <w:pPr>
              <w:pStyle w:val="ListBullet"/>
            </w:pPr>
            <w:r w:rsidRPr="000A4D9E">
              <w:t>industry standards</w:t>
            </w:r>
          </w:p>
          <w:p w:rsidR="00000000" w:rsidRPr="000A4D9E" w:rsidP="000A4D9E">
            <w:pPr>
              <w:pStyle w:val="ListBullet"/>
            </w:pPr>
            <w:r w:rsidRPr="000A4D9E">
              <w:t>legislative and regulatory requirements for emergency risk management</w:t>
            </w:r>
          </w:p>
          <w:p w:rsidR="00000000" w:rsidRPr="000A4D9E" w:rsidP="000A4D9E">
            <w:pPr>
              <w:pStyle w:val="ListBullet"/>
            </w:pPr>
            <w:r w:rsidRPr="000A4D9E">
              <w:t xml:space="preserve">meeting protocols </w:t>
            </w:r>
          </w:p>
          <w:p w:rsidR="00000000" w:rsidRPr="000A4D9E" w:rsidP="000A4D9E">
            <w:pPr>
              <w:pStyle w:val="ListBullet"/>
            </w:pPr>
            <w:r w:rsidRPr="000A4D9E">
              <w:t>organisational documentation, policies and procedures including</w:t>
            </w:r>
          </w:p>
          <w:p w:rsidR="00000000" w:rsidRPr="000A4D9E" w:rsidP="000A4D9E">
            <w:pPr>
              <w:pStyle w:val="ListBullet2"/>
            </w:pPr>
            <w:r w:rsidRPr="000A4D9E">
              <w:t>arrangements specified in legislation</w:t>
            </w:r>
          </w:p>
          <w:p w:rsidR="00000000" w:rsidRPr="000A4D9E" w:rsidP="000A4D9E">
            <w:pPr>
              <w:pStyle w:val="ListBullet2"/>
            </w:pPr>
            <w:r w:rsidRPr="000A4D9E">
              <w:t>existing disaster plans, agreements or memoranda of understandin</w:t>
            </w:r>
            <w:r w:rsidRPr="000A4D9E">
              <w:t>g</w:t>
            </w:r>
          </w:p>
          <w:p w:rsidR="00000000" w:rsidRPr="000A4D9E" w:rsidP="000A4D9E">
            <w:pPr>
              <w:pStyle w:val="ListBullet2"/>
            </w:pPr>
            <w:r w:rsidRPr="000A4D9E">
              <w:t>facility emergency response plan</w:t>
            </w:r>
          </w:p>
          <w:p w:rsidR="00000000" w:rsidRPr="000A4D9E" w:rsidP="000A4D9E">
            <w:pPr>
              <w:pStyle w:val="ListBullet2"/>
            </w:pPr>
            <w:r w:rsidRPr="000A4D9E">
              <w:t>organisational or jurisdictional emergency risk management policies or procedures</w:t>
            </w:r>
          </w:p>
          <w:p w:rsidR="00000000" w:rsidRPr="000A4D9E" w:rsidP="000A4D9E">
            <w:pPr>
              <w:pStyle w:val="ListBullet2"/>
            </w:pPr>
            <w:r w:rsidRPr="000A4D9E">
              <w:t xml:space="preserve">Work, Health and Safety (WHS)/Occupational Health and Safety (OHS) requirements </w:t>
            </w:r>
          </w:p>
          <w:p w:rsidR="00000000" w:rsidRPr="000A4D9E" w:rsidP="000A4D9E">
            <w:pPr>
              <w:pStyle w:val="ListBullet"/>
            </w:pPr>
            <w:r w:rsidRPr="000A4D9E">
              <w:t>practical constraints including</w:t>
            </w:r>
          </w:p>
          <w:p w:rsidR="00000000" w:rsidRPr="000A4D9E" w:rsidP="000A4D9E">
            <w:pPr>
              <w:pStyle w:val="ListBullet2"/>
            </w:pPr>
            <w:r w:rsidRPr="000A4D9E">
              <w:t>arrangements, roles and responsibilities set down in existing emergency management plans</w:t>
            </w:r>
          </w:p>
          <w:p w:rsidR="00000000" w:rsidRPr="000A4D9E" w:rsidP="000A4D9E">
            <w:pPr>
              <w:pStyle w:val="ListBullet2"/>
            </w:pPr>
            <w:r w:rsidRPr="000A4D9E">
              <w:t>availability of technical expertise, technology and equipment</w:t>
            </w:r>
          </w:p>
          <w:p w:rsidR="00000000" w:rsidRPr="000A4D9E" w:rsidP="000A4D9E">
            <w:pPr>
              <w:pStyle w:val="ListBullet2"/>
            </w:pPr>
            <w:r w:rsidRPr="000A4D9E">
              <w:t>budgets, time, availability and capability of personnel</w:t>
            </w:r>
          </w:p>
          <w:p w:rsidR="00000000" w:rsidRPr="000A4D9E" w:rsidP="000A4D9E">
            <w:pPr>
              <w:pStyle w:val="ListBullet2"/>
            </w:pPr>
            <w:r w:rsidRPr="000A4D9E">
              <w:t xml:space="preserve">community knowledge of emergency risk management </w:t>
            </w:r>
            <w:r w:rsidRPr="000A4D9E">
              <w:t>processes and benefits</w:t>
            </w:r>
          </w:p>
          <w:p w:rsidR="00000000" w:rsidRPr="000A4D9E" w:rsidP="000A4D9E">
            <w:pPr>
              <w:pStyle w:val="ListBullet2"/>
            </w:pPr>
            <w:r w:rsidRPr="000A4D9E">
              <w:t>land use planning policy, authority and regulation</w:t>
            </w:r>
          </w:p>
          <w:p w:rsidR="00000000" w:rsidRPr="000A4D9E" w:rsidP="000A4D9E">
            <w:pPr>
              <w:pStyle w:val="ListBullet2"/>
            </w:pPr>
            <w:r w:rsidRPr="000A4D9E">
              <w:t>legislation covering emergency and environmental management, safety standards and local government regulations</w:t>
            </w:r>
          </w:p>
          <w:p w:rsidR="00000000" w:rsidRPr="000A4D9E" w:rsidP="000A4D9E">
            <w:pPr>
              <w:pStyle w:val="ListBullet2"/>
            </w:pPr>
            <w:r w:rsidRPr="000A4D9E">
              <w:t>political, social and cultural considerations</w:t>
            </w:r>
          </w:p>
          <w:p w:rsidR="00000000" w:rsidRPr="000A4D9E" w:rsidP="000A4D9E">
            <w:pPr>
              <w:pStyle w:val="ListBullet"/>
            </w:pPr>
            <w:r w:rsidRPr="000A4D9E">
              <w:t>range of options for tre</w:t>
            </w:r>
            <w:r w:rsidRPr="000A4D9E">
              <w:t xml:space="preserve">ating emergency risk </w:t>
            </w:r>
          </w:p>
          <w:p w:rsidR="00000000" w:rsidRPr="000A4D9E" w:rsidP="000A4D9E">
            <w:pPr>
              <w:pStyle w:val="ListBullet"/>
            </w:pPr>
            <w:r w:rsidRPr="000A4D9E">
              <w:t>risk mitigation</w:t>
            </w:r>
          </w:p>
          <w:p w:rsidR="00000000" w:rsidRPr="000A4D9E" w:rsidP="000A4D9E">
            <w:pPr>
              <w:pStyle w:val="ListBullet"/>
            </w:pPr>
            <w:r w:rsidRPr="000A4D9E">
              <w:t>risk treatment options</w:t>
            </w:r>
          </w:p>
          <w:p w:rsidR="00000000" w:rsidRPr="000A4D9E" w:rsidP="000A4D9E">
            <w:pPr>
              <w:pStyle w:val="ListBullet"/>
            </w:pPr>
            <w:r w:rsidRPr="000A4D9E">
              <w:t>sources of risk</w:t>
            </w:r>
          </w:p>
          <w:p w:rsidR="00000000" w:rsidRPr="000A4D9E" w:rsidP="000A4D9E">
            <w:pPr>
              <w:pStyle w:val="ListBullet"/>
            </w:pPr>
            <w:r w:rsidRPr="000A4D9E">
              <w:t>specialised information</w:t>
            </w:r>
          </w:p>
          <w:p w:rsidR="00000000" w:rsidRPr="000A4D9E" w:rsidP="000A4D9E">
            <w:pPr>
              <w:pStyle w:val="ListBullet"/>
            </w:pPr>
            <w:r w:rsidRPr="000A4D9E">
              <w:t>stakeholders</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14" w:name="O_1024519"/>
      <w:bookmarkEnd w:id="14"/>
      <w:r w:rsidRPr="000A4D9E">
        <w:t>Assessment Conditions</w:t>
      </w:r>
    </w:p>
    <w:tbl>
      <w:tblPr>
        <w:tblW w:w="9497" w:type="dxa"/>
        <w:tblLayout w:type="fixed"/>
        <w:tblCellMar>
          <w:left w:w="62" w:type="dxa"/>
          <w:right w:w="62" w:type="dxa"/>
        </w:tblCellMar>
        <w:tblLook w:val="0000"/>
      </w:tblPr>
      <w:tblGrid>
        <w:gridCol w:w="9497"/>
      </w:tblGrid>
      <w:tr w:rsidTr="000A4D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D9E" w:rsidP="000A4D9E">
            <w:pPr>
              <w:pStyle w:val="BodyText"/>
            </w:pPr>
            <w:r w:rsidRPr="000A4D9E">
              <w:t xml:space="preserve">As a minimum, assessors must satisfy applicable regulatory requirements, which include requirements in the Standards for Registered Training Organisations current at the time of assessment. </w:t>
            </w:r>
          </w:p>
          <w:p w:rsidR="00000000" w:rsidRPr="000A4D9E" w:rsidP="000A4D9E">
            <w:pPr>
              <w:pStyle w:val="BodyText"/>
            </w:pPr>
            <w:r w:rsidRPr="000A4D9E">
              <w:t>As a minimum, assessment must satisfy applicable regulatory requi</w:t>
            </w:r>
            <w:r w:rsidRPr="000A4D9E">
              <w:t>rements, which include requirements in the Standards for Registered Training Organisations current at the time of assessment.</w:t>
            </w:r>
          </w:p>
          <w:p w:rsidR="00000000" w:rsidRPr="000A4D9E" w:rsidP="000A4D9E">
            <w:pPr>
              <w:pStyle w:val="BodyText"/>
            </w:pPr>
            <w:r w:rsidRPr="000A4D9E">
              <w:t>Assessment processes and techniques must be appropriate to the language, literacy and numeracy requirements of the work being perf</w:t>
            </w:r>
            <w:r w:rsidRPr="000A4D9E">
              <w:t>ormed and the needs of the candidate.</w:t>
            </w:r>
          </w:p>
          <w:p w:rsidR="00000000" w:rsidRPr="000A4D9E" w:rsidP="000A4D9E">
            <w:pPr>
              <w:pStyle w:val="BodyText"/>
            </w:pPr>
            <w:r w:rsidRPr="000A4D9E">
              <w:t>Assessment must occur in workplace operational situations where it is appropriate to do so; where this is not appropriate, assessment must occur in simulated workplace operational situations that replicate workplace co</w:t>
            </w:r>
            <w:r w:rsidRPr="000A4D9E">
              <w:t>nditions.</w:t>
            </w:r>
          </w:p>
          <w:p w:rsidR="00000000" w:rsidRPr="000A4D9E" w:rsidP="000A4D9E">
            <w:pPr>
              <w:pStyle w:val="BodyText"/>
            </w:pPr>
            <w:r w:rsidRPr="000A4D9E">
              <w:t>Competency should be assessed facilitating a group emergency risk management process where an agreed set of treatment options is produced for a given set of risks in the workplace or in a simulated workplace environment.</w:t>
            </w:r>
          </w:p>
          <w:p w:rsidR="00000000" w:rsidRPr="000A4D9E" w:rsidP="000A4D9E">
            <w:pPr>
              <w:pStyle w:val="BodyText"/>
            </w:pPr>
            <w:r w:rsidRPr="000A4D9E">
              <w:t>Resources for assessment must include access to</w:t>
            </w:r>
          </w:p>
          <w:p w:rsidR="00000000" w:rsidRPr="000A4D9E" w:rsidP="000A4D9E">
            <w:pPr>
              <w:pStyle w:val="ListBullet"/>
            </w:pPr>
            <w:r w:rsidRPr="000A4D9E">
              <w:t>a range of relevant exercises, case studies and/or simulations</w:t>
            </w:r>
          </w:p>
          <w:p w:rsidR="00000000" w:rsidRPr="000A4D9E" w:rsidP="000A4D9E">
            <w:pPr>
              <w:pStyle w:val="ListBullet"/>
            </w:pPr>
            <w:r w:rsidRPr="000A4D9E">
              <w:t xml:space="preserve">relevant and appropriate materials, equipment, tools and personal protective clothing and equipment currently used in industry </w:t>
            </w:r>
          </w:p>
          <w:p w:rsidR="00000000" w:rsidRPr="000A4D9E" w:rsidP="000A4D9E">
            <w:pPr>
              <w:pStyle w:val="ListBullet"/>
            </w:pPr>
            <w:r w:rsidRPr="000A4D9E">
              <w:t>applicable docum</w:t>
            </w:r>
            <w:r w:rsidRPr="000A4D9E">
              <w:t>entation including organisational procedures, industry standards, equipment specifications, regulations, codes of practice and operational manuals.</w:t>
            </w:r>
          </w:p>
        </w:tc>
      </w:tr>
    </w:tbl>
    <w:p w:rsidR="00000000" w:rsidRPr="000A4D9E" w:rsidP="000A4D9E">
      <w:pPr>
        <w:pStyle w:val="NoPaddingFontSize1"/>
      </w:pPr>
    </w:p>
    <w:p w:rsidR="00000000" w:rsidRPr="000A4D9E" w:rsidP="000A4D9E">
      <w:pPr>
        <w:pStyle w:val="AllowPageBreak"/>
      </w:pPr>
    </w:p>
    <w:p w:rsidR="00000000" w:rsidRPr="000A4D9E" w:rsidP="000A4D9E">
      <w:pPr>
        <w:pStyle w:val="Heading1"/>
      </w:pPr>
      <w:bookmarkStart w:id="15" w:name="O_1024522"/>
      <w:bookmarkEnd w:id="15"/>
      <w:r w:rsidRPr="000A4D9E">
        <w:t>Links</w:t>
      </w:r>
    </w:p>
    <w:p w:rsidR="00000000" w:rsidRPr="000A4D9E" w:rsidP="003055A2">
      <w:pPr>
        <w:pStyle w:val="BodyText"/>
      </w:pPr>
      <w:r w:rsidRPr="000A4D9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D6ECD">
        <w:rPr>
          <w:rStyle w:val="Hyperlink"/>
        </w:rPr>
        <w:t>https://vetnet.gov.au/Pages/TrainingDocs.aspx?q=3eca5672-6d5a-410b-8942-810d0ba05bbf</w:t>
      </w:r>
      <w:r>
        <w:fldChar w:fldCharType="end"/>
      </w:r>
    </w:p>
    <w:p w:rsidR="00000000" w:rsidRPr="000A4D9E" w:rsidP="000A4D9E"/>
    <w:sectPr w:rsidSect="000A4D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rsidRPr="003055A2" w:rsidP="00305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2" w:rsidP="000A4D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55A2" w:rsidP="000A4D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55A2" w:rsidP="000A4D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rsidP="000A4D9E">
    <w:pPr>
      <w:pStyle w:val="Footer"/>
      <w:framePr w:wrap="around"/>
    </w:pPr>
    <w:r>
      <w:fldChar w:fldCharType="begin"/>
    </w:r>
    <w:r>
      <w:instrText xml:space="preserve"> DOCPROPERTY  Subject  \* MERGEFORMAT </w:instrText>
    </w:r>
    <w:r>
      <w:fldChar w:fldCharType="separate"/>
    </w:r>
    <w:r w:rsidR="003055A2">
      <w:t>Approved</w:t>
    </w:r>
    <w:r w:rsidR="003055A2">
      <w:fldChar w:fldCharType="end"/>
    </w:r>
    <w:r>
      <w:tab/>
      <w:t xml:space="preserve">Page </w:t>
    </w:r>
    <w:r>
      <w:fldChar w:fldCharType="begin"/>
    </w:r>
    <w:r>
      <w:instrText xml:space="preserve"> PAGE  \* Arabic  \* MERGEFORMAT </w:instrText>
    </w:r>
    <w:r>
      <w:fldChar w:fldCharType="separate"/>
    </w:r>
    <w:r w:rsidR="003055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5A2">
      <w:rPr>
        <w:noProof/>
      </w:rPr>
      <w:t>5</w:t>
    </w:r>
    <w:r>
      <w:rPr>
        <w:noProof/>
      </w:rPr>
      <w:fldChar w:fldCharType="end"/>
    </w:r>
  </w:p>
  <w:p w:rsidR="000A4D9E" w:rsidP="000A4D9E">
    <w:pPr>
      <w:pStyle w:val="Footer"/>
      <w:framePr w:wrap="around"/>
    </w:pPr>
    <w:r>
      <w:t xml:space="preserve">© Commonwealth of Australia, </w:t>
    </w:r>
    <w:r>
      <w:fldChar w:fldCharType="begin"/>
    </w:r>
    <w:r>
      <w:instrText xml:space="preserve"> DATE  \@ "yyyy"  \* MERGEFORMAT </w:instrText>
    </w:r>
    <w:r>
      <w:fldChar w:fldCharType="separate"/>
    </w:r>
    <w:r w:rsidR="003055A2">
      <w:rPr>
        <w:noProof/>
      </w:rPr>
      <w:t>2025</w:t>
    </w:r>
    <w:r>
      <w:fldChar w:fldCharType="end"/>
    </w:r>
    <w:r>
      <w:tab/>
    </w:r>
    <w:r>
      <w:fldChar w:fldCharType="begin"/>
    </w:r>
    <w:r>
      <w:instrText xml:space="preserve"> DOCPROPERTY  Author  \* MERGEFORMAT </w:instrText>
    </w:r>
    <w:r>
      <w:fldChar w:fldCharType="separate"/>
    </w:r>
    <w:r w:rsidR="003055A2">
      <w:t>Public Skills Australia</w:t>
    </w:r>
    <w:r w:rsidR="003055A2">
      <w:fldChar w:fldCharType="end"/>
    </w:r>
  </w:p>
  <w:p w:rsidR="000A4D9E" w:rsidP="000A4D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D9E" w:rsidRPr="003055A2" w:rsidP="00305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A2" w:rsidRPr="002D2AF8" w:rsidP="000A4D9E">
    <w:pPr>
      <w:pStyle w:val="Header"/>
      <w:framePr w:wrap="around"/>
    </w:pPr>
    <w:r>
      <w:fldChar w:fldCharType="begin"/>
    </w:r>
    <w:r>
      <w:instrText xml:space="preserve"> TITLE   \* MERGEFORMAT </w:instrText>
    </w:r>
    <w:r>
      <w:fldChar w:fldCharType="separate"/>
    </w:r>
    <w:r>
      <w:t>PUAEMR012 Determine treatment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55A2" w:rsidP="000A4D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9E" w:rsidRPr="002D2AF8" w:rsidP="000A4D9E">
    <w:pPr>
      <w:pStyle w:val="Header"/>
      <w:framePr w:wrap="around"/>
    </w:pPr>
    <w:r>
      <w:fldChar w:fldCharType="begin"/>
    </w:r>
    <w:r>
      <w:instrText xml:space="preserve"> TITLE   \* MERGEFORMAT </w:instrText>
    </w:r>
    <w:r>
      <w:fldChar w:fldCharType="separate"/>
    </w:r>
    <w:r w:rsidR="003055A2">
      <w:t>PUAEMR012 Determine treatment options</w:t>
    </w:r>
    <w:r w:rsidR="003055A2">
      <w:fldChar w:fldCharType="end"/>
    </w:r>
    <w:r>
      <w:tab/>
      <w:t xml:space="preserve">Date this document was generated: </w:t>
    </w:r>
    <w:r>
      <w:fldChar w:fldCharType="begin"/>
    </w:r>
    <w:r>
      <w:instrText xml:space="preserve"> CREATEDATE  \@ "d MMMM yyyy"  \* MERGEFORMAT </w:instrText>
    </w:r>
    <w:r>
      <w:fldChar w:fldCharType="separate"/>
    </w:r>
    <w:r w:rsidR="003055A2">
      <w:rPr>
        <w:noProof/>
      </w:rPr>
      <w:t>1 March 2025</w:t>
    </w:r>
    <w:r>
      <w:fldChar w:fldCharType="end"/>
    </w:r>
  </w:p>
  <w:p w:rsidR="000A4D9E" w:rsidP="000A4D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AF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A4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65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D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D9E"/>
    <w:pPr>
      <w:spacing w:before="360" w:after="60"/>
      <w:outlineLvl w:val="0"/>
    </w:pPr>
    <w:rPr>
      <w:sz w:val="32"/>
    </w:rPr>
  </w:style>
  <w:style w:type="paragraph" w:styleId="Heading2">
    <w:name w:val="heading 2"/>
    <w:basedOn w:val="HeadingBase"/>
    <w:next w:val="BodyText"/>
    <w:link w:val="Heading2Char"/>
    <w:qFormat/>
    <w:rsid w:val="000A4D9E"/>
    <w:pPr>
      <w:keepLines/>
      <w:spacing w:before="240" w:after="120"/>
      <w:outlineLvl w:val="1"/>
    </w:pPr>
    <w:rPr>
      <w:sz w:val="28"/>
      <w:szCs w:val="40"/>
    </w:rPr>
  </w:style>
  <w:style w:type="paragraph" w:styleId="Heading3">
    <w:name w:val="heading 3"/>
    <w:basedOn w:val="HeadingBase"/>
    <w:next w:val="BodyText"/>
    <w:link w:val="Heading3Char"/>
    <w:qFormat/>
    <w:rsid w:val="000A4D9E"/>
    <w:pPr>
      <w:spacing w:before="180" w:after="120"/>
      <w:outlineLvl w:val="2"/>
    </w:pPr>
    <w:rPr>
      <w:spacing w:val="-10"/>
      <w:kern w:val="32"/>
    </w:rPr>
  </w:style>
  <w:style w:type="paragraph" w:styleId="Heading4">
    <w:name w:val="heading 4"/>
    <w:basedOn w:val="HeadingBase"/>
    <w:next w:val="BodyText"/>
    <w:link w:val="Heading4Char"/>
    <w:qFormat/>
    <w:rsid w:val="000A4D9E"/>
    <w:pPr>
      <w:spacing w:before="160" w:after="120"/>
      <w:outlineLvl w:val="3"/>
    </w:pPr>
    <w:rPr>
      <w:sz w:val="22"/>
    </w:rPr>
  </w:style>
  <w:style w:type="paragraph" w:styleId="Heading5">
    <w:name w:val="heading 5"/>
    <w:basedOn w:val="HeadingBase"/>
    <w:next w:val="Normal"/>
    <w:link w:val="Heading5Char"/>
    <w:qFormat/>
    <w:rsid w:val="000A4D9E"/>
    <w:pPr>
      <w:spacing w:before="80"/>
      <w:outlineLvl w:val="4"/>
    </w:pPr>
    <w:rPr>
      <w:color w:val="918585"/>
      <w:sz w:val="20"/>
    </w:rPr>
  </w:style>
  <w:style w:type="paragraph" w:styleId="Heading6">
    <w:name w:val="heading 6"/>
    <w:basedOn w:val="HeadingBase"/>
    <w:next w:val="Normal"/>
    <w:link w:val="Heading6Char"/>
    <w:qFormat/>
    <w:rsid w:val="000A4D9E"/>
    <w:pPr>
      <w:spacing w:before="60"/>
      <w:outlineLvl w:val="5"/>
    </w:pPr>
    <w:rPr>
      <w:color w:val="918585"/>
      <w:sz w:val="20"/>
    </w:rPr>
  </w:style>
  <w:style w:type="paragraph" w:styleId="Heading7">
    <w:name w:val="heading 7"/>
    <w:basedOn w:val="Normal"/>
    <w:next w:val="Normal"/>
    <w:link w:val="Heading7Char"/>
    <w:qFormat/>
    <w:rsid w:val="000A4D9E"/>
    <w:pPr>
      <w:ind w:left="720"/>
      <w:outlineLvl w:val="6"/>
    </w:pPr>
    <w:rPr>
      <w:i/>
    </w:rPr>
  </w:style>
  <w:style w:type="paragraph" w:styleId="Heading8">
    <w:name w:val="heading 8"/>
    <w:basedOn w:val="Normal"/>
    <w:next w:val="Normal"/>
    <w:link w:val="Heading8Char"/>
    <w:qFormat/>
    <w:rsid w:val="000A4D9E"/>
    <w:pPr>
      <w:ind w:left="720"/>
      <w:outlineLvl w:val="7"/>
    </w:pPr>
    <w:rPr>
      <w:i/>
    </w:rPr>
  </w:style>
  <w:style w:type="paragraph" w:styleId="Heading9">
    <w:name w:val="heading 9"/>
    <w:basedOn w:val="Normal"/>
    <w:next w:val="Normal"/>
    <w:link w:val="Heading9Char"/>
    <w:qFormat/>
    <w:rsid w:val="000A4D9E"/>
    <w:pPr>
      <w:ind w:left="720"/>
      <w:outlineLvl w:val="8"/>
    </w:pPr>
    <w:rPr>
      <w:i/>
    </w:rPr>
  </w:style>
  <w:style w:type="character" w:default="1" w:styleId="DefaultParagraphFont">
    <w:name w:val="Default Paragraph Font"/>
    <w:uiPriority w:val="1"/>
    <w:unhideWhenUsed/>
    <w:rsid w:val="000A4D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D9E"/>
  </w:style>
  <w:style w:type="character" w:customStyle="1" w:styleId="Heading1Char">
    <w:name w:val="Heading 1 Char"/>
    <w:basedOn w:val="DefaultParagraphFont"/>
    <w:link w:val="Heading1"/>
    <w:rsid w:val="000A4D9E"/>
    <w:rPr>
      <w:rFonts w:ascii="Times New Roman" w:eastAsia="Times New Roman" w:hAnsi="Times New Roman" w:cs="Times New Roman"/>
      <w:b/>
      <w:sz w:val="32"/>
      <w:szCs w:val="20"/>
      <w:lang w:eastAsia="en-US"/>
    </w:rPr>
  </w:style>
  <w:style w:type="paragraph" w:styleId="BodyText">
    <w:name w:val="Body Text"/>
    <w:basedOn w:val="Normal"/>
    <w:link w:val="BodyTextChar"/>
    <w:rsid w:val="000A4D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D9E"/>
    <w:rPr>
      <w:rFonts w:ascii="Times New Roman" w:eastAsia="Times New Roman" w:hAnsi="Times New Roman" w:cs="Times New Roman"/>
      <w:sz w:val="24"/>
      <w:lang w:eastAsia="en-US"/>
    </w:rPr>
  </w:style>
  <w:style w:type="paragraph" w:styleId="ListBullet">
    <w:name w:val="List Bullet"/>
    <w:basedOn w:val="List"/>
    <w:rsid w:val="000A4D9E"/>
    <w:pPr>
      <w:numPr>
        <w:numId w:val="12"/>
      </w:numPr>
      <w:tabs>
        <w:tab w:val="clear" w:pos="340"/>
      </w:tabs>
      <w:spacing w:before="40" w:after="40"/>
    </w:pPr>
  </w:style>
  <w:style w:type="character" w:customStyle="1" w:styleId="SpecialBold">
    <w:name w:val="Special Bold"/>
    <w:basedOn w:val="DefaultParagraphFont"/>
    <w:rsid w:val="000A4D9E"/>
    <w:rPr>
      <w:b/>
      <w:spacing w:val="0"/>
    </w:rPr>
  </w:style>
  <w:style w:type="paragraph" w:styleId="ListBullet2">
    <w:name w:val="List Bullet 2"/>
    <w:basedOn w:val="List2"/>
    <w:rsid w:val="000A4D9E"/>
    <w:pPr>
      <w:numPr>
        <w:numId w:val="13"/>
      </w:numPr>
      <w:tabs>
        <w:tab w:val="clear" w:pos="680"/>
      </w:tabs>
    </w:pPr>
  </w:style>
  <w:style w:type="paragraph" w:customStyle="1" w:styleId="SuperHeading">
    <w:name w:val="SuperHeading"/>
    <w:basedOn w:val="Normal"/>
    <w:rsid w:val="000A4D9E"/>
    <w:pPr>
      <w:spacing w:before="240" w:after="120"/>
      <w:outlineLvl w:val="0"/>
    </w:pPr>
    <w:rPr>
      <w:rFonts w:ascii="Times New Roman" w:hAnsi="Times New Roman"/>
      <w:b/>
      <w:sz w:val="32"/>
    </w:rPr>
  </w:style>
  <w:style w:type="paragraph" w:customStyle="1" w:styleId="AllowPageBreak">
    <w:name w:val="AllowPageBreak"/>
    <w:rsid w:val="000A4D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4D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D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D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D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D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D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D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D9E"/>
    <w:rPr>
      <w:rFonts w:ascii="Courier New" w:eastAsia="Times New Roman" w:hAnsi="Courier New" w:cs="Times New Roman"/>
      <w:i/>
      <w:szCs w:val="20"/>
      <w:lang w:eastAsia="en-US"/>
    </w:rPr>
  </w:style>
  <w:style w:type="paragraph" w:customStyle="1" w:styleId="HeadingBase">
    <w:name w:val="Heading Base"/>
    <w:rsid w:val="000A4D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D9E"/>
    <w:pPr>
      <w:tabs>
        <w:tab w:val="right" w:leader="dot" w:pos="9072"/>
      </w:tabs>
      <w:ind w:left="567"/>
    </w:pPr>
    <w:rPr>
      <w:szCs w:val="22"/>
    </w:rPr>
  </w:style>
  <w:style w:type="paragraph" w:customStyle="1" w:styleId="TOCBase">
    <w:name w:val="TOC Base"/>
    <w:rsid w:val="000A4D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D9E"/>
    <w:pPr>
      <w:tabs>
        <w:tab w:val="right" w:leader="dot" w:pos="9072"/>
      </w:tabs>
      <w:spacing w:before="40" w:after="40"/>
      <w:ind w:left="284"/>
    </w:pPr>
    <w:rPr>
      <w:rFonts w:ascii="Times New Roman" w:hAnsi="Times New Roman"/>
    </w:rPr>
  </w:style>
  <w:style w:type="paragraph" w:styleId="TOC1">
    <w:name w:val="toc 1"/>
    <w:basedOn w:val="TOCBase"/>
    <w:next w:val="Normal"/>
    <w:rsid w:val="000A4D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D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D9E"/>
    <w:rPr>
      <w:rFonts w:ascii="Times New Roman" w:eastAsia="Times New Roman" w:hAnsi="Times New Roman" w:cs="Times New Roman"/>
      <w:sz w:val="16"/>
      <w:lang w:eastAsia="en-US"/>
    </w:rPr>
  </w:style>
  <w:style w:type="paragraph" w:styleId="Title">
    <w:name w:val="Title"/>
    <w:basedOn w:val="HeadingBase"/>
    <w:link w:val="TitleChar"/>
    <w:qFormat/>
    <w:rsid w:val="000A4D9E"/>
    <w:pPr>
      <w:spacing w:before="5040"/>
      <w:jc w:val="center"/>
    </w:pPr>
    <w:rPr>
      <w:sz w:val="48"/>
      <w:szCs w:val="72"/>
      <w:lang w:val="en-US"/>
    </w:rPr>
  </w:style>
  <w:style w:type="character" w:customStyle="1" w:styleId="TitleChar">
    <w:name w:val="Title Char"/>
    <w:basedOn w:val="DefaultParagraphFont"/>
    <w:link w:val="Title"/>
    <w:rsid w:val="000A4D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D9E"/>
    <w:pPr>
      <w:tabs>
        <w:tab w:val="left" w:pos="3600"/>
        <w:tab w:val="left" w:pos="3958"/>
      </w:tabs>
    </w:pPr>
  </w:style>
  <w:style w:type="paragraph" w:styleId="List">
    <w:name w:val="List"/>
    <w:basedOn w:val="BodyText"/>
    <w:next w:val="BodyText"/>
    <w:rsid w:val="000A4D9E"/>
    <w:pPr>
      <w:tabs>
        <w:tab w:val="left" w:pos="340"/>
      </w:tabs>
      <w:spacing w:before="60" w:after="60"/>
      <w:ind w:left="340" w:hanging="340"/>
    </w:pPr>
  </w:style>
  <w:style w:type="paragraph" w:customStyle="1" w:styleId="Note">
    <w:name w:val="Note"/>
    <w:basedOn w:val="BodyText"/>
    <w:rsid w:val="000A4D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D9E"/>
    <w:pPr>
      <w:framePr w:wrap="auto" w:hAnchor="text" w:y="6049"/>
    </w:pPr>
    <w:rPr>
      <w:color w:val="000000"/>
      <w:sz w:val="40"/>
    </w:rPr>
  </w:style>
  <w:style w:type="paragraph" w:customStyle="1" w:styleId="TOCTitle">
    <w:name w:val="TOCTitle"/>
    <w:basedOn w:val="Heading1"/>
    <w:rsid w:val="000A4D9E"/>
    <w:pPr>
      <w:spacing w:after="240"/>
      <w:jc w:val="center"/>
      <w:outlineLvl w:val="9"/>
    </w:pPr>
    <w:rPr>
      <w:caps/>
    </w:rPr>
  </w:style>
  <w:style w:type="paragraph" w:customStyle="1" w:styleId="Version">
    <w:name w:val="Version"/>
    <w:rsid w:val="000A4D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D9E"/>
    <w:pPr>
      <w:keepNext w:val="0"/>
      <w:tabs>
        <w:tab w:val="right" w:pos="4176"/>
      </w:tabs>
      <w:ind w:left="198" w:hanging="198"/>
    </w:pPr>
    <w:rPr>
      <w:rFonts w:ascii="Garamond" w:hAnsi="Garamond"/>
    </w:rPr>
  </w:style>
  <w:style w:type="paragraph" w:styleId="IndexHeading">
    <w:name w:val="index heading"/>
    <w:basedOn w:val="Normal"/>
    <w:next w:val="Index1"/>
    <w:semiHidden/>
    <w:rsid w:val="000A4D9E"/>
    <w:pPr>
      <w:spacing w:before="120" w:after="120"/>
    </w:pPr>
    <w:rPr>
      <w:rFonts w:ascii="Arial" w:hAnsi="Arial"/>
      <w:b/>
      <w:color w:val="918585"/>
      <w:sz w:val="24"/>
    </w:rPr>
  </w:style>
  <w:style w:type="paragraph" w:styleId="Header">
    <w:name w:val="header"/>
    <w:basedOn w:val="Normal"/>
    <w:link w:val="HeaderChar"/>
    <w:rsid w:val="000A4D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D9E"/>
    <w:rPr>
      <w:rFonts w:ascii="Times New Roman" w:eastAsia="Times New Roman" w:hAnsi="Times New Roman" w:cs="Times New Roman"/>
      <w:sz w:val="16"/>
      <w:szCs w:val="20"/>
      <w:lang w:val="en-GB" w:eastAsia="en-US"/>
    </w:rPr>
  </w:style>
  <w:style w:type="paragraph" w:customStyle="1" w:styleId="Chapter">
    <w:name w:val="Chapter"/>
    <w:basedOn w:val="Normal"/>
    <w:rsid w:val="000A4D9E"/>
    <w:pPr>
      <w:spacing w:before="240"/>
    </w:pPr>
    <w:rPr>
      <w:rFonts w:ascii="Times New Roman" w:hAnsi="Times New Roman"/>
      <w:smallCaps/>
      <w:spacing w:val="80"/>
      <w:sz w:val="28"/>
    </w:rPr>
  </w:style>
  <w:style w:type="paragraph" w:customStyle="1" w:styleId="InChapter">
    <w:name w:val="InChapter"/>
    <w:basedOn w:val="Heading3"/>
    <w:rsid w:val="000A4D9E"/>
    <w:pPr>
      <w:spacing w:after="240"/>
      <w:outlineLvl w:val="9"/>
    </w:pPr>
    <w:rPr>
      <w:noProof/>
    </w:rPr>
  </w:style>
  <w:style w:type="paragraph" w:styleId="Index2">
    <w:name w:val="index 2"/>
    <w:basedOn w:val="Normal"/>
    <w:next w:val="Normal"/>
    <w:semiHidden/>
    <w:rsid w:val="000A4D9E"/>
    <w:pPr>
      <w:tabs>
        <w:tab w:val="right" w:pos="4176"/>
      </w:tabs>
      <w:ind w:left="568" w:hanging="284"/>
    </w:pPr>
    <w:rPr>
      <w:rFonts w:ascii="Garamond" w:hAnsi="Garamond"/>
    </w:rPr>
  </w:style>
  <w:style w:type="paragraph" w:customStyle="1" w:styleId="Byline">
    <w:name w:val="Byline"/>
    <w:rsid w:val="000A4D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D9E"/>
    <w:pPr>
      <w:tabs>
        <w:tab w:val="clear" w:pos="3600"/>
        <w:tab w:val="clear" w:pos="3958"/>
      </w:tabs>
      <w:jc w:val="right"/>
    </w:pPr>
  </w:style>
  <w:style w:type="character" w:styleId="Emphasis">
    <w:name w:val="Emphasis"/>
    <w:basedOn w:val="DefaultParagraphFont"/>
    <w:qFormat/>
    <w:rsid w:val="000A4D9E"/>
    <w:rPr>
      <w:i/>
    </w:rPr>
  </w:style>
  <w:style w:type="paragraph" w:styleId="Caption">
    <w:name w:val="caption"/>
    <w:basedOn w:val="BodyText"/>
    <w:next w:val="Normal"/>
    <w:qFormat/>
    <w:rsid w:val="000A4D9E"/>
    <w:pPr>
      <w:framePr w:w="2268" w:hSpace="181" w:vSpace="181" w:wrap="around" w:vAnchor="text" w:hAnchor="page" w:x="1135" w:y="285" w:anchorLock="1"/>
    </w:pPr>
    <w:rPr>
      <w:i/>
    </w:rPr>
  </w:style>
  <w:style w:type="paragraph" w:customStyle="1" w:styleId="MiniTOCTitle">
    <w:name w:val="MiniTOCTitle"/>
    <w:basedOn w:val="Heading4"/>
    <w:rsid w:val="000A4D9E"/>
    <w:pPr>
      <w:spacing w:before="240"/>
      <w:outlineLvl w:val="9"/>
    </w:pPr>
    <w:rPr>
      <w:noProof/>
      <w:sz w:val="24"/>
    </w:rPr>
  </w:style>
  <w:style w:type="paragraph" w:customStyle="1" w:styleId="MiniTOCItem">
    <w:name w:val="MiniTOCItem"/>
    <w:basedOn w:val="ListBullet"/>
    <w:rsid w:val="000A4D9E"/>
    <w:pPr>
      <w:numPr>
        <w:numId w:val="0"/>
      </w:numPr>
      <w:tabs>
        <w:tab w:val="right" w:leader="dot" w:pos="6521"/>
      </w:tabs>
      <w:spacing w:before="0" w:after="0"/>
    </w:pPr>
  </w:style>
  <w:style w:type="paragraph" w:customStyle="1" w:styleId="TOFTitle">
    <w:name w:val="TOFTitle"/>
    <w:basedOn w:val="TOCTitle"/>
    <w:rsid w:val="000A4D9E"/>
  </w:style>
  <w:style w:type="paragraph" w:styleId="TableofFigures">
    <w:name w:val="table of figures"/>
    <w:basedOn w:val="Normal"/>
    <w:next w:val="Normal"/>
    <w:semiHidden/>
    <w:rsid w:val="000A4D9E"/>
    <w:pPr>
      <w:tabs>
        <w:tab w:val="right" w:leader="dot" w:pos="9072"/>
      </w:tabs>
      <w:ind w:left="970" w:hanging="403"/>
    </w:pPr>
    <w:rPr>
      <w:rFonts w:ascii="Times New Roman" w:hAnsi="Times New Roman"/>
      <w:b/>
    </w:rPr>
  </w:style>
  <w:style w:type="paragraph" w:styleId="ListNumber">
    <w:name w:val="List Number"/>
    <w:basedOn w:val="List"/>
    <w:rsid w:val="000A4D9E"/>
    <w:pPr>
      <w:numPr>
        <w:numId w:val="15"/>
      </w:numPr>
      <w:tabs>
        <w:tab w:val="clear" w:pos="340"/>
      </w:tabs>
    </w:pPr>
  </w:style>
  <w:style w:type="character" w:customStyle="1" w:styleId="WingdingSymbols">
    <w:name w:val="Wingding Symbols"/>
    <w:rsid w:val="000A4D9E"/>
    <w:rPr>
      <w:rFonts w:ascii="Wingdings" w:hAnsi="Wingdings"/>
    </w:rPr>
  </w:style>
  <w:style w:type="paragraph" w:customStyle="1" w:styleId="TableHeading">
    <w:name w:val="Table Heading"/>
    <w:basedOn w:val="HeadingBase"/>
    <w:rsid w:val="000A4D9E"/>
    <w:pPr>
      <w:keepLines/>
      <w:pBdr>
        <w:bottom w:val="single" w:sz="6" w:space="1" w:color="918585"/>
      </w:pBdr>
      <w:spacing w:before="240"/>
    </w:pPr>
  </w:style>
  <w:style w:type="character" w:customStyle="1" w:styleId="HotSpot">
    <w:name w:val="HotSpot"/>
    <w:rsid w:val="000A4D9E"/>
    <w:rPr>
      <w:color w:val="0033CC"/>
      <w:u w:val="none"/>
    </w:rPr>
  </w:style>
  <w:style w:type="paragraph" w:customStyle="1" w:styleId="BodyTextRight">
    <w:name w:val="Body Text Right"/>
    <w:basedOn w:val="BodyText"/>
    <w:rsid w:val="000A4D9E"/>
    <w:pPr>
      <w:spacing w:before="0" w:after="0"/>
      <w:jc w:val="right"/>
    </w:pPr>
  </w:style>
  <w:style w:type="paragraph" w:styleId="Index3">
    <w:name w:val="index 3"/>
    <w:basedOn w:val="ListNumber2"/>
    <w:next w:val="Normal"/>
    <w:semiHidden/>
    <w:rsid w:val="000A4D9E"/>
    <w:pPr>
      <w:numPr>
        <w:numId w:val="0"/>
      </w:numPr>
      <w:tabs>
        <w:tab w:val="right" w:leader="dot" w:pos="4176"/>
      </w:tabs>
    </w:pPr>
  </w:style>
  <w:style w:type="paragraph" w:styleId="ListNumber2">
    <w:name w:val="List Number 2"/>
    <w:basedOn w:val="List2"/>
    <w:rsid w:val="000A4D9E"/>
    <w:pPr>
      <w:numPr>
        <w:numId w:val="10"/>
      </w:numPr>
      <w:tabs>
        <w:tab w:val="clear" w:pos="1060"/>
      </w:tabs>
    </w:pPr>
  </w:style>
  <w:style w:type="paragraph" w:customStyle="1" w:styleId="MarginNote">
    <w:name w:val="Margin Note"/>
    <w:basedOn w:val="BodyText"/>
    <w:rsid w:val="000A4D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D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D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D9E"/>
    <w:rPr>
      <w:sz w:val="32"/>
    </w:rPr>
  </w:style>
  <w:style w:type="paragraph" w:customStyle="1" w:styleId="HeadingProcedure">
    <w:name w:val="Heading Procedure"/>
    <w:basedOn w:val="HeadingBase"/>
    <w:next w:val="Normal"/>
    <w:rsid w:val="000A4D9E"/>
    <w:pPr>
      <w:tabs>
        <w:tab w:val="left" w:pos="0"/>
      </w:tabs>
      <w:spacing w:before="120" w:after="60"/>
    </w:pPr>
    <w:rPr>
      <w:i/>
      <w:color w:val="918585"/>
      <w:sz w:val="22"/>
    </w:rPr>
  </w:style>
  <w:style w:type="paragraph" w:customStyle="1" w:styleId="TableBodyText">
    <w:name w:val="Table Body Text"/>
    <w:basedOn w:val="BodyText"/>
    <w:rsid w:val="000A4D9E"/>
    <w:pPr>
      <w:spacing w:before="60" w:after="60"/>
    </w:pPr>
  </w:style>
  <w:style w:type="paragraph" w:styleId="ListContinue">
    <w:name w:val="List Continue"/>
    <w:basedOn w:val="List"/>
    <w:rsid w:val="000A4D9E"/>
    <w:pPr>
      <w:ind w:firstLine="0"/>
    </w:pPr>
  </w:style>
  <w:style w:type="paragraph" w:customStyle="1" w:styleId="ListNote">
    <w:name w:val="List Note"/>
    <w:basedOn w:val="List"/>
    <w:rsid w:val="000A4D9E"/>
    <w:pPr>
      <w:pBdr>
        <w:top w:val="single" w:sz="6" w:space="2" w:color="918585"/>
        <w:bottom w:val="single" w:sz="6" w:space="2" w:color="918585"/>
      </w:pBdr>
      <w:tabs>
        <w:tab w:val="left" w:pos="1021"/>
      </w:tabs>
      <w:ind w:firstLine="0"/>
    </w:pPr>
  </w:style>
  <w:style w:type="paragraph" w:customStyle="1" w:styleId="Warning">
    <w:name w:val="Warning"/>
    <w:basedOn w:val="BodyText"/>
    <w:rsid w:val="000A4D9E"/>
    <w:pPr>
      <w:shd w:val="clear" w:color="auto" w:fill="D9D9D9"/>
      <w:tabs>
        <w:tab w:val="left" w:pos="992"/>
      </w:tabs>
      <w:ind w:left="119" w:right="119"/>
    </w:pPr>
    <w:rPr>
      <w:sz w:val="20"/>
    </w:rPr>
  </w:style>
  <w:style w:type="paragraph" w:customStyle="1" w:styleId="MarginIcons">
    <w:name w:val="Margin Icons"/>
    <w:basedOn w:val="BodyText"/>
    <w:rsid w:val="000A4D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D9E"/>
    <w:rPr>
      <w:rFonts w:ascii="Courier New" w:hAnsi="Courier New"/>
    </w:rPr>
  </w:style>
  <w:style w:type="paragraph" w:customStyle="1" w:styleId="NoteBullet">
    <w:name w:val="Note Bullet"/>
    <w:basedOn w:val="Note"/>
    <w:rsid w:val="000A4D9E"/>
    <w:pPr>
      <w:tabs>
        <w:tab w:val="clear" w:pos="680"/>
      </w:tabs>
      <w:spacing w:before="60" w:after="60"/>
    </w:pPr>
  </w:style>
  <w:style w:type="paragraph" w:customStyle="1" w:styleId="SubHeading2">
    <w:name w:val="SubHeading2"/>
    <w:basedOn w:val="HeadingBase"/>
    <w:rsid w:val="000A4D9E"/>
    <w:pPr>
      <w:spacing w:before="240" w:after="60"/>
    </w:pPr>
    <w:rPr>
      <w:sz w:val="20"/>
    </w:rPr>
  </w:style>
  <w:style w:type="paragraph" w:customStyle="1" w:styleId="SubHeading1">
    <w:name w:val="SubHeading1"/>
    <w:basedOn w:val="HeadingBase"/>
    <w:rsid w:val="000A4D9E"/>
    <w:pPr>
      <w:spacing w:before="240" w:after="60"/>
    </w:pPr>
    <w:rPr>
      <w:color w:val="918585"/>
      <w:sz w:val="22"/>
    </w:rPr>
  </w:style>
  <w:style w:type="paragraph" w:customStyle="1" w:styleId="SideHeading">
    <w:name w:val="Side Heading"/>
    <w:basedOn w:val="HeadingBase"/>
    <w:rsid w:val="000A4D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D9E"/>
    <w:pPr>
      <w:tabs>
        <w:tab w:val="num" w:pos="360"/>
      </w:tabs>
    </w:pPr>
  </w:style>
  <w:style w:type="paragraph" w:styleId="PlainText">
    <w:name w:val="Plain Text"/>
    <w:basedOn w:val="Normal"/>
    <w:link w:val="PlainTextChar"/>
    <w:rsid w:val="000A4D9E"/>
    <w:rPr>
      <w:sz w:val="20"/>
    </w:rPr>
  </w:style>
  <w:style w:type="character" w:customStyle="1" w:styleId="PlainTextChar">
    <w:name w:val="Plain Text Char"/>
    <w:basedOn w:val="DefaultParagraphFont"/>
    <w:link w:val="PlainText"/>
    <w:rsid w:val="000A4D9E"/>
    <w:rPr>
      <w:rFonts w:ascii="Courier New" w:eastAsia="Times New Roman" w:hAnsi="Courier New" w:cs="Times New Roman"/>
      <w:sz w:val="20"/>
      <w:szCs w:val="20"/>
      <w:lang w:eastAsia="en-US"/>
    </w:rPr>
  </w:style>
  <w:style w:type="character" w:customStyle="1" w:styleId="MenuOption">
    <w:name w:val="Menu Option"/>
    <w:basedOn w:val="DefaultParagraphFont"/>
    <w:rsid w:val="000A4D9E"/>
    <w:rPr>
      <w:b/>
      <w:smallCaps/>
    </w:rPr>
  </w:style>
  <w:style w:type="paragraph" w:customStyle="1" w:styleId="TableListNumber">
    <w:name w:val="Table List Number"/>
    <w:basedOn w:val="ListNumber"/>
    <w:rsid w:val="000A4D9E"/>
    <w:pPr>
      <w:numPr>
        <w:numId w:val="0"/>
      </w:numPr>
    </w:pPr>
  </w:style>
  <w:style w:type="paragraph" w:styleId="TOC4">
    <w:name w:val="toc 4"/>
    <w:basedOn w:val="TOCBase"/>
    <w:next w:val="Normal"/>
    <w:semiHidden/>
    <w:rsid w:val="000A4D9E"/>
    <w:pPr>
      <w:tabs>
        <w:tab w:val="right" w:leader="dot" w:pos="9071"/>
      </w:tabs>
      <w:ind w:left="1701"/>
    </w:pPr>
  </w:style>
  <w:style w:type="paragraph" w:customStyle="1" w:styleId="ListAlpha">
    <w:name w:val="List Alpha"/>
    <w:basedOn w:val="List"/>
    <w:rsid w:val="000A4D9E"/>
    <w:pPr>
      <w:numPr>
        <w:numId w:val="9"/>
      </w:numPr>
    </w:pPr>
  </w:style>
  <w:style w:type="paragraph" w:customStyle="1" w:styleId="ListAlpha2">
    <w:name w:val="List Alpha 2"/>
    <w:basedOn w:val="List2"/>
    <w:rsid w:val="000A4D9E"/>
    <w:pPr>
      <w:numPr>
        <w:numId w:val="8"/>
      </w:numPr>
    </w:pPr>
  </w:style>
  <w:style w:type="paragraph" w:styleId="List2">
    <w:name w:val="List 2"/>
    <w:basedOn w:val="BodyText"/>
    <w:rsid w:val="000A4D9E"/>
    <w:pPr>
      <w:tabs>
        <w:tab w:val="left" w:pos="680"/>
      </w:tabs>
      <w:spacing w:before="60" w:after="60"/>
      <w:ind w:left="680" w:hanging="340"/>
    </w:pPr>
  </w:style>
  <w:style w:type="paragraph" w:styleId="List3">
    <w:name w:val="List 3"/>
    <w:basedOn w:val="BodyText"/>
    <w:rsid w:val="000A4D9E"/>
    <w:pPr>
      <w:tabs>
        <w:tab w:val="left" w:pos="1021"/>
      </w:tabs>
      <w:spacing w:before="60" w:after="60"/>
      <w:ind w:left="1020" w:hanging="340"/>
    </w:pPr>
  </w:style>
  <w:style w:type="paragraph" w:styleId="List4">
    <w:name w:val="List 4"/>
    <w:basedOn w:val="BodyText"/>
    <w:rsid w:val="000A4D9E"/>
    <w:pPr>
      <w:tabs>
        <w:tab w:val="left" w:pos="1361"/>
      </w:tabs>
      <w:spacing w:before="60" w:after="60"/>
      <w:ind w:left="1361" w:hanging="340"/>
    </w:pPr>
  </w:style>
  <w:style w:type="paragraph" w:styleId="List5">
    <w:name w:val="List 5"/>
    <w:basedOn w:val="BodyText"/>
    <w:rsid w:val="000A4D9E"/>
    <w:pPr>
      <w:tabs>
        <w:tab w:val="left" w:pos="1701"/>
      </w:tabs>
      <w:spacing w:before="60" w:after="60"/>
      <w:ind w:left="1701" w:hanging="340"/>
    </w:pPr>
  </w:style>
  <w:style w:type="paragraph" w:styleId="ListBullet3">
    <w:name w:val="List Bullet 3"/>
    <w:basedOn w:val="List3"/>
    <w:rsid w:val="000A4D9E"/>
    <w:pPr>
      <w:numPr>
        <w:numId w:val="14"/>
      </w:numPr>
      <w:tabs>
        <w:tab w:val="clear" w:pos="1021"/>
      </w:tabs>
      <w:ind w:left="1037" w:hanging="357"/>
    </w:pPr>
  </w:style>
  <w:style w:type="paragraph" w:styleId="ListBullet4">
    <w:name w:val="List Bullet 4"/>
    <w:basedOn w:val="List4"/>
    <w:rsid w:val="000A4D9E"/>
    <w:pPr>
      <w:numPr>
        <w:numId w:val="3"/>
      </w:numPr>
      <w:tabs>
        <w:tab w:val="clear" w:pos="1361"/>
      </w:tabs>
    </w:pPr>
  </w:style>
  <w:style w:type="paragraph" w:styleId="ListBullet5">
    <w:name w:val="List Bullet 5"/>
    <w:basedOn w:val="List5"/>
    <w:rsid w:val="000A4D9E"/>
    <w:pPr>
      <w:numPr>
        <w:numId w:val="4"/>
      </w:numPr>
    </w:pPr>
  </w:style>
  <w:style w:type="paragraph" w:styleId="ListContinue2">
    <w:name w:val="List Continue 2"/>
    <w:basedOn w:val="List2"/>
    <w:rsid w:val="000A4D9E"/>
    <w:pPr>
      <w:ind w:firstLine="0"/>
    </w:pPr>
  </w:style>
  <w:style w:type="paragraph" w:styleId="ListContinue3">
    <w:name w:val="List Continue 3"/>
    <w:basedOn w:val="List3"/>
    <w:rsid w:val="000A4D9E"/>
    <w:pPr>
      <w:ind w:left="1021" w:firstLine="0"/>
    </w:pPr>
  </w:style>
  <w:style w:type="paragraph" w:styleId="ListContinue4">
    <w:name w:val="List Continue 4"/>
    <w:basedOn w:val="List4"/>
    <w:rsid w:val="000A4D9E"/>
    <w:pPr>
      <w:ind w:firstLine="0"/>
    </w:pPr>
  </w:style>
  <w:style w:type="paragraph" w:styleId="ListContinue5">
    <w:name w:val="List Continue 5"/>
    <w:basedOn w:val="List5"/>
    <w:rsid w:val="000A4D9E"/>
    <w:pPr>
      <w:ind w:firstLine="0"/>
    </w:pPr>
  </w:style>
  <w:style w:type="paragraph" w:styleId="ListNumber3">
    <w:name w:val="List Number 3"/>
    <w:basedOn w:val="List3"/>
    <w:rsid w:val="000A4D9E"/>
    <w:pPr>
      <w:numPr>
        <w:numId w:val="5"/>
      </w:numPr>
    </w:pPr>
  </w:style>
  <w:style w:type="paragraph" w:styleId="ListNumber4">
    <w:name w:val="List Number 4"/>
    <w:basedOn w:val="List4"/>
    <w:rsid w:val="000A4D9E"/>
    <w:pPr>
      <w:numPr>
        <w:numId w:val="6"/>
      </w:numPr>
    </w:pPr>
  </w:style>
  <w:style w:type="paragraph" w:styleId="ListNumber5">
    <w:name w:val="List Number 5"/>
    <w:basedOn w:val="List5"/>
    <w:rsid w:val="000A4D9E"/>
    <w:pPr>
      <w:numPr>
        <w:numId w:val="7"/>
      </w:numPr>
    </w:pPr>
  </w:style>
  <w:style w:type="paragraph" w:styleId="BlockText">
    <w:name w:val="Block Text"/>
    <w:basedOn w:val="Normal"/>
    <w:rsid w:val="000A4D9E"/>
    <w:pPr>
      <w:spacing w:after="120"/>
      <w:ind w:left="1440" w:right="1440"/>
    </w:pPr>
  </w:style>
  <w:style w:type="character" w:customStyle="1" w:styleId="Subscript">
    <w:name w:val="Subscript"/>
    <w:basedOn w:val="DefaultParagraphFont"/>
    <w:rsid w:val="000A4D9E"/>
    <w:rPr>
      <w:sz w:val="16"/>
      <w:vertAlign w:val="subscript"/>
    </w:rPr>
  </w:style>
  <w:style w:type="character" w:customStyle="1" w:styleId="Superscript">
    <w:name w:val="Superscript"/>
    <w:basedOn w:val="DefaultParagraphFont"/>
    <w:rsid w:val="000A4D9E"/>
    <w:rPr>
      <w:sz w:val="16"/>
      <w:vertAlign w:val="superscript"/>
    </w:rPr>
  </w:style>
  <w:style w:type="character" w:customStyle="1" w:styleId="Symbols">
    <w:name w:val="Symbols"/>
    <w:basedOn w:val="DefaultParagraphFont"/>
    <w:rsid w:val="000A4D9E"/>
    <w:rPr>
      <w:rFonts w:ascii="Symbol" w:hAnsi="Symbol"/>
    </w:rPr>
  </w:style>
  <w:style w:type="character" w:customStyle="1" w:styleId="MenuOptions">
    <w:name w:val="Menu Options"/>
    <w:basedOn w:val="DefaultParagraphFont"/>
    <w:rsid w:val="000A4D9E"/>
    <w:rPr>
      <w:rFonts w:ascii="Arial Narrow" w:hAnsi="Arial Narrow"/>
      <w:smallCaps/>
    </w:rPr>
  </w:style>
  <w:style w:type="character" w:customStyle="1" w:styleId="Buttons">
    <w:name w:val="Buttons"/>
    <w:basedOn w:val="DefaultParagraphFont"/>
    <w:rsid w:val="000A4D9E"/>
    <w:rPr>
      <w:b/>
    </w:rPr>
  </w:style>
  <w:style w:type="character" w:customStyle="1" w:styleId="Underlined">
    <w:name w:val="Underlined"/>
    <w:basedOn w:val="DefaultParagraphFont"/>
    <w:rsid w:val="000A4D9E"/>
    <w:rPr>
      <w:u w:val="single"/>
    </w:rPr>
  </w:style>
  <w:style w:type="paragraph" w:customStyle="1" w:styleId="TableBodyTextRight">
    <w:name w:val="Table Body Text Right"/>
    <w:basedOn w:val="TableBodyText"/>
    <w:rsid w:val="000A4D9E"/>
    <w:pPr>
      <w:widowControl w:val="0"/>
      <w:autoSpaceDE w:val="0"/>
      <w:autoSpaceDN w:val="0"/>
      <w:adjustRightInd w:val="0"/>
      <w:jc w:val="right"/>
    </w:pPr>
    <w:rPr>
      <w:rFonts w:cs="Arial"/>
      <w:szCs w:val="18"/>
    </w:rPr>
  </w:style>
  <w:style w:type="paragraph" w:customStyle="1" w:styleId="CopyrightText">
    <w:name w:val="Copyright Text"/>
    <w:basedOn w:val="BodyText"/>
    <w:rsid w:val="000A4D9E"/>
    <w:rPr>
      <w:sz w:val="18"/>
    </w:rPr>
  </w:style>
  <w:style w:type="paragraph" w:customStyle="1" w:styleId="BodySmallRight">
    <w:name w:val="Body Small Right"/>
    <w:basedOn w:val="BodyTextRight"/>
    <w:rsid w:val="000A4D9E"/>
    <w:rPr>
      <w:sz w:val="18"/>
      <w:szCs w:val="18"/>
    </w:rPr>
  </w:style>
  <w:style w:type="paragraph" w:customStyle="1" w:styleId="MarginEdition">
    <w:name w:val="Margin Edition"/>
    <w:basedOn w:val="MarginNote"/>
    <w:rsid w:val="000A4D9E"/>
    <w:pPr>
      <w:spacing w:before="0" w:after="0"/>
    </w:pPr>
    <w:rPr>
      <w:rFonts w:ascii="Times New Roman" w:hAnsi="Times New Roman"/>
      <w:color w:val="999999"/>
    </w:rPr>
  </w:style>
  <w:style w:type="paragraph" w:customStyle="1" w:styleId="Spacer">
    <w:name w:val="Spacer"/>
    <w:basedOn w:val="Normal"/>
    <w:rsid w:val="000A4D9E"/>
    <w:rPr>
      <w:sz w:val="2"/>
      <w:szCs w:val="2"/>
    </w:rPr>
  </w:style>
  <w:style w:type="character" w:customStyle="1" w:styleId="Small">
    <w:name w:val="Small"/>
    <w:basedOn w:val="DefaultParagraphFont"/>
    <w:rsid w:val="000A4D9E"/>
    <w:rPr>
      <w:sz w:val="16"/>
    </w:rPr>
  </w:style>
  <w:style w:type="paragraph" w:customStyle="1" w:styleId="WideTable">
    <w:name w:val="Wide Table"/>
    <w:basedOn w:val="Normal"/>
    <w:rsid w:val="000A4D9E"/>
    <w:pPr>
      <w:ind w:left="-1418"/>
    </w:pPr>
    <w:rPr>
      <w:sz w:val="2"/>
      <w:szCs w:val="2"/>
    </w:rPr>
  </w:style>
  <w:style w:type="character" w:styleId="PageNumber">
    <w:name w:val="page number"/>
    <w:basedOn w:val="DefaultParagraphFont"/>
    <w:rsid w:val="000A4D9E"/>
  </w:style>
  <w:style w:type="paragraph" w:styleId="Quote">
    <w:name w:val="Quote"/>
    <w:basedOn w:val="Heading1"/>
    <w:link w:val="QuoteChar"/>
    <w:qFormat/>
    <w:rsid w:val="000A4D9E"/>
    <w:rPr>
      <w:b w:val="0"/>
      <w:sz w:val="72"/>
      <w:szCs w:val="72"/>
      <w:lang w:val="en-NZ"/>
    </w:rPr>
  </w:style>
  <w:style w:type="character" w:customStyle="1" w:styleId="QuoteChar">
    <w:name w:val="Quote Char"/>
    <w:basedOn w:val="DefaultParagraphFont"/>
    <w:link w:val="Quote"/>
    <w:rsid w:val="000A4D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D9E"/>
    <w:pPr>
      <w:pageBreakBefore/>
    </w:pPr>
  </w:style>
  <w:style w:type="paragraph" w:customStyle="1" w:styleId="Border">
    <w:name w:val="Border"/>
    <w:basedOn w:val="Normal"/>
    <w:qFormat/>
    <w:rsid w:val="000A4D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D9E"/>
    <w:rPr>
      <w:b/>
      <w:bCs/>
      <w:i/>
      <w:iCs/>
      <w:color w:val="auto"/>
    </w:rPr>
  </w:style>
  <w:style w:type="paragraph" w:styleId="IntenseQuote">
    <w:name w:val="Intense Quote"/>
    <w:basedOn w:val="Normal"/>
    <w:next w:val="Normal"/>
    <w:link w:val="IntenseQuoteChar"/>
    <w:uiPriority w:val="30"/>
    <w:qFormat/>
    <w:rsid w:val="000A4D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D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D9E"/>
    <w:rPr>
      <w:smallCaps/>
      <w:color w:val="auto"/>
      <w:u w:val="single"/>
    </w:rPr>
  </w:style>
  <w:style w:type="character" w:styleId="IntenseReference">
    <w:name w:val="Intense Reference"/>
    <w:basedOn w:val="DefaultParagraphFont"/>
    <w:uiPriority w:val="32"/>
    <w:qFormat/>
    <w:rsid w:val="000A4D9E"/>
    <w:rPr>
      <w:b/>
      <w:bCs/>
      <w:smallCaps/>
      <w:color w:val="auto"/>
      <w:spacing w:val="5"/>
      <w:u w:val="single"/>
    </w:rPr>
  </w:style>
  <w:style w:type="paragraph" w:customStyle="1" w:styleId="2ColumnHeading">
    <w:name w:val="2Column Heading"/>
    <w:basedOn w:val="BodyText"/>
    <w:qFormat/>
    <w:rsid w:val="000A4D9E"/>
    <w:pPr>
      <w:spacing w:after="60"/>
      <w:ind w:left="-2268"/>
    </w:pPr>
    <w:rPr>
      <w:b/>
    </w:rPr>
  </w:style>
  <w:style w:type="paragraph" w:customStyle="1" w:styleId="Heading1TOC">
    <w:name w:val="Heading1 TOC"/>
    <w:basedOn w:val="Normal"/>
    <w:qFormat/>
    <w:rsid w:val="000A4D9E"/>
    <w:pPr>
      <w:spacing w:before="240" w:after="120"/>
    </w:pPr>
    <w:rPr>
      <w:rFonts w:ascii="Times New Roman" w:hAnsi="Times New Roman"/>
      <w:b/>
      <w:sz w:val="32"/>
    </w:rPr>
  </w:style>
  <w:style w:type="paragraph" w:customStyle="1" w:styleId="Heading2TOC">
    <w:name w:val="Heading2 TOC"/>
    <w:basedOn w:val="Normal"/>
    <w:qFormat/>
    <w:rsid w:val="000A4D9E"/>
    <w:pPr>
      <w:spacing w:before="240" w:after="60"/>
    </w:pPr>
    <w:rPr>
      <w:rFonts w:ascii="Times New Roman" w:hAnsi="Times New Roman"/>
      <w:b/>
      <w:sz w:val="28"/>
    </w:rPr>
  </w:style>
  <w:style w:type="character" w:customStyle="1" w:styleId="Underline">
    <w:name w:val="Underline"/>
    <w:basedOn w:val="DefaultParagraphFont"/>
    <w:qFormat/>
    <w:rsid w:val="000A4D9E"/>
    <w:rPr>
      <w:u w:val="single"/>
    </w:rPr>
  </w:style>
  <w:style w:type="character" w:customStyle="1" w:styleId="BoldandItalics">
    <w:name w:val="Bold and Italics"/>
    <w:qFormat/>
    <w:rsid w:val="000A4D9E"/>
    <w:rPr>
      <w:b/>
      <w:i/>
      <w:u w:val="none"/>
    </w:rPr>
  </w:style>
  <w:style w:type="paragraph" w:styleId="BalloonText">
    <w:name w:val="Balloon Text"/>
    <w:basedOn w:val="Normal"/>
    <w:link w:val="BalloonTextChar"/>
    <w:rsid w:val="000A4D9E"/>
    <w:rPr>
      <w:rFonts w:ascii="Tahoma" w:hAnsi="Tahoma" w:cs="Tahoma"/>
      <w:sz w:val="16"/>
      <w:szCs w:val="16"/>
    </w:rPr>
  </w:style>
  <w:style w:type="character" w:customStyle="1" w:styleId="BalloonTextChar">
    <w:name w:val="Balloon Text Char"/>
    <w:basedOn w:val="DefaultParagraphFont"/>
    <w:link w:val="BalloonText"/>
    <w:rsid w:val="000A4D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D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D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D9E"/>
    <w:rPr>
      <w:b/>
      <w:color w:val="660033"/>
      <w:spacing w:val="0"/>
    </w:rPr>
  </w:style>
  <w:style w:type="paragraph" w:customStyle="1" w:styleId="Nameditemlist">
    <w:name w:val="Named item list"/>
    <w:basedOn w:val="BodyText"/>
    <w:qFormat/>
    <w:rsid w:val="000A4D9E"/>
    <w:pPr>
      <w:tabs>
        <w:tab w:val="left" w:pos="2835"/>
      </w:tabs>
      <w:ind w:left="2835" w:hanging="2835"/>
    </w:pPr>
  </w:style>
  <w:style w:type="paragraph" w:customStyle="1" w:styleId="BodyTextnopadding">
    <w:name w:val="Body Text no padding"/>
    <w:basedOn w:val="BodyText"/>
    <w:qFormat/>
    <w:rsid w:val="000A4D9E"/>
    <w:pPr>
      <w:spacing w:before="0" w:after="0"/>
    </w:pPr>
  </w:style>
  <w:style w:type="paragraph" w:customStyle="1" w:styleId="BodyTextBold">
    <w:name w:val="Body Text Bold"/>
    <w:basedOn w:val="BodyText"/>
    <w:qFormat/>
    <w:rsid w:val="000A4D9E"/>
    <w:rPr>
      <w:b/>
    </w:rPr>
  </w:style>
  <w:style w:type="character" w:styleId="Hyperlink">
    <w:name w:val="Hyperlink"/>
    <w:basedOn w:val="DefaultParagraphFont"/>
    <w:uiPriority w:val="99"/>
    <w:unhideWhenUsed/>
    <w:rsid w:val="00305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8832</Characters>
  <Application>Microsoft Office Word</Application>
  <DocSecurity>0</DocSecurity>
  <Lines>327</Lines>
  <Paragraphs>194</Paragraphs>
  <ScaleCrop>false</ScaleCrop>
  <Company>Author-it Software Corporation Ltd.</Company>
  <LinksUpToDate>false</LinksUpToDate>
  <CharactersWithSpaces>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PUAEMR012 Determine treatment options</dc:title>
  <dc:subject>Approved</dc:subject>
  <dc:creator>Public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