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E43" w:rsidP="00954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PUAEMR008 Contribute to an emergency risk management process</w:t>
      </w:r>
      <w:r>
        <w:fldChar w:fldCharType="end"/>
      </w:r>
    </w:p>
    <w:p w:rsidR="00954E43" w:rsidP="00954E43">
      <w:pPr>
        <w:pStyle w:val="Version"/>
        <w:sectPr w:rsidSect="007E5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F0C" w:rsidP="007E5F0C">
      <w:pPr>
        <w:pStyle w:val="SuperHeading"/>
      </w:pPr>
      <w:r w:rsidRPr="007E5F0C">
        <w:t>PUAEMR008 Contribute to an emergency risk management process</w:t>
      </w:r>
    </w:p>
    <w:p w:rsidR="00000000" w:rsidRPr="007E5F0C" w:rsidP="007E5F0C">
      <w:pPr>
        <w:pStyle w:val="Heading1"/>
      </w:pPr>
      <w:bookmarkStart w:id="1" w:name="O_1024430"/>
      <w:bookmarkEnd w:id="1"/>
      <w:r w:rsidRPr="007E5F0C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7E5F0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Release 1.</w:t>
            </w:r>
            <w:r w:rsidRPr="007E5F0C">
              <w:t xml:space="preserve"> This is the first release of this unit of competency in the PUA Public Safety Training Package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2" w:name="O_1024431"/>
      <w:bookmarkEnd w:id="2"/>
      <w:r w:rsidRPr="007E5F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>This unit of competency involves the skills and knowledge required to particip</w:t>
            </w:r>
            <w:r w:rsidRPr="007E5F0C">
              <w:t>ate in working groups or other forums in contributing to developing an emergency risk assessment and treatment plan for a community. It includes clarifying community contacts, applying emergency risk management methodology, developing risk statements and t</w:t>
            </w:r>
            <w:r w:rsidRPr="007E5F0C">
              <w:t>reatment options, promoting emergency risk management ownership and working cooperatively with stakeholders.</w:t>
            </w:r>
          </w:p>
          <w:p w:rsidR="00000000" w:rsidRPr="007E5F0C" w:rsidP="007E5F0C">
            <w:pPr>
              <w:pStyle w:val="BodyText"/>
            </w:pPr>
            <w:r w:rsidRPr="007E5F0C">
              <w:t xml:space="preserve">The unit applies to personnel who undertake emergency risk assessments with a community or part of a community and is relevant to individuals with </w:t>
            </w:r>
            <w:r w:rsidRPr="007E5F0C">
              <w:t>specific expertise who may be invited to participate in an emergency risk assessment working group.</w:t>
            </w:r>
          </w:p>
          <w:p w:rsidR="00000000" w:rsidRPr="007E5F0C" w:rsidP="007E5F0C">
            <w:pPr>
              <w:pStyle w:val="BodyText"/>
            </w:pPr>
            <w:r w:rsidRPr="007E5F0C">
              <w:t>No licensing, legislative or certification requirements apply to this unit at the time of publication.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3" w:name="O_1024432"/>
      <w:bookmarkEnd w:id="3"/>
      <w:r w:rsidRPr="007E5F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>Not applicabl</w:t>
            </w:r>
            <w:r w:rsidRPr="007E5F0C">
              <w:t>e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4" w:name="O_1024433"/>
      <w:bookmarkEnd w:id="4"/>
      <w:r w:rsidRPr="007E5F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>Emergency Management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5" w:name="O_1024434"/>
      <w:bookmarkEnd w:id="5"/>
      <w:r w:rsidRPr="007E5F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>Not applicable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6" w:name="O_1024435"/>
      <w:bookmarkEnd w:id="6"/>
      <w:r w:rsidRPr="007E5F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PERFORMANCE CRITERIA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Performance criteria describe the performance needed to demonstrate achievement of the element.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Clarify community context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 xml:space="preserve">Known risks, safety concerns and expectations of emergency risk management processes information are </w:t>
            </w:r>
            <w:r w:rsidRPr="007E5F0C">
              <w:t>collected and analysed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Safety concerns, drivers of change, recent events, community views and sensitivities are identified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Legislation, policies, procedures and existing emergency management documentation and arrangements are identified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Input to building an initial picture of community characteristics, safety expectations and perceptions of risk is provided to stakeholders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Significance of available information for own organisation and/or constituency is assessed and reported to sta</w:t>
            </w:r>
            <w:r w:rsidRPr="007E5F0C">
              <w:t>keholders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Scope and focus of a feasible emergency risk management project is determined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Apply emergency risk management methodology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Organisational responsibilities, roles, limits of authority, scope of community knowledge and expertise are outlined to emergency risk group members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Organisational resources to support the emergency risk management process are identified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Sour</w:t>
            </w:r>
            <w:r w:rsidRPr="007E5F0C">
              <w:t>ces of useful and credible information are identified through stakeholders, community networks and interested parties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Consultation and communication is undertaken, in accordance with organisational procedures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 xml:space="preserve">Processes for accountability and </w:t>
            </w:r>
            <w:r w:rsidRPr="007E5F0C">
              <w:t>communication of accurate and consistent information to stakeholders are developed and applied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Develop risk statements and treatment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Accuracy and currency of available risk information is assessed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Additional information is sought from specialist stakeholders regarding information gaps and conflicting data or views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Risk statements are developed using sources of risk, elements at risk and vulnerability, in accordance with organisational procedu</w:t>
            </w:r>
            <w:r w:rsidRPr="007E5F0C">
              <w:t>res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 xml:space="preserve">Risk statements are analysed considering consequences </w:t>
            </w:r>
            <w:r w:rsidRPr="007E5F0C">
              <w:t>and likelihood of occurrences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Input is provided to assess effectiveness of existing treatment strategies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Risk treatment options are developed considering practical constraints and assessment criteria, in accordance with organisational procedures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Feedback on risks and treatment options is obtained from internal and external stakeholders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Recommend</w:t>
            </w:r>
            <w:r w:rsidRPr="007E5F0C">
              <w:t>ations are developed with stakeholders and submitted for approval to authorised personnel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Promote emergency risk management</w:t>
            </w:r>
            <w:r w:rsidRPr="007E5F0C">
              <w:t xml:space="preserve"> </w:t>
            </w:r>
            <w:r w:rsidRPr="007E5F0C">
              <w:rPr>
                <w:rStyle w:val="SpecialBold"/>
              </w:rPr>
              <w:t xml:space="preserve">ownership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 xml:space="preserve">Stakeholder consultation is undertaken during risk management process 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Positions and commitments for emergency risk management are authorised before being communicated to others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Management is kept informed of project progress, proposed variations in strategy, decisions and recommendations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Resource variations are</w:t>
            </w:r>
            <w:r w:rsidRPr="007E5F0C">
              <w:t xml:space="preserve"> negotiated with authorised personnel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Stages of emergency risk management processes, decisions and outcomes are documented, in accordance with organisational procedures, industry standards and legislative requirements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Opportunities for improving emergency risk management processes are identified and reported to authorised personnel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Work cooperatively with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Allocated tasks are completed on time whilst encouraging stakeholders to help achieve common goa</w:t>
            </w:r>
            <w:r w:rsidRPr="007E5F0C">
              <w:t>ls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Meeting procedures are followed, in accordance with organisational procedures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 xml:space="preserve">Accurate information is provided to stakeholders, in accordance with organisational procedures 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Opinions and advice are sought whilst appreciating the boundaries and cultures of organisations and diverse views of other stakeholders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A wide range of reactions and views are actively sought from stakeholders, in accordance with organisational proc</w:t>
            </w:r>
            <w:r w:rsidRPr="007E5F0C">
              <w:t xml:space="preserve">edures 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Appropriate language is used when communicating with stakeholders in meetings, in accordance with organisational procedures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Confidentiality and privacy of information is maintained, in accordance with organisational procedures and pri</w:t>
            </w:r>
            <w:r w:rsidRPr="007E5F0C">
              <w:t>vacy principles</w:t>
            </w:r>
          </w:p>
        </w:tc>
      </w:tr>
      <w:tr w:rsidTr="007E5F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 xml:space="preserve">Conflicts are resolved, in accordance with organisational procedures 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7" w:name="O_1024436"/>
      <w:bookmarkEnd w:id="7"/>
      <w:r w:rsidRPr="007E5F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>Foundation skills essential to performance are explicit in the performance criteria of this unit of competency.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8" w:name="O_1024437"/>
      <w:bookmarkEnd w:id="8"/>
      <w:r w:rsidRPr="007E5F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>Range is restricted to essential operating conditions and any other variables essential to the work environment.</w:t>
            </w:r>
          </w:p>
          <w:p w:rsidR="00000000" w:rsidRPr="007E5F0C" w:rsidP="007E5F0C">
            <w:pPr>
              <w:pStyle w:val="BodyText"/>
            </w:pPr>
            <w:r w:rsidRPr="007E5F0C">
              <w:t>Non-essential conditions may be found in the Companion Volume Implementation Guide.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9" w:name="O_1024438"/>
      <w:bookmarkEnd w:id="9"/>
      <w:r w:rsidRPr="007E5F0C">
        <w:t>Unit Mapp</w:t>
      </w:r>
      <w:r w:rsidRPr="007E5F0C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>This unit replaces and is equivalent to PUAEMR008B Contribute to an emergency risk management process.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10" w:name="O_1024445"/>
      <w:bookmarkEnd w:id="10"/>
      <w:r w:rsidRPr="007E5F0C">
        <w:t>Links</w:t>
      </w:r>
    </w:p>
    <w:p w:rsidR="00000000" w:rsidRPr="007E5F0C" w:rsidP="00954E43">
      <w:pPr>
        <w:pStyle w:val="BodyText"/>
      </w:pPr>
      <w:r w:rsidRPr="007E5F0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5555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E5F0C" w:rsidP="00954E43">
      <w:pPr>
        <w:pStyle w:val="BodyText"/>
        <w:sectPr w:rsidSect="007E5F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5F0C" w:rsidP="007E5F0C">
      <w:pPr>
        <w:pStyle w:val="SuperHeading"/>
      </w:pPr>
      <w:r w:rsidRPr="007E5F0C">
        <w:t>Assessment Requirements for PUAEMR008 Contri</w:t>
      </w:r>
      <w:r w:rsidRPr="007E5F0C">
        <w:t>bute to an emergency risk management process</w:t>
      </w:r>
    </w:p>
    <w:p w:rsidR="00000000" w:rsidRPr="007E5F0C" w:rsidP="007E5F0C">
      <w:pPr>
        <w:pStyle w:val="Heading1"/>
      </w:pPr>
      <w:bookmarkStart w:id="11" w:name="O_1024440"/>
      <w:bookmarkEnd w:id="11"/>
      <w:r w:rsidRPr="007E5F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rPr>
                <w:rStyle w:val="SpecialBold"/>
              </w:rPr>
              <w:t>Release 1.</w:t>
            </w:r>
            <w:r w:rsidRPr="007E5F0C">
              <w:t xml:space="preserve"> This is the first release of this unit of competency in the PUA Public Safety Training Package.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12" w:name="O_1024441"/>
      <w:bookmarkEnd w:id="12"/>
      <w:r w:rsidRPr="007E5F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Evidence required to de</w:t>
            </w:r>
            <w:r w:rsidRPr="007E5F0C">
              <w:t xml:space="preserve">monstrate competence in this unit must be relevant to and satisfy all the requirements of the elements and performance criteria on at least one occasion and includes </w:t>
            </w:r>
          </w:p>
        </w:tc>
      </w:tr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ListBullet"/>
            </w:pPr>
            <w:r w:rsidRPr="007E5F0C">
              <w:t>analysing risks, implications and impacts of proposed treatments</w:t>
            </w:r>
          </w:p>
          <w:p w:rsidR="00000000" w:rsidRPr="007E5F0C" w:rsidP="007E5F0C">
            <w:pPr>
              <w:pStyle w:val="ListBullet"/>
            </w:pPr>
            <w:r w:rsidRPr="007E5F0C">
              <w:t>applying organisational policies and procedures including Work, Health and Safety (WHS)/Occupational Health and Safety (OHS) requirements</w:t>
            </w:r>
          </w:p>
          <w:p w:rsidR="00000000" w:rsidRPr="007E5F0C" w:rsidP="007E5F0C">
            <w:pPr>
              <w:pStyle w:val="ListBullet"/>
            </w:pPr>
            <w:r w:rsidRPr="007E5F0C">
              <w:t>clarifying community context</w:t>
            </w:r>
          </w:p>
          <w:p w:rsidR="00000000" w:rsidRPr="007E5F0C" w:rsidP="007E5F0C">
            <w:pPr>
              <w:pStyle w:val="ListBullet"/>
            </w:pPr>
            <w:r w:rsidRPr="007E5F0C">
              <w:t>communicating and consulting with stakeholders</w:t>
            </w:r>
          </w:p>
          <w:p w:rsidR="00000000" w:rsidRPr="007E5F0C" w:rsidP="007E5F0C">
            <w:pPr>
              <w:pStyle w:val="ListBullet"/>
            </w:pPr>
            <w:r w:rsidRPr="007E5F0C">
              <w:t xml:space="preserve">delivering constructive input and gaining </w:t>
            </w:r>
            <w:r w:rsidRPr="007E5F0C">
              <w:t xml:space="preserve">organisational and/or constituency support </w:t>
            </w:r>
          </w:p>
          <w:p w:rsidR="00000000" w:rsidRPr="007E5F0C" w:rsidP="007E5F0C">
            <w:pPr>
              <w:pStyle w:val="ListBullet"/>
            </w:pPr>
            <w:r w:rsidRPr="007E5F0C">
              <w:t>determining and applying emergency risk management methodology</w:t>
            </w:r>
          </w:p>
          <w:p w:rsidR="00000000" w:rsidRPr="007E5F0C" w:rsidP="007E5F0C">
            <w:pPr>
              <w:pStyle w:val="ListBullet"/>
            </w:pPr>
            <w:r w:rsidRPr="007E5F0C">
              <w:t>developing risk statements and treatment options</w:t>
            </w:r>
          </w:p>
          <w:p w:rsidR="00000000" w:rsidRPr="007E5F0C" w:rsidP="007E5F0C">
            <w:pPr>
              <w:pStyle w:val="ListBullet"/>
            </w:pPr>
            <w:r w:rsidRPr="007E5F0C">
              <w:t xml:space="preserve">informing organisation and constituency of emergency risk management process </w:t>
            </w:r>
          </w:p>
          <w:p w:rsidR="00000000" w:rsidRPr="007E5F0C" w:rsidP="007E5F0C">
            <w:pPr>
              <w:pStyle w:val="ListBullet"/>
            </w:pPr>
            <w:r w:rsidRPr="007E5F0C">
              <w:t>participating and cont</w:t>
            </w:r>
            <w:r w:rsidRPr="007E5F0C">
              <w:t xml:space="preserve">ributing to emergency risk management processes </w:t>
            </w:r>
          </w:p>
          <w:p w:rsidR="00000000" w:rsidRPr="007E5F0C" w:rsidP="007E5F0C">
            <w:pPr>
              <w:pStyle w:val="ListBullet"/>
            </w:pPr>
            <w:r w:rsidRPr="007E5F0C">
              <w:t xml:space="preserve">promoting emergency risk management ownership </w:t>
            </w:r>
          </w:p>
          <w:p w:rsidR="00000000" w:rsidRPr="007E5F0C" w:rsidP="007E5F0C">
            <w:pPr>
              <w:pStyle w:val="ListBullet"/>
            </w:pPr>
            <w:r w:rsidRPr="007E5F0C">
              <w:t xml:space="preserve">providing constructive information and advice </w:t>
            </w:r>
          </w:p>
          <w:p w:rsidR="00000000" w:rsidRPr="007E5F0C" w:rsidP="007E5F0C">
            <w:pPr>
              <w:pStyle w:val="ListBullet"/>
            </w:pPr>
            <w:r w:rsidRPr="007E5F0C">
              <w:t xml:space="preserve">resolving conflicts </w:t>
            </w:r>
          </w:p>
          <w:p w:rsidR="00000000" w:rsidRPr="007E5F0C" w:rsidP="007E5F0C">
            <w:pPr>
              <w:pStyle w:val="ListBullet"/>
            </w:pPr>
            <w:r w:rsidRPr="007E5F0C">
              <w:t>undertaking emergency risk management processes</w:t>
            </w:r>
          </w:p>
          <w:p w:rsidR="00000000" w:rsidRPr="007E5F0C" w:rsidP="007E5F0C">
            <w:pPr>
              <w:pStyle w:val="ListBullet"/>
            </w:pPr>
            <w:r w:rsidRPr="007E5F0C">
              <w:t>working cooperatively with stakeholders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13" w:name="O_1024442"/>
      <w:bookmarkEnd w:id="13"/>
      <w:r w:rsidRPr="007E5F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0C">
            <w:pPr>
              <w:pStyle w:val="BodyText"/>
              <w:rPr>
                <w:lang w:val="en-NZ"/>
              </w:rPr>
            </w:pPr>
            <w:r w:rsidRPr="007E5F0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ListBullet"/>
            </w:pPr>
            <w:r w:rsidRPr="007E5F0C">
              <w:t>concepts and principles of emergency ris</w:t>
            </w:r>
            <w:r w:rsidRPr="007E5F0C">
              <w:t>k management</w:t>
            </w:r>
          </w:p>
          <w:p w:rsidR="00000000" w:rsidRPr="007E5F0C" w:rsidP="007E5F0C">
            <w:pPr>
              <w:pStyle w:val="ListBullet"/>
            </w:pPr>
            <w:r w:rsidRPr="007E5F0C">
              <w:t>emergency risk management methodology</w:t>
            </w:r>
          </w:p>
          <w:p w:rsidR="00000000" w:rsidRPr="007E5F0C" w:rsidP="007E5F0C">
            <w:pPr>
              <w:pStyle w:val="ListBullet"/>
            </w:pPr>
            <w:r w:rsidRPr="007E5F0C">
              <w:t>legislative and regulatory requirements for emergency risk management</w:t>
            </w:r>
          </w:p>
          <w:p w:rsidR="00000000" w:rsidRPr="007E5F0C" w:rsidP="007E5F0C">
            <w:pPr>
              <w:pStyle w:val="ListBullet"/>
            </w:pPr>
            <w:r w:rsidRPr="007E5F0C">
              <w:t>organisational documentation, policies and procedures including</w:t>
            </w:r>
          </w:p>
          <w:p w:rsidR="00000000" w:rsidRPr="007E5F0C" w:rsidP="007E5F0C">
            <w:pPr>
              <w:pStyle w:val="ListBullet2"/>
            </w:pPr>
            <w:r w:rsidRPr="007E5F0C">
              <w:t>arrangements specified in emergency management, land use and environme</w:t>
            </w:r>
            <w:r w:rsidRPr="007E5F0C">
              <w:t>ntal or other legislation</w:t>
            </w:r>
          </w:p>
          <w:p w:rsidR="00000000" w:rsidRPr="007E5F0C" w:rsidP="007E5F0C">
            <w:pPr>
              <w:pStyle w:val="ListBullet2"/>
            </w:pPr>
            <w:r w:rsidRPr="007E5F0C">
              <w:t>disaster plans, agreements or memorandums of understanding</w:t>
            </w:r>
          </w:p>
          <w:p w:rsidR="00000000" w:rsidRPr="007E5F0C" w:rsidP="007E5F0C">
            <w:pPr>
              <w:pStyle w:val="ListBullet2"/>
            </w:pPr>
            <w:r w:rsidRPr="007E5F0C">
              <w:t>local planning regulations, development controls and environmental plans</w:t>
            </w:r>
          </w:p>
          <w:p w:rsidR="00000000" w:rsidRPr="007E5F0C" w:rsidP="007E5F0C">
            <w:pPr>
              <w:pStyle w:val="ListBullet2"/>
            </w:pPr>
            <w:r w:rsidRPr="007E5F0C">
              <w:t>meeting procedures</w:t>
            </w:r>
          </w:p>
          <w:p w:rsidR="00000000" w:rsidRPr="007E5F0C" w:rsidP="007E5F0C">
            <w:pPr>
              <w:pStyle w:val="ListBullet2"/>
            </w:pPr>
            <w:r w:rsidRPr="007E5F0C">
              <w:t>organisational or jurisdictional emergency risk management policies or procedures</w:t>
            </w:r>
          </w:p>
          <w:p w:rsidR="00000000" w:rsidRPr="007E5F0C" w:rsidP="007E5F0C">
            <w:pPr>
              <w:pStyle w:val="ListBullet2"/>
            </w:pPr>
            <w:r w:rsidRPr="007E5F0C">
              <w:t xml:space="preserve">Work, Health and Safety (WHS)/Occupational Health and Safety (OHS) requirements </w:t>
            </w:r>
          </w:p>
          <w:p w:rsidR="00000000" w:rsidRPr="007E5F0C" w:rsidP="007E5F0C">
            <w:pPr>
              <w:pStyle w:val="ListBullet"/>
            </w:pPr>
            <w:r w:rsidRPr="007E5F0C">
              <w:t>practical constraints including</w:t>
            </w:r>
          </w:p>
          <w:p w:rsidR="00000000" w:rsidRPr="007E5F0C" w:rsidP="007E5F0C">
            <w:pPr>
              <w:pStyle w:val="ListBullet2"/>
            </w:pPr>
            <w:r w:rsidRPr="007E5F0C">
              <w:t>arrangements, roles and responsibilities in existing emerge</w:t>
            </w:r>
            <w:r w:rsidRPr="007E5F0C">
              <w:t>ncy management plans</w:t>
            </w:r>
          </w:p>
          <w:p w:rsidR="00000000" w:rsidRPr="007E5F0C" w:rsidP="007E5F0C">
            <w:pPr>
              <w:pStyle w:val="ListBullet2"/>
            </w:pPr>
            <w:r w:rsidRPr="007E5F0C">
              <w:t>availability of technical expertise, technology and equipment</w:t>
            </w:r>
          </w:p>
          <w:p w:rsidR="00000000" w:rsidRPr="007E5F0C" w:rsidP="007E5F0C">
            <w:pPr>
              <w:pStyle w:val="ListBullet2"/>
            </w:pPr>
            <w:r w:rsidRPr="007E5F0C">
              <w:t>budgets, time, availability and capability of people</w:t>
            </w:r>
          </w:p>
          <w:p w:rsidR="00000000" w:rsidRPr="007E5F0C" w:rsidP="007E5F0C">
            <w:pPr>
              <w:pStyle w:val="ListBullet2"/>
            </w:pPr>
            <w:r w:rsidRPr="007E5F0C">
              <w:t>community knowledge of emergency risk management processes and benefits</w:t>
            </w:r>
          </w:p>
          <w:p w:rsidR="00000000" w:rsidRPr="007E5F0C" w:rsidP="007E5F0C">
            <w:pPr>
              <w:pStyle w:val="ListBullet2"/>
            </w:pPr>
            <w:r w:rsidRPr="007E5F0C">
              <w:t>existing hazards and risks</w:t>
            </w:r>
          </w:p>
          <w:p w:rsidR="00000000" w:rsidRPr="007E5F0C" w:rsidP="007E5F0C">
            <w:pPr>
              <w:pStyle w:val="ListBullet2"/>
            </w:pPr>
            <w:r w:rsidRPr="007E5F0C">
              <w:t>land use planning</w:t>
            </w:r>
          </w:p>
          <w:p w:rsidR="00000000" w:rsidRPr="007E5F0C" w:rsidP="007E5F0C">
            <w:pPr>
              <w:pStyle w:val="ListBullet2"/>
            </w:pPr>
            <w:r w:rsidRPr="007E5F0C">
              <w:t>legislation for emergency and environmental management, safety standards and local government regulations</w:t>
            </w:r>
          </w:p>
          <w:p w:rsidR="00000000" w:rsidRPr="007E5F0C" w:rsidP="007E5F0C">
            <w:pPr>
              <w:pStyle w:val="ListBullet2"/>
            </w:pPr>
            <w:r w:rsidRPr="007E5F0C">
              <w:t>political, social and cultural considerations</w:t>
            </w:r>
          </w:p>
          <w:p w:rsidR="00000000" w:rsidRPr="007E5F0C" w:rsidP="007E5F0C">
            <w:pPr>
              <w:pStyle w:val="ListBullet"/>
            </w:pPr>
            <w:r w:rsidRPr="007E5F0C">
              <w:t xml:space="preserve">principles of risk management and risk mitigation </w:t>
            </w:r>
          </w:p>
          <w:p w:rsidR="00000000" w:rsidRPr="007E5F0C" w:rsidP="007E5F0C">
            <w:pPr>
              <w:pStyle w:val="ListBullet"/>
            </w:pPr>
            <w:r w:rsidRPr="007E5F0C">
              <w:t>roles and responsibilities of key response and/or re</w:t>
            </w:r>
            <w:r w:rsidRPr="007E5F0C">
              <w:t>covery organisations</w:t>
            </w:r>
          </w:p>
          <w:p w:rsidR="00000000" w:rsidRPr="007E5F0C" w:rsidP="007E5F0C">
            <w:pPr>
              <w:pStyle w:val="ListBullet"/>
            </w:pPr>
            <w:r w:rsidRPr="007E5F0C">
              <w:t>sources of useful and credible information</w:t>
            </w:r>
          </w:p>
          <w:p w:rsidR="00000000" w:rsidRPr="007E5F0C" w:rsidP="007E5F0C">
            <w:pPr>
              <w:pStyle w:val="ListBullet"/>
            </w:pPr>
            <w:r w:rsidRPr="007E5F0C">
              <w:t>stakeholder group dynamics and strategies for resolving conflict</w:t>
            </w:r>
          </w:p>
          <w:p w:rsidR="00000000" w:rsidRPr="007E5F0C" w:rsidP="007E5F0C">
            <w:pPr>
              <w:pStyle w:val="ListBullet"/>
            </w:pPr>
            <w:r w:rsidRPr="007E5F0C">
              <w:t>treatment options</w:t>
            </w:r>
          </w:p>
          <w:p w:rsidR="00000000" w:rsidRPr="007E5F0C" w:rsidP="007E5F0C">
            <w:pPr>
              <w:pStyle w:val="ListBullet"/>
            </w:pPr>
            <w:r w:rsidRPr="007E5F0C">
              <w:t>types of stakeholders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14" w:name="O_1024443"/>
      <w:bookmarkEnd w:id="14"/>
      <w:r w:rsidRPr="007E5F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0C" w:rsidP="007E5F0C">
            <w:pPr>
              <w:pStyle w:val="BodyText"/>
            </w:pPr>
            <w:r w:rsidRPr="007E5F0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E5F0C" w:rsidP="007E5F0C">
            <w:pPr>
              <w:pStyle w:val="BodyText"/>
            </w:pPr>
            <w:r w:rsidRPr="007E5F0C">
              <w:t>As a minimum, assessment must satisfy applicable regulatory requi</w:t>
            </w:r>
            <w:r w:rsidRPr="007E5F0C">
              <w:t>rements, which include requirements in the Standards for Registered Training Organisations current at the time of assessment.</w:t>
            </w:r>
          </w:p>
          <w:p w:rsidR="00000000" w:rsidRPr="007E5F0C" w:rsidP="007E5F0C">
            <w:pPr>
              <w:pStyle w:val="BodyText"/>
            </w:pPr>
            <w:r w:rsidRPr="007E5F0C">
              <w:t>Assessment processes and techniques must be appropriate to the language, literacy and numeracy requirements of the work being perf</w:t>
            </w:r>
            <w:r w:rsidRPr="007E5F0C">
              <w:t>ormed and the needs of the candidate.</w:t>
            </w:r>
          </w:p>
          <w:p w:rsidR="00000000" w:rsidRPr="007E5F0C" w:rsidP="007E5F0C">
            <w:pPr>
              <w:pStyle w:val="BodyText"/>
            </w:pPr>
            <w:r w:rsidRPr="007E5F0C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7E5F0C">
              <w:t>nditions.</w:t>
            </w:r>
          </w:p>
          <w:p w:rsidR="00000000" w:rsidRPr="007E5F0C" w:rsidP="007E5F0C">
            <w:pPr>
              <w:pStyle w:val="BodyText"/>
            </w:pPr>
            <w:r w:rsidRPr="007E5F0C">
              <w:t>Competency should be demonstrated in a range of contexts throughout the life of a community emergency risk management project or during the components of a number of projects.</w:t>
            </w:r>
          </w:p>
          <w:p w:rsidR="00000000" w:rsidRPr="007E5F0C" w:rsidP="007E5F0C">
            <w:pPr>
              <w:pStyle w:val="BodyText"/>
            </w:pPr>
            <w:r w:rsidRPr="007E5F0C">
              <w:t>Resources for assessment must include access to</w:t>
            </w:r>
          </w:p>
          <w:p w:rsidR="00000000" w:rsidRPr="007E5F0C" w:rsidP="007E5F0C">
            <w:pPr>
              <w:pStyle w:val="ListBullet"/>
            </w:pPr>
            <w:r w:rsidRPr="007E5F0C">
              <w:t>a range of relevant e</w:t>
            </w:r>
            <w:r w:rsidRPr="007E5F0C">
              <w:t>xercises, case studies and/or simulations</w:t>
            </w:r>
          </w:p>
          <w:p w:rsidR="00000000" w:rsidRPr="007E5F0C" w:rsidP="007E5F0C">
            <w:pPr>
              <w:pStyle w:val="ListBullet"/>
            </w:pPr>
            <w:r w:rsidRPr="007E5F0C">
              <w:t>relevant and appropriate materials, equipment, tools and personal protective clothing and equipment currently used in industry including</w:t>
            </w:r>
          </w:p>
          <w:p w:rsidR="00000000" w:rsidRPr="007E5F0C" w:rsidP="007E5F0C">
            <w:pPr>
              <w:pStyle w:val="ListBullet2"/>
            </w:pPr>
            <w:r w:rsidRPr="007E5F0C">
              <w:t>a community and the opportunity to contribute to an actual emergency risk ma</w:t>
            </w:r>
            <w:r w:rsidRPr="007E5F0C">
              <w:t>nagement process and consideration of a range of community safety concerns</w:t>
            </w:r>
          </w:p>
          <w:p w:rsidR="00000000" w:rsidRPr="007E5F0C" w:rsidP="007E5F0C">
            <w:pPr>
              <w:pStyle w:val="ListBullet"/>
            </w:pPr>
            <w:r w:rsidRPr="007E5F0C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7E5F0C" w:rsidP="007E5F0C">
      <w:pPr>
        <w:pStyle w:val="NoPaddingFontSize1"/>
      </w:pPr>
    </w:p>
    <w:p w:rsidR="00000000" w:rsidRPr="007E5F0C" w:rsidP="007E5F0C">
      <w:pPr>
        <w:pStyle w:val="AllowPageBreak"/>
      </w:pPr>
    </w:p>
    <w:p w:rsidR="00000000" w:rsidRPr="007E5F0C" w:rsidP="007E5F0C">
      <w:pPr>
        <w:pStyle w:val="Heading1"/>
      </w:pPr>
      <w:bookmarkStart w:id="15" w:name="O_1024446"/>
      <w:bookmarkEnd w:id="15"/>
      <w:r w:rsidRPr="007E5F0C">
        <w:t>Links</w:t>
      </w:r>
    </w:p>
    <w:p w:rsidR="00000000" w:rsidRPr="007E5F0C" w:rsidP="00954E43">
      <w:pPr>
        <w:pStyle w:val="BodyText"/>
      </w:pPr>
      <w:r w:rsidRPr="007E5F0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5555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E5F0C" w:rsidP="007E5F0C"/>
    <w:sectPr w:rsidSect="007E5F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0C" w:rsidRPr="00954E43" w:rsidP="00954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43" w:rsidP="007E5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4E43" w:rsidP="007E5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54E43" w:rsidP="007E5F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0C" w:rsidP="007E5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4E43">
      <w:t>Approved</w:t>
    </w:r>
    <w:r w:rsidR="00954E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4E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4E43">
      <w:rPr>
        <w:noProof/>
      </w:rPr>
      <w:t>5</w:t>
    </w:r>
    <w:r>
      <w:rPr>
        <w:noProof/>
      </w:rPr>
      <w:fldChar w:fldCharType="end"/>
    </w:r>
  </w:p>
  <w:p w:rsidR="007E5F0C" w:rsidP="007E5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4E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4E43">
      <w:t>Public Skills Australia</w:t>
    </w:r>
    <w:r w:rsidR="00954E43">
      <w:fldChar w:fldCharType="end"/>
    </w:r>
  </w:p>
  <w:p w:rsidR="007E5F0C" w:rsidP="007E5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F0C" w:rsidRPr="00954E43" w:rsidP="00954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E43" w:rsidRPr="002D2AF8" w:rsidP="007E5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PUAEMR008 Contribute to an emergency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4E43" w:rsidP="007E5F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0C" w:rsidRPr="002D2AF8" w:rsidP="007E5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4E43">
      <w:t>PUAEMR008 Contribute to an emergency risk management process</w:t>
    </w:r>
    <w:r w:rsidR="00954E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4E43">
      <w:rPr>
        <w:noProof/>
      </w:rPr>
      <w:t>2 March 2025</w:t>
    </w:r>
    <w:r>
      <w:fldChar w:fldCharType="end"/>
    </w:r>
  </w:p>
  <w:p w:rsidR="007E5F0C" w:rsidP="007E5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6693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889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B43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F0C"/>
  </w:style>
  <w:style w:type="character" w:customStyle="1" w:styleId="Heading1Char">
    <w:name w:val="Heading 1 Char"/>
    <w:basedOn w:val="DefaultParagraphFont"/>
    <w:link w:val="Heading1"/>
    <w:rsid w:val="007E5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F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F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F0C"/>
    <w:rPr>
      <w:b/>
      <w:spacing w:val="0"/>
    </w:rPr>
  </w:style>
  <w:style w:type="paragraph" w:styleId="ListBullet2">
    <w:name w:val="List Bullet 2"/>
    <w:basedOn w:val="List2"/>
    <w:rsid w:val="007E5F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5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F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F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F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F0C"/>
    <w:rPr>
      <w:i/>
    </w:rPr>
  </w:style>
  <w:style w:type="paragraph" w:styleId="Caption">
    <w:name w:val="caption"/>
    <w:basedOn w:val="BodyText"/>
    <w:next w:val="Normal"/>
    <w:qFormat/>
    <w:rsid w:val="007E5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F0C"/>
  </w:style>
  <w:style w:type="paragraph" w:styleId="TableofFigures">
    <w:name w:val="table of figures"/>
    <w:basedOn w:val="Normal"/>
    <w:next w:val="Normal"/>
    <w:semiHidden/>
    <w:rsid w:val="007E5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F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F0C"/>
    <w:rPr>
      <w:rFonts w:ascii="Wingdings" w:hAnsi="Wingdings"/>
    </w:rPr>
  </w:style>
  <w:style w:type="paragraph" w:customStyle="1" w:styleId="TableHeading">
    <w:name w:val="Table Heading"/>
    <w:basedOn w:val="HeadingBase"/>
    <w:rsid w:val="007E5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F0C"/>
    <w:rPr>
      <w:color w:val="0033CC"/>
      <w:u w:val="none"/>
    </w:rPr>
  </w:style>
  <w:style w:type="paragraph" w:customStyle="1" w:styleId="BodyTextRight">
    <w:name w:val="Body Text Right"/>
    <w:basedOn w:val="BodyText"/>
    <w:rsid w:val="007E5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F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F0C"/>
    <w:rPr>
      <w:sz w:val="32"/>
    </w:rPr>
  </w:style>
  <w:style w:type="paragraph" w:customStyle="1" w:styleId="HeadingProcedure">
    <w:name w:val="Heading Procedure"/>
    <w:basedOn w:val="HeadingBase"/>
    <w:next w:val="Normal"/>
    <w:rsid w:val="007E5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F0C"/>
    <w:pPr>
      <w:spacing w:before="60" w:after="60"/>
    </w:pPr>
  </w:style>
  <w:style w:type="paragraph" w:styleId="ListContinue">
    <w:name w:val="List Continue"/>
    <w:basedOn w:val="List"/>
    <w:rsid w:val="007E5F0C"/>
    <w:pPr>
      <w:ind w:firstLine="0"/>
    </w:pPr>
  </w:style>
  <w:style w:type="paragraph" w:customStyle="1" w:styleId="ListNote">
    <w:name w:val="List Note"/>
    <w:basedOn w:val="List"/>
    <w:rsid w:val="007E5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F0C"/>
    <w:rPr>
      <w:rFonts w:ascii="Courier New" w:hAnsi="Courier New"/>
    </w:rPr>
  </w:style>
  <w:style w:type="paragraph" w:customStyle="1" w:styleId="NoteBullet">
    <w:name w:val="Note Bullet"/>
    <w:basedOn w:val="Note"/>
    <w:rsid w:val="007E5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F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F0C"/>
    <w:rPr>
      <w:b/>
      <w:smallCaps/>
    </w:rPr>
  </w:style>
  <w:style w:type="paragraph" w:customStyle="1" w:styleId="TableListNumber">
    <w:name w:val="Table List Number"/>
    <w:basedOn w:val="ListNumber"/>
    <w:rsid w:val="007E5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F0C"/>
    <w:pPr>
      <w:numPr>
        <w:numId w:val="9"/>
      </w:numPr>
    </w:pPr>
  </w:style>
  <w:style w:type="paragraph" w:customStyle="1" w:styleId="ListAlpha2">
    <w:name w:val="List Alpha 2"/>
    <w:basedOn w:val="List2"/>
    <w:rsid w:val="007E5F0C"/>
    <w:pPr>
      <w:numPr>
        <w:numId w:val="8"/>
      </w:numPr>
    </w:pPr>
  </w:style>
  <w:style w:type="paragraph" w:styleId="List2">
    <w:name w:val="List 2"/>
    <w:basedOn w:val="BodyText"/>
    <w:rsid w:val="007E5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F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F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F0C"/>
    <w:pPr>
      <w:numPr>
        <w:numId w:val="4"/>
      </w:numPr>
    </w:pPr>
  </w:style>
  <w:style w:type="paragraph" w:styleId="ListContinue2">
    <w:name w:val="List Continue 2"/>
    <w:basedOn w:val="List2"/>
    <w:rsid w:val="007E5F0C"/>
    <w:pPr>
      <w:ind w:firstLine="0"/>
    </w:pPr>
  </w:style>
  <w:style w:type="paragraph" w:styleId="ListContinue3">
    <w:name w:val="List Continue 3"/>
    <w:basedOn w:val="List3"/>
    <w:rsid w:val="007E5F0C"/>
    <w:pPr>
      <w:ind w:left="1021" w:firstLine="0"/>
    </w:pPr>
  </w:style>
  <w:style w:type="paragraph" w:styleId="ListContinue4">
    <w:name w:val="List Continue 4"/>
    <w:basedOn w:val="List4"/>
    <w:rsid w:val="007E5F0C"/>
    <w:pPr>
      <w:ind w:firstLine="0"/>
    </w:pPr>
  </w:style>
  <w:style w:type="paragraph" w:styleId="ListContinue5">
    <w:name w:val="List Continue 5"/>
    <w:basedOn w:val="List5"/>
    <w:rsid w:val="007E5F0C"/>
    <w:pPr>
      <w:ind w:firstLine="0"/>
    </w:pPr>
  </w:style>
  <w:style w:type="paragraph" w:styleId="ListNumber3">
    <w:name w:val="List Number 3"/>
    <w:basedOn w:val="List3"/>
    <w:rsid w:val="007E5F0C"/>
    <w:pPr>
      <w:numPr>
        <w:numId w:val="5"/>
      </w:numPr>
    </w:pPr>
  </w:style>
  <w:style w:type="paragraph" w:styleId="ListNumber4">
    <w:name w:val="List Number 4"/>
    <w:basedOn w:val="List4"/>
    <w:rsid w:val="007E5F0C"/>
    <w:pPr>
      <w:numPr>
        <w:numId w:val="6"/>
      </w:numPr>
    </w:pPr>
  </w:style>
  <w:style w:type="paragraph" w:styleId="ListNumber5">
    <w:name w:val="List Number 5"/>
    <w:basedOn w:val="List5"/>
    <w:rsid w:val="007E5F0C"/>
    <w:pPr>
      <w:numPr>
        <w:numId w:val="7"/>
      </w:numPr>
    </w:pPr>
  </w:style>
  <w:style w:type="paragraph" w:styleId="BlockText">
    <w:name w:val="Block Text"/>
    <w:basedOn w:val="Normal"/>
    <w:rsid w:val="007E5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F0C"/>
    <w:rPr>
      <w:sz w:val="16"/>
      <w:vertAlign w:val="superscript"/>
    </w:rPr>
  </w:style>
  <w:style w:type="character" w:customStyle="1" w:styleId="Symbols">
    <w:name w:val="Symbols"/>
    <w:basedOn w:val="DefaultParagraphFont"/>
    <w:rsid w:val="007E5F0C"/>
    <w:rPr>
      <w:rFonts w:ascii="Symbol" w:hAnsi="Symbol"/>
    </w:rPr>
  </w:style>
  <w:style w:type="character" w:customStyle="1" w:styleId="MenuOptions">
    <w:name w:val="Menu Options"/>
    <w:basedOn w:val="DefaultParagraphFont"/>
    <w:rsid w:val="007E5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F0C"/>
    <w:rPr>
      <w:b/>
    </w:rPr>
  </w:style>
  <w:style w:type="character" w:customStyle="1" w:styleId="Underlined">
    <w:name w:val="Underlined"/>
    <w:basedOn w:val="DefaultParagraphFont"/>
    <w:rsid w:val="007E5F0C"/>
    <w:rPr>
      <w:u w:val="single"/>
    </w:rPr>
  </w:style>
  <w:style w:type="paragraph" w:customStyle="1" w:styleId="TableBodyTextRight">
    <w:name w:val="Table Body Text Right"/>
    <w:basedOn w:val="TableBodyText"/>
    <w:rsid w:val="007E5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F0C"/>
    <w:rPr>
      <w:sz w:val="18"/>
    </w:rPr>
  </w:style>
  <w:style w:type="paragraph" w:customStyle="1" w:styleId="BodySmallRight">
    <w:name w:val="Body Small Right"/>
    <w:basedOn w:val="BodyTextRight"/>
    <w:rsid w:val="007E5F0C"/>
    <w:rPr>
      <w:sz w:val="18"/>
      <w:szCs w:val="18"/>
    </w:rPr>
  </w:style>
  <w:style w:type="paragraph" w:customStyle="1" w:styleId="MarginEdition">
    <w:name w:val="Margin Edition"/>
    <w:basedOn w:val="MarginNote"/>
    <w:rsid w:val="007E5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F0C"/>
    <w:rPr>
      <w:sz w:val="2"/>
      <w:szCs w:val="2"/>
    </w:rPr>
  </w:style>
  <w:style w:type="character" w:customStyle="1" w:styleId="Small">
    <w:name w:val="Small"/>
    <w:basedOn w:val="DefaultParagraphFont"/>
    <w:rsid w:val="007E5F0C"/>
    <w:rPr>
      <w:sz w:val="16"/>
    </w:rPr>
  </w:style>
  <w:style w:type="paragraph" w:customStyle="1" w:styleId="WideTable">
    <w:name w:val="Wide Table"/>
    <w:basedOn w:val="Normal"/>
    <w:rsid w:val="007E5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F0C"/>
  </w:style>
  <w:style w:type="paragraph" w:styleId="Quote">
    <w:name w:val="Quote"/>
    <w:basedOn w:val="Heading1"/>
    <w:link w:val="QuoteChar"/>
    <w:qFormat/>
    <w:rsid w:val="007E5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F0C"/>
    <w:pPr>
      <w:pageBreakBefore/>
    </w:pPr>
  </w:style>
  <w:style w:type="paragraph" w:customStyle="1" w:styleId="Border">
    <w:name w:val="Border"/>
    <w:basedOn w:val="Normal"/>
    <w:qFormat/>
    <w:rsid w:val="007E5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F0C"/>
    <w:rPr>
      <w:u w:val="single"/>
    </w:rPr>
  </w:style>
  <w:style w:type="character" w:customStyle="1" w:styleId="BoldandItalics">
    <w:name w:val="Bold and Italics"/>
    <w:qFormat/>
    <w:rsid w:val="007E5F0C"/>
    <w:rPr>
      <w:b/>
      <w:i/>
      <w:u w:val="none"/>
    </w:rPr>
  </w:style>
  <w:style w:type="paragraph" w:styleId="BalloonText">
    <w:name w:val="Balloon Text"/>
    <w:basedOn w:val="Normal"/>
    <w:link w:val="BalloonTextChar"/>
    <w:rsid w:val="007E5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F0C"/>
    <w:pPr>
      <w:spacing w:before="0" w:after="0"/>
    </w:pPr>
  </w:style>
  <w:style w:type="paragraph" w:customStyle="1" w:styleId="BodyTextBold">
    <w:name w:val="Body Text Bold"/>
    <w:basedOn w:val="BodyText"/>
    <w:qFormat/>
    <w:rsid w:val="007E5F0C"/>
    <w:rPr>
      <w:b/>
    </w:rPr>
  </w:style>
  <w:style w:type="character" w:styleId="Hyperlink">
    <w:name w:val="Hyperlink"/>
    <w:basedOn w:val="DefaultParagraphFont"/>
    <w:uiPriority w:val="99"/>
    <w:unhideWhenUsed/>
    <w:rsid w:val="00954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1398</Words>
  <Characters>9484</Characters>
  <Application>Microsoft Office Word</Application>
  <DocSecurity>0</DocSecurity>
  <Lines>364</Lines>
  <Paragraphs>194</Paragraphs>
  <ScaleCrop>false</ScaleCrop>
  <Company>Author-it Software Corporation Ltd.</Company>
  <LinksUpToDate>false</LinksUpToDate>
  <CharactersWithSpaces>10688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PUAEMR008 Contribute to an emergency risk management process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