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0AE" w:rsidP="008E30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PUAEMR006 Assess operational risk</w:t>
      </w:r>
      <w:r>
        <w:fldChar w:fldCharType="end"/>
      </w:r>
    </w:p>
    <w:p w:rsidR="008E30AE" w:rsidP="008E30AE">
      <w:pPr>
        <w:pStyle w:val="Version"/>
        <w:sectPr w:rsidSect="000A29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293C" w:rsidP="000A293C">
      <w:pPr>
        <w:pStyle w:val="SuperHeading"/>
      </w:pPr>
      <w:r w:rsidRPr="000A293C">
        <w:t>PUAEMR006 Assess operational risk</w:t>
      </w:r>
    </w:p>
    <w:p w:rsidR="00000000" w:rsidRPr="000A293C" w:rsidP="000A293C">
      <w:pPr>
        <w:pStyle w:val="Heading1"/>
      </w:pPr>
      <w:bookmarkStart w:id="1" w:name="O_1024392"/>
      <w:bookmarkEnd w:id="1"/>
      <w:r w:rsidRPr="000A29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 w:rsidP="000A293C">
            <w:pPr>
              <w:pStyle w:val="BodyText"/>
            </w:pPr>
            <w:r w:rsidRPr="000A293C">
              <w:rPr>
                <w:rStyle w:val="SpecialBold"/>
              </w:rPr>
              <w:t>Release 1.</w:t>
            </w:r>
            <w:r w:rsidRPr="000A293C">
              <w:t xml:space="preserve"> This is the first release of this unit of competency in the PUA Public Safety Training Package.</w:t>
            </w:r>
          </w:p>
        </w:tc>
      </w:tr>
    </w:tbl>
    <w:p w:rsidR="00000000" w:rsidRPr="000A293C" w:rsidP="000A293C">
      <w:pPr>
        <w:pStyle w:val="NoPaddingFontSize1"/>
      </w:pPr>
    </w:p>
    <w:p w:rsidR="00000000" w:rsidRPr="000A293C" w:rsidP="000A293C">
      <w:pPr>
        <w:pStyle w:val="AllowPageBreak"/>
      </w:pPr>
    </w:p>
    <w:p w:rsidR="00000000" w:rsidRPr="000A293C" w:rsidP="000A293C">
      <w:pPr>
        <w:pStyle w:val="Heading1"/>
      </w:pPr>
      <w:bookmarkStart w:id="2" w:name="O_1024393"/>
      <w:bookmarkEnd w:id="2"/>
      <w:r w:rsidRPr="000A293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 w:rsidP="000A293C">
            <w:pPr>
              <w:pStyle w:val="BodyText"/>
            </w:pPr>
            <w:r w:rsidRPr="000A293C">
              <w:t>This unit involves the skills and knowledge required to identify and assess risk in an operatio</w:t>
            </w:r>
            <w:r w:rsidRPr="000A293C">
              <w:t>nal environment. It includes establishing the risk context by identify, analysing and evaluating risk.</w:t>
            </w:r>
          </w:p>
          <w:p w:rsidR="00000000" w:rsidRPr="000A293C" w:rsidP="000A293C">
            <w:pPr>
              <w:pStyle w:val="BodyText"/>
            </w:pPr>
            <w:r w:rsidRPr="000A293C">
              <w:t>The unit of competency applies to personnel at a relatively simple and routine level, in which they are using established organisational policy and proce</w:t>
            </w:r>
            <w:r w:rsidRPr="000A293C">
              <w:t>dures. Personnel would normally have local supervisory or management responsibility and apply appropriate solutions to a variety of predicable problems.</w:t>
            </w:r>
          </w:p>
          <w:p w:rsidR="00000000" w:rsidRPr="000A293C" w:rsidP="000A293C">
            <w:pPr>
              <w:pStyle w:val="BodyText"/>
            </w:pPr>
            <w:r w:rsidRPr="000A293C">
              <w:t>No licensing, legislative or certification requirements apply to this unit at the time of publication.</w:t>
            </w:r>
          </w:p>
        </w:tc>
      </w:tr>
    </w:tbl>
    <w:p w:rsidR="00000000" w:rsidRPr="000A293C" w:rsidP="000A293C">
      <w:pPr>
        <w:pStyle w:val="NoPaddingFontSize1"/>
      </w:pPr>
    </w:p>
    <w:p w:rsidR="00000000" w:rsidRPr="000A293C" w:rsidP="000A293C">
      <w:pPr>
        <w:pStyle w:val="AllowPageBreak"/>
      </w:pPr>
    </w:p>
    <w:p w:rsidR="00000000" w:rsidRPr="000A293C" w:rsidP="000A293C">
      <w:pPr>
        <w:pStyle w:val="Heading1"/>
      </w:pPr>
      <w:bookmarkStart w:id="3" w:name="O_1024394"/>
      <w:bookmarkEnd w:id="3"/>
      <w:r w:rsidRPr="000A293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 w:rsidP="000A293C">
            <w:pPr>
              <w:pStyle w:val="BodyText"/>
            </w:pPr>
            <w:r w:rsidRPr="000A293C">
              <w:t>Not applicable.</w:t>
            </w:r>
          </w:p>
        </w:tc>
      </w:tr>
    </w:tbl>
    <w:p w:rsidR="00000000" w:rsidRPr="000A293C" w:rsidP="000A293C">
      <w:pPr>
        <w:pStyle w:val="NoPaddingFontSize1"/>
      </w:pPr>
    </w:p>
    <w:p w:rsidR="00000000" w:rsidRPr="000A293C" w:rsidP="000A293C">
      <w:pPr>
        <w:pStyle w:val="AllowPageBreak"/>
      </w:pPr>
    </w:p>
    <w:p w:rsidR="00000000" w:rsidRPr="000A293C" w:rsidP="000A293C">
      <w:pPr>
        <w:pStyle w:val="Heading1"/>
      </w:pPr>
      <w:bookmarkStart w:id="4" w:name="O_1024395"/>
      <w:bookmarkEnd w:id="4"/>
      <w:r w:rsidRPr="000A293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 w:rsidP="000A293C">
            <w:pPr>
              <w:pStyle w:val="BodyText"/>
            </w:pPr>
            <w:r w:rsidRPr="000A293C">
              <w:t>Emergency Management</w:t>
            </w:r>
          </w:p>
        </w:tc>
      </w:tr>
    </w:tbl>
    <w:p w:rsidR="00000000" w:rsidRPr="000A293C" w:rsidP="000A293C">
      <w:pPr>
        <w:pStyle w:val="NoPaddingFontSize1"/>
      </w:pPr>
    </w:p>
    <w:p w:rsidR="00000000" w:rsidRPr="000A293C" w:rsidP="000A293C">
      <w:pPr>
        <w:pStyle w:val="AllowPageBreak"/>
      </w:pPr>
    </w:p>
    <w:p w:rsidR="00000000" w:rsidRPr="000A293C" w:rsidP="000A293C">
      <w:pPr>
        <w:pStyle w:val="Heading1"/>
      </w:pPr>
      <w:bookmarkStart w:id="5" w:name="O_1024396"/>
      <w:bookmarkEnd w:id="5"/>
      <w:r w:rsidRPr="000A293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 w:rsidP="000A293C">
            <w:pPr>
              <w:pStyle w:val="BodyText"/>
            </w:pPr>
            <w:r w:rsidRPr="000A293C">
              <w:t>Not applicable</w:t>
            </w:r>
          </w:p>
        </w:tc>
      </w:tr>
    </w:tbl>
    <w:p w:rsidR="00000000" w:rsidRPr="000A293C" w:rsidP="000A293C">
      <w:pPr>
        <w:pStyle w:val="NoPaddingFontSize1"/>
      </w:pPr>
    </w:p>
    <w:p w:rsidR="00000000" w:rsidRPr="000A293C" w:rsidP="000A293C">
      <w:pPr>
        <w:pStyle w:val="AllowPageBreak"/>
      </w:pPr>
    </w:p>
    <w:p w:rsidR="00000000" w:rsidRPr="000A293C" w:rsidP="000A293C">
      <w:pPr>
        <w:pStyle w:val="Heading1"/>
      </w:pPr>
      <w:bookmarkStart w:id="6" w:name="O_1024397"/>
      <w:bookmarkEnd w:id="6"/>
      <w:r w:rsidRPr="000A293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A29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 w:rsidP="000A293C">
            <w:pPr>
              <w:pStyle w:val="BodyText"/>
            </w:pPr>
            <w:r w:rsidRPr="000A293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rPr>
                <w:rStyle w:val="SpecialBold"/>
              </w:rPr>
              <w:t>PERFORMANCE CRITERIA</w:t>
            </w:r>
          </w:p>
        </w:tc>
      </w:tr>
      <w:tr w:rsidTr="000A29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t>Performance criteria describe the performance needed to demonstrate achievement of the element.</w:t>
            </w:r>
          </w:p>
        </w:tc>
      </w:tr>
      <w:tr w:rsidTr="000A29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 w:rsidP="000A293C">
            <w:pPr>
              <w:pStyle w:val="BodyText"/>
            </w:pPr>
            <w:r w:rsidRPr="000A293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 w:rsidP="000A293C">
            <w:pPr>
              <w:pStyle w:val="BodyText"/>
            </w:pPr>
            <w:r w:rsidRPr="000A293C">
              <w:rPr>
                <w:rStyle w:val="SpecialBold"/>
              </w:rPr>
              <w:t>Establish</w:t>
            </w:r>
            <w:r w:rsidRPr="000A293C">
              <w:t xml:space="preserve"> </w:t>
            </w:r>
            <w:r w:rsidRPr="000A293C">
              <w:rPr>
                <w:rStyle w:val="SpecialBold"/>
              </w:rPr>
              <w:t>the risk context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t xml:space="preserve">Risk assessment objectives and scope are identified using organisational risk management procedures, industry standards and guidelines </w:t>
            </w:r>
          </w:p>
        </w:tc>
      </w:tr>
      <w:tr w:rsidTr="000A29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t xml:space="preserve">Risk criteria are identified and confirmed, in accordance with organisational policies, procedures or with </w:t>
            </w:r>
            <w:r w:rsidRPr="000A293C">
              <w:t>superv</w:t>
            </w:r>
            <w:r w:rsidRPr="000A293C">
              <w:t>isor</w:t>
            </w:r>
            <w:r>
              <w:t>’</w:t>
            </w:r>
            <w:r w:rsidRPr="000A293C">
              <w:t>s guidance</w:t>
            </w:r>
          </w:p>
        </w:tc>
      </w:tr>
      <w:tr w:rsidTr="000A29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t>Structure for planning required to conduct a risk assessment is determined</w:t>
            </w:r>
          </w:p>
        </w:tc>
      </w:tr>
      <w:tr w:rsidTr="000A29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t>Stakeholder aims and objectives are identified and recorded, in accordance with organisational procedures and guidelines</w:t>
            </w:r>
          </w:p>
        </w:tc>
      </w:tr>
      <w:tr w:rsidTr="000A29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 w:rsidP="000A293C">
            <w:pPr>
              <w:pStyle w:val="BodyText"/>
            </w:pPr>
            <w:r w:rsidRPr="000A293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 w:rsidP="000A293C">
            <w:pPr>
              <w:pStyle w:val="BodyText"/>
            </w:pPr>
            <w:r w:rsidRPr="000A293C">
              <w:rPr>
                <w:rStyle w:val="SpecialBold"/>
              </w:rPr>
              <w:t>Identify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t>Sources of risk which affect the situation or objectives are identified and recorded, in consultation with stakeholders</w:t>
            </w:r>
          </w:p>
        </w:tc>
      </w:tr>
      <w:tr w:rsidTr="000A29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t>Risks are identified using a specified methodology or tool, in accordance with organisational procedures and guidelines</w:t>
            </w:r>
          </w:p>
        </w:tc>
      </w:tr>
      <w:tr w:rsidTr="000A29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t>Ri</w:t>
            </w:r>
            <w:r w:rsidRPr="000A293C">
              <w:t>sk statements describing consequences are generated, in accordance with organisational procedures</w:t>
            </w:r>
          </w:p>
        </w:tc>
      </w:tr>
      <w:tr w:rsidTr="000A29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 w:rsidP="000A293C">
            <w:pPr>
              <w:pStyle w:val="BodyText"/>
            </w:pPr>
            <w:r w:rsidRPr="000A293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 w:rsidP="000A293C">
            <w:pPr>
              <w:pStyle w:val="BodyText"/>
            </w:pPr>
            <w:r w:rsidRPr="000A293C">
              <w:rPr>
                <w:rStyle w:val="SpecialBold"/>
              </w:rPr>
              <w:t>Analyse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t>Risks are analysed by estimating the likelihood of consequences, in accordance with organisational procedures</w:t>
            </w:r>
          </w:p>
        </w:tc>
      </w:tr>
      <w:tr w:rsidTr="000A29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t>Levels of risk are determined, documented and communicated, in accordance with organisational policies and procedures</w:t>
            </w:r>
          </w:p>
        </w:tc>
      </w:tr>
      <w:tr w:rsidTr="000A29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 w:rsidP="000A293C">
            <w:pPr>
              <w:pStyle w:val="BodyText"/>
            </w:pPr>
            <w:r w:rsidRPr="000A293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 w:rsidP="000A293C">
            <w:pPr>
              <w:pStyle w:val="BodyText"/>
            </w:pPr>
            <w:r w:rsidRPr="000A293C">
              <w:rPr>
                <w:rStyle w:val="SpecialBold"/>
              </w:rPr>
              <w:t>Evaluate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t>Levels of risks are prioritised for control, in consultation with stakeholders</w:t>
            </w:r>
            <w:r w:rsidRPr="000A293C">
              <w:rPr>
                <w:rStyle w:val="SpecialBold"/>
              </w:rPr>
              <w:t xml:space="preserve"> </w:t>
            </w:r>
          </w:p>
        </w:tc>
      </w:tr>
      <w:tr w:rsidTr="000A29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t>Risk assessment rating is comp</w:t>
            </w:r>
            <w:r w:rsidRPr="000A293C">
              <w:t>ared to established risk evaluation criteria and is communicated to the supervisor</w:t>
            </w:r>
          </w:p>
        </w:tc>
      </w:tr>
      <w:tr w:rsidTr="000A29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93C">
            <w:pPr>
              <w:pStyle w:val="BodyText"/>
              <w:rPr>
                <w:lang w:val="en-NZ"/>
              </w:rPr>
            </w:pPr>
            <w:r w:rsidRPr="000A293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 w:rsidP="000A293C">
            <w:pPr>
              <w:pStyle w:val="BodyText"/>
            </w:pPr>
            <w:r w:rsidRPr="000A293C">
              <w:t>Risks are monitored and reviewed until appropriate treatment measures have been implemented</w:t>
            </w:r>
          </w:p>
        </w:tc>
      </w:tr>
    </w:tbl>
    <w:p w:rsidR="00000000" w:rsidRPr="000A293C" w:rsidP="000A293C">
      <w:pPr>
        <w:pStyle w:val="NoPaddingFontSize1"/>
      </w:pPr>
    </w:p>
    <w:p w:rsidR="00000000" w:rsidRPr="000A293C" w:rsidP="000A293C">
      <w:pPr>
        <w:pStyle w:val="AllowPageBreak"/>
      </w:pPr>
    </w:p>
    <w:p w:rsidR="00000000" w:rsidRPr="000A293C" w:rsidP="000A293C">
      <w:pPr>
        <w:pStyle w:val="Heading1"/>
      </w:pPr>
      <w:bookmarkStart w:id="7" w:name="O_1024398"/>
      <w:bookmarkEnd w:id="7"/>
      <w:r w:rsidRPr="000A293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 w:rsidP="000A293C">
            <w:pPr>
              <w:pStyle w:val="BodyText"/>
            </w:pPr>
            <w:r w:rsidRPr="000A293C">
              <w:t>Foundation skills essential to performance are explicit in the performance criteria of this unit of competency.</w:t>
            </w:r>
          </w:p>
        </w:tc>
      </w:tr>
    </w:tbl>
    <w:p w:rsidR="00000000" w:rsidRPr="000A293C" w:rsidP="000A293C">
      <w:pPr>
        <w:pStyle w:val="NoPaddingFontSize1"/>
      </w:pPr>
    </w:p>
    <w:p w:rsidR="00000000" w:rsidRPr="000A293C" w:rsidP="000A293C">
      <w:pPr>
        <w:pStyle w:val="AllowPageBreak"/>
      </w:pPr>
    </w:p>
    <w:p w:rsidR="00000000" w:rsidRPr="000A293C" w:rsidP="000A293C">
      <w:pPr>
        <w:pStyle w:val="Heading1"/>
      </w:pPr>
      <w:bookmarkStart w:id="8" w:name="O_1024399"/>
      <w:bookmarkEnd w:id="8"/>
      <w:r w:rsidRPr="000A293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 w:rsidP="000A293C">
            <w:pPr>
              <w:pStyle w:val="BodyText"/>
            </w:pPr>
            <w:r w:rsidRPr="000A293C">
              <w:t>Range is restricted to essential operating conditions and any other variables essential to the work env</w:t>
            </w:r>
            <w:r w:rsidRPr="000A293C">
              <w:t>ironment.</w:t>
            </w:r>
          </w:p>
          <w:p w:rsidR="00000000" w:rsidRPr="000A293C" w:rsidP="000A293C">
            <w:pPr>
              <w:pStyle w:val="BodyText"/>
            </w:pPr>
            <w:r w:rsidRPr="000A293C">
              <w:t>Non-essential conditions may be found in the Companion Volume Implementation Guide.</w:t>
            </w:r>
          </w:p>
        </w:tc>
      </w:tr>
    </w:tbl>
    <w:p w:rsidR="00000000" w:rsidRPr="000A293C" w:rsidP="000A293C">
      <w:pPr>
        <w:pStyle w:val="NoPaddingFontSize1"/>
      </w:pPr>
    </w:p>
    <w:p w:rsidR="00000000" w:rsidRPr="000A293C" w:rsidP="000A293C">
      <w:pPr>
        <w:pStyle w:val="AllowPageBreak"/>
      </w:pPr>
    </w:p>
    <w:p w:rsidR="00000000" w:rsidRPr="000A293C" w:rsidP="000A293C">
      <w:pPr>
        <w:pStyle w:val="Heading1"/>
      </w:pPr>
      <w:bookmarkStart w:id="9" w:name="O_1024400"/>
      <w:bookmarkEnd w:id="9"/>
      <w:r w:rsidRPr="000A293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93C" w:rsidP="000A293C">
            <w:pPr>
              <w:pStyle w:val="BodyText"/>
            </w:pPr>
            <w:r w:rsidRPr="000A293C">
              <w:t>This unit replaces and is equivalent to PUAEMR027 Assess operational risk.</w:t>
            </w:r>
          </w:p>
        </w:tc>
      </w:tr>
    </w:tbl>
    <w:p w:rsidR="00000000" w:rsidRPr="000A293C" w:rsidP="000A293C">
      <w:pPr>
        <w:pStyle w:val="NoPaddingFontSize1"/>
      </w:pPr>
    </w:p>
    <w:p w:rsidR="00000000" w:rsidRPr="000A293C" w:rsidP="000A293C">
      <w:pPr>
        <w:pStyle w:val="AllowPageBreak"/>
      </w:pPr>
    </w:p>
    <w:p w:rsidR="00000000" w:rsidRPr="000A293C" w:rsidP="000A293C">
      <w:pPr>
        <w:pStyle w:val="Heading1"/>
      </w:pPr>
      <w:bookmarkStart w:id="10" w:name="O_1024407"/>
      <w:bookmarkEnd w:id="10"/>
      <w:r w:rsidRPr="000A293C">
        <w:t>Links</w:t>
      </w:r>
    </w:p>
    <w:p w:rsidR="00000000" w:rsidRPr="000A293C" w:rsidP="008E30AE">
      <w:pPr>
        <w:pStyle w:val="BodyText"/>
      </w:pPr>
      <w:r w:rsidRPr="000A293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339B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A293C" w:rsidP="000A293C"/>
    <w:sectPr w:rsidSect="000A29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9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93C" w:rsidRPr="008E30AE" w:rsidP="008E30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9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AE" w:rsidP="000A2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30AE" w:rsidP="000A2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E30AE" w:rsidP="000A29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9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93C" w:rsidRPr="008E30AE" w:rsidP="008E30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9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AE" w:rsidRPr="002D2AF8" w:rsidP="000A2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PUAEMR006 Assess operational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E30AE" w:rsidP="000A29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9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9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9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9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9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9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9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9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9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9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9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93C"/>
  </w:style>
  <w:style w:type="character" w:customStyle="1" w:styleId="Heading1Char">
    <w:name w:val="Heading 1 Char"/>
    <w:basedOn w:val="DefaultParagraphFont"/>
    <w:link w:val="Heading1"/>
    <w:rsid w:val="000A29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9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93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A293C"/>
    <w:rPr>
      <w:b/>
      <w:spacing w:val="0"/>
    </w:rPr>
  </w:style>
  <w:style w:type="paragraph" w:customStyle="1" w:styleId="SuperHeading">
    <w:name w:val="SuperHeading"/>
    <w:basedOn w:val="Normal"/>
    <w:rsid w:val="000A29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9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29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9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9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9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9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9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9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9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9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9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9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9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9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9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9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29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29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29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9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9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29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29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9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9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9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9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9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9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9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9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293C"/>
    <w:rPr>
      <w:i/>
    </w:rPr>
  </w:style>
  <w:style w:type="paragraph" w:styleId="Caption">
    <w:name w:val="caption"/>
    <w:basedOn w:val="BodyText"/>
    <w:next w:val="Normal"/>
    <w:qFormat/>
    <w:rsid w:val="000A29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9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9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93C"/>
  </w:style>
  <w:style w:type="paragraph" w:styleId="TableofFigures">
    <w:name w:val="table of figures"/>
    <w:basedOn w:val="Normal"/>
    <w:next w:val="Normal"/>
    <w:semiHidden/>
    <w:rsid w:val="000A29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9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293C"/>
    <w:rPr>
      <w:rFonts w:ascii="Wingdings" w:hAnsi="Wingdings"/>
    </w:rPr>
  </w:style>
  <w:style w:type="paragraph" w:customStyle="1" w:styleId="TableHeading">
    <w:name w:val="Table Heading"/>
    <w:basedOn w:val="HeadingBase"/>
    <w:rsid w:val="000A29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93C"/>
    <w:rPr>
      <w:color w:val="0033CC"/>
      <w:u w:val="none"/>
    </w:rPr>
  </w:style>
  <w:style w:type="paragraph" w:customStyle="1" w:styleId="BodyTextRight">
    <w:name w:val="Body Text Right"/>
    <w:basedOn w:val="BodyText"/>
    <w:rsid w:val="000A29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9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9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9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9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9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93C"/>
    <w:rPr>
      <w:sz w:val="32"/>
    </w:rPr>
  </w:style>
  <w:style w:type="paragraph" w:customStyle="1" w:styleId="HeadingProcedure">
    <w:name w:val="Heading Procedure"/>
    <w:basedOn w:val="HeadingBase"/>
    <w:next w:val="Normal"/>
    <w:rsid w:val="000A29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93C"/>
    <w:pPr>
      <w:spacing w:before="60" w:after="60"/>
    </w:pPr>
  </w:style>
  <w:style w:type="paragraph" w:styleId="ListContinue">
    <w:name w:val="List Continue"/>
    <w:basedOn w:val="List"/>
    <w:rsid w:val="000A293C"/>
    <w:pPr>
      <w:ind w:firstLine="0"/>
    </w:pPr>
  </w:style>
  <w:style w:type="paragraph" w:customStyle="1" w:styleId="ListNote">
    <w:name w:val="List Note"/>
    <w:basedOn w:val="List"/>
    <w:rsid w:val="000A29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9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9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93C"/>
    <w:rPr>
      <w:rFonts w:ascii="Courier New" w:hAnsi="Courier New"/>
    </w:rPr>
  </w:style>
  <w:style w:type="paragraph" w:customStyle="1" w:styleId="NoteBullet">
    <w:name w:val="Note Bullet"/>
    <w:basedOn w:val="Note"/>
    <w:rsid w:val="000A29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9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9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9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9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29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9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93C"/>
    <w:rPr>
      <w:b/>
      <w:smallCaps/>
    </w:rPr>
  </w:style>
  <w:style w:type="paragraph" w:customStyle="1" w:styleId="TableListNumber">
    <w:name w:val="Table List Number"/>
    <w:basedOn w:val="ListNumber"/>
    <w:rsid w:val="000A29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9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93C"/>
    <w:pPr>
      <w:numPr>
        <w:numId w:val="7"/>
      </w:numPr>
    </w:pPr>
  </w:style>
  <w:style w:type="paragraph" w:customStyle="1" w:styleId="ListAlpha2">
    <w:name w:val="List Alpha 2"/>
    <w:basedOn w:val="List2"/>
    <w:rsid w:val="000A293C"/>
    <w:pPr>
      <w:numPr>
        <w:numId w:val="6"/>
      </w:numPr>
    </w:pPr>
  </w:style>
  <w:style w:type="paragraph" w:styleId="List2">
    <w:name w:val="List 2"/>
    <w:basedOn w:val="BodyText"/>
    <w:rsid w:val="000A29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9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9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9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9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9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293C"/>
    <w:pPr>
      <w:numPr>
        <w:numId w:val="2"/>
      </w:numPr>
    </w:pPr>
  </w:style>
  <w:style w:type="paragraph" w:styleId="ListContinue2">
    <w:name w:val="List Continue 2"/>
    <w:basedOn w:val="List2"/>
    <w:rsid w:val="000A293C"/>
    <w:pPr>
      <w:ind w:firstLine="0"/>
    </w:pPr>
  </w:style>
  <w:style w:type="paragraph" w:styleId="ListContinue3">
    <w:name w:val="List Continue 3"/>
    <w:basedOn w:val="List3"/>
    <w:rsid w:val="000A293C"/>
    <w:pPr>
      <w:ind w:left="1021" w:firstLine="0"/>
    </w:pPr>
  </w:style>
  <w:style w:type="paragraph" w:styleId="ListContinue4">
    <w:name w:val="List Continue 4"/>
    <w:basedOn w:val="List4"/>
    <w:rsid w:val="000A293C"/>
    <w:pPr>
      <w:ind w:firstLine="0"/>
    </w:pPr>
  </w:style>
  <w:style w:type="paragraph" w:styleId="ListContinue5">
    <w:name w:val="List Continue 5"/>
    <w:basedOn w:val="List5"/>
    <w:rsid w:val="000A293C"/>
    <w:pPr>
      <w:ind w:firstLine="0"/>
    </w:pPr>
  </w:style>
  <w:style w:type="paragraph" w:styleId="ListNumber3">
    <w:name w:val="List Number 3"/>
    <w:basedOn w:val="List3"/>
    <w:rsid w:val="000A293C"/>
    <w:pPr>
      <w:numPr>
        <w:numId w:val="3"/>
      </w:numPr>
    </w:pPr>
  </w:style>
  <w:style w:type="paragraph" w:styleId="ListNumber4">
    <w:name w:val="List Number 4"/>
    <w:basedOn w:val="List4"/>
    <w:rsid w:val="000A293C"/>
    <w:pPr>
      <w:numPr>
        <w:numId w:val="4"/>
      </w:numPr>
    </w:pPr>
  </w:style>
  <w:style w:type="paragraph" w:styleId="ListNumber5">
    <w:name w:val="List Number 5"/>
    <w:basedOn w:val="List5"/>
    <w:rsid w:val="000A293C"/>
    <w:pPr>
      <w:numPr>
        <w:numId w:val="5"/>
      </w:numPr>
    </w:pPr>
  </w:style>
  <w:style w:type="paragraph" w:styleId="BlockText">
    <w:name w:val="Block Text"/>
    <w:basedOn w:val="Normal"/>
    <w:rsid w:val="000A29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9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93C"/>
    <w:rPr>
      <w:sz w:val="16"/>
      <w:vertAlign w:val="superscript"/>
    </w:rPr>
  </w:style>
  <w:style w:type="character" w:customStyle="1" w:styleId="Symbols">
    <w:name w:val="Symbols"/>
    <w:basedOn w:val="DefaultParagraphFont"/>
    <w:rsid w:val="000A293C"/>
    <w:rPr>
      <w:rFonts w:ascii="Symbol" w:hAnsi="Symbol"/>
    </w:rPr>
  </w:style>
  <w:style w:type="character" w:customStyle="1" w:styleId="MenuOptions">
    <w:name w:val="Menu Options"/>
    <w:basedOn w:val="DefaultParagraphFont"/>
    <w:rsid w:val="000A29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93C"/>
    <w:rPr>
      <w:b/>
    </w:rPr>
  </w:style>
  <w:style w:type="character" w:customStyle="1" w:styleId="Underlined">
    <w:name w:val="Underlined"/>
    <w:basedOn w:val="DefaultParagraphFont"/>
    <w:rsid w:val="000A293C"/>
    <w:rPr>
      <w:u w:val="single"/>
    </w:rPr>
  </w:style>
  <w:style w:type="paragraph" w:customStyle="1" w:styleId="TableBodyTextRight">
    <w:name w:val="Table Body Text Right"/>
    <w:basedOn w:val="TableBodyText"/>
    <w:rsid w:val="000A29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93C"/>
    <w:rPr>
      <w:sz w:val="18"/>
    </w:rPr>
  </w:style>
  <w:style w:type="paragraph" w:customStyle="1" w:styleId="BodySmallRight">
    <w:name w:val="Body Small Right"/>
    <w:basedOn w:val="BodyTextRight"/>
    <w:rsid w:val="000A293C"/>
    <w:rPr>
      <w:sz w:val="18"/>
      <w:szCs w:val="18"/>
    </w:rPr>
  </w:style>
  <w:style w:type="paragraph" w:customStyle="1" w:styleId="MarginEdition">
    <w:name w:val="Margin Edition"/>
    <w:basedOn w:val="MarginNote"/>
    <w:rsid w:val="000A29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93C"/>
    <w:rPr>
      <w:sz w:val="2"/>
      <w:szCs w:val="2"/>
    </w:rPr>
  </w:style>
  <w:style w:type="character" w:customStyle="1" w:styleId="Small">
    <w:name w:val="Small"/>
    <w:basedOn w:val="DefaultParagraphFont"/>
    <w:rsid w:val="000A293C"/>
    <w:rPr>
      <w:sz w:val="16"/>
    </w:rPr>
  </w:style>
  <w:style w:type="paragraph" w:customStyle="1" w:styleId="WideTable">
    <w:name w:val="Wide Table"/>
    <w:basedOn w:val="Normal"/>
    <w:rsid w:val="000A29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93C"/>
  </w:style>
  <w:style w:type="paragraph" w:styleId="Quote">
    <w:name w:val="Quote"/>
    <w:basedOn w:val="Heading1"/>
    <w:link w:val="QuoteChar"/>
    <w:qFormat/>
    <w:rsid w:val="000A29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9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93C"/>
    <w:pPr>
      <w:pageBreakBefore/>
    </w:pPr>
  </w:style>
  <w:style w:type="paragraph" w:customStyle="1" w:styleId="Border">
    <w:name w:val="Border"/>
    <w:basedOn w:val="Normal"/>
    <w:qFormat/>
    <w:rsid w:val="000A29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9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9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9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9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9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9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9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9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93C"/>
    <w:rPr>
      <w:u w:val="single"/>
    </w:rPr>
  </w:style>
  <w:style w:type="character" w:customStyle="1" w:styleId="BoldandItalics">
    <w:name w:val="Bold and Italics"/>
    <w:qFormat/>
    <w:rsid w:val="000A293C"/>
    <w:rPr>
      <w:b/>
      <w:i/>
      <w:u w:val="none"/>
    </w:rPr>
  </w:style>
  <w:style w:type="paragraph" w:styleId="BalloonText">
    <w:name w:val="Balloon Text"/>
    <w:basedOn w:val="Normal"/>
    <w:link w:val="BalloonTextChar"/>
    <w:rsid w:val="000A2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9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9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9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9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9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93C"/>
    <w:pPr>
      <w:spacing w:before="0" w:after="0"/>
    </w:pPr>
  </w:style>
  <w:style w:type="paragraph" w:customStyle="1" w:styleId="BodyTextBold">
    <w:name w:val="Body Text Bold"/>
    <w:basedOn w:val="BodyText"/>
    <w:qFormat/>
    <w:rsid w:val="000A293C"/>
    <w:rPr>
      <w:b/>
    </w:rPr>
  </w:style>
  <w:style w:type="character" w:styleId="Hyperlink">
    <w:name w:val="Hyperlink"/>
    <w:basedOn w:val="DefaultParagraphFont"/>
    <w:uiPriority w:val="99"/>
    <w:unhideWhenUsed/>
    <w:rsid w:val="008E30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2955</Characters>
  <Application>Microsoft Office Word</Application>
  <DocSecurity>0</DocSecurity>
  <Lines>140</Lines>
  <Paragraphs>74</Paragraphs>
  <ScaleCrop>false</ScaleCrop>
  <Company>Author-it Software Corporation Ltd.</Company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PUAEMR006 Assess operational risk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