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56E0" w:rsidP="006256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PUAEMR003 Develop treatment options for emergency risk</w:t>
      </w:r>
      <w:r>
        <w:fldChar w:fldCharType="end"/>
      </w:r>
    </w:p>
    <w:p w:rsidR="006256E0" w:rsidP="006256E0">
      <w:pPr>
        <w:pStyle w:val="Version"/>
        <w:sectPr w:rsidSect="001A2B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A2B2D" w:rsidP="001A2B2D">
      <w:pPr>
        <w:pStyle w:val="SuperHeading"/>
      </w:pPr>
      <w:r w:rsidRPr="001A2B2D">
        <w:t>PUAEMR003 Develop treatment options for emergency risk</w:t>
      </w:r>
    </w:p>
    <w:p w:rsidR="00000000" w:rsidRPr="001A2B2D" w:rsidP="001A2B2D">
      <w:pPr>
        <w:pStyle w:val="Heading1"/>
      </w:pPr>
      <w:bookmarkStart w:id="1" w:name="O_1166369"/>
      <w:bookmarkEnd w:id="1"/>
      <w:r w:rsidRPr="001A2B2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2B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B2D" w:rsidP="001A2B2D">
            <w:pPr>
              <w:pStyle w:val="BodyText"/>
            </w:pPr>
            <w:r w:rsidRPr="001A2B2D">
              <w:rPr>
                <w:rStyle w:val="SpecialBold"/>
              </w:rPr>
              <w:t>Release 2.0</w:t>
            </w:r>
            <w:r w:rsidRPr="001A2B2D">
              <w:t xml:space="preserve">  This is the second release of this unit of competency in the PUA Public Safety Training Package. </w:t>
            </w:r>
          </w:p>
          <w:p w:rsidR="00000000" w:rsidRPr="001A2B2D" w:rsidP="001A2B2D">
            <w:pPr>
              <w:pStyle w:val="BodyText"/>
            </w:pPr>
            <w:r w:rsidRPr="001A2B2D">
              <w:t>Previously deleted unit reinstated.</w:t>
            </w:r>
          </w:p>
          <w:p w:rsidR="00000000" w:rsidRPr="001A2B2D" w:rsidP="001A2B2D">
            <w:pPr>
              <w:pStyle w:val="BodyText"/>
            </w:pPr>
            <w:r w:rsidRPr="001A2B2D">
              <w:rPr>
                <w:rStyle w:val="SpecialBold"/>
              </w:rPr>
              <w:t>Release 1.0</w:t>
            </w:r>
            <w:r w:rsidRPr="001A2B2D">
              <w:t xml:space="preserve"> This is the first release of this unit of competency in th</w:t>
            </w:r>
            <w:r w:rsidRPr="001A2B2D">
              <w:t>e PUA Public Safety Training Package.</w:t>
            </w:r>
          </w:p>
        </w:tc>
      </w:tr>
    </w:tbl>
    <w:p w:rsidR="00000000" w:rsidRPr="001A2B2D" w:rsidP="001A2B2D">
      <w:pPr>
        <w:pStyle w:val="NoPaddingFontSize1"/>
      </w:pPr>
    </w:p>
    <w:p w:rsidR="00000000" w:rsidRPr="001A2B2D" w:rsidP="001A2B2D">
      <w:pPr>
        <w:pStyle w:val="AllowPageBreak"/>
      </w:pPr>
    </w:p>
    <w:p w:rsidR="00000000" w:rsidRPr="001A2B2D" w:rsidP="001A2B2D">
      <w:pPr>
        <w:pStyle w:val="Heading1"/>
      </w:pPr>
      <w:bookmarkStart w:id="2" w:name="O_1166368"/>
      <w:bookmarkEnd w:id="2"/>
      <w:r w:rsidRPr="001A2B2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2B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B2D" w:rsidP="001A2B2D">
            <w:pPr>
              <w:pStyle w:val="BodyText"/>
            </w:pPr>
            <w:r w:rsidRPr="001A2B2D">
              <w:t>This unit of competency involves the skills and knowledge required to determine a range of treatment options which can be used to reduce emergency risk. It includes identifying, evaluat</w:t>
            </w:r>
            <w:r w:rsidRPr="001A2B2D">
              <w:t>ing and recommending treatment options and developing treatment plans.</w:t>
            </w:r>
          </w:p>
          <w:p w:rsidR="00000000" w:rsidRPr="001A2B2D" w:rsidP="001A2B2D">
            <w:pPr>
              <w:pStyle w:val="BodyText"/>
            </w:pPr>
            <w:r w:rsidRPr="001A2B2D">
              <w:t>The unit applies to personnel who are part of a working group developing treatment options during an emergency risk assessment with a community group.</w:t>
            </w:r>
          </w:p>
          <w:p w:rsidR="00000000" w:rsidRPr="001A2B2D" w:rsidP="001A2B2D">
            <w:pPr>
              <w:pStyle w:val="BodyText"/>
            </w:pPr>
            <w:r w:rsidRPr="001A2B2D">
              <w:t>No licensing, legislative or certi</w:t>
            </w:r>
            <w:r w:rsidRPr="001A2B2D">
              <w:t>fication requirements apply to this unit at the time of publication.</w:t>
            </w:r>
          </w:p>
        </w:tc>
      </w:tr>
    </w:tbl>
    <w:p w:rsidR="00000000" w:rsidRPr="001A2B2D" w:rsidP="001A2B2D">
      <w:pPr>
        <w:pStyle w:val="NoPaddingFontSize1"/>
      </w:pPr>
    </w:p>
    <w:p w:rsidR="00000000" w:rsidRPr="001A2B2D" w:rsidP="001A2B2D">
      <w:pPr>
        <w:pStyle w:val="AllowPageBreak"/>
      </w:pPr>
    </w:p>
    <w:p w:rsidR="00000000" w:rsidRPr="001A2B2D" w:rsidP="001A2B2D">
      <w:pPr>
        <w:pStyle w:val="Heading1"/>
      </w:pPr>
      <w:bookmarkStart w:id="3" w:name="O_1166367"/>
      <w:bookmarkEnd w:id="3"/>
      <w:r w:rsidRPr="001A2B2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2B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B2D" w:rsidP="001A2B2D">
            <w:pPr>
              <w:pStyle w:val="BodyText"/>
            </w:pPr>
            <w:r w:rsidRPr="001A2B2D">
              <w:t>Not applicable.</w:t>
            </w:r>
          </w:p>
        </w:tc>
      </w:tr>
    </w:tbl>
    <w:p w:rsidR="00000000" w:rsidRPr="001A2B2D" w:rsidP="001A2B2D">
      <w:pPr>
        <w:pStyle w:val="NoPaddingFontSize1"/>
      </w:pPr>
    </w:p>
    <w:p w:rsidR="00000000" w:rsidRPr="001A2B2D" w:rsidP="001A2B2D">
      <w:pPr>
        <w:pStyle w:val="AllowPageBreak"/>
      </w:pPr>
    </w:p>
    <w:p w:rsidR="00000000" w:rsidRPr="001A2B2D" w:rsidP="001A2B2D">
      <w:pPr>
        <w:pStyle w:val="Heading1"/>
      </w:pPr>
      <w:bookmarkStart w:id="4" w:name="O_1166366"/>
      <w:bookmarkEnd w:id="4"/>
      <w:r w:rsidRPr="001A2B2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2B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B2D" w:rsidP="001A2B2D">
            <w:pPr>
              <w:pStyle w:val="BodyText"/>
            </w:pPr>
            <w:r w:rsidRPr="001A2B2D">
              <w:t>Emergency Management</w:t>
            </w:r>
          </w:p>
        </w:tc>
      </w:tr>
    </w:tbl>
    <w:p w:rsidR="00000000" w:rsidRPr="001A2B2D" w:rsidP="001A2B2D">
      <w:pPr>
        <w:pStyle w:val="NoPaddingFontSize1"/>
      </w:pPr>
    </w:p>
    <w:p w:rsidR="00000000" w:rsidRPr="001A2B2D" w:rsidP="001A2B2D">
      <w:pPr>
        <w:pStyle w:val="AllowPageBreak"/>
      </w:pPr>
    </w:p>
    <w:p w:rsidR="00000000" w:rsidRPr="001A2B2D" w:rsidP="001A2B2D">
      <w:pPr>
        <w:pStyle w:val="Heading1"/>
      </w:pPr>
      <w:bookmarkStart w:id="5" w:name="O_1166365"/>
      <w:bookmarkEnd w:id="5"/>
      <w:r w:rsidRPr="001A2B2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2B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B2D" w:rsidP="001A2B2D">
            <w:pPr>
              <w:pStyle w:val="BodyText"/>
            </w:pPr>
            <w:r w:rsidRPr="001A2B2D">
              <w:t>Not applicable</w:t>
            </w:r>
          </w:p>
        </w:tc>
      </w:tr>
    </w:tbl>
    <w:p w:rsidR="00000000" w:rsidRPr="001A2B2D" w:rsidP="001A2B2D">
      <w:pPr>
        <w:pStyle w:val="NoPaddingFontSize1"/>
      </w:pPr>
    </w:p>
    <w:p w:rsidR="00000000" w:rsidRPr="001A2B2D" w:rsidP="001A2B2D">
      <w:pPr>
        <w:pStyle w:val="AllowPageBreak"/>
      </w:pPr>
    </w:p>
    <w:p w:rsidR="00000000" w:rsidRPr="001A2B2D" w:rsidP="001A2B2D">
      <w:pPr>
        <w:pStyle w:val="Heading1"/>
      </w:pPr>
      <w:bookmarkStart w:id="6" w:name="O_1166364"/>
      <w:bookmarkEnd w:id="6"/>
      <w:r w:rsidRPr="001A2B2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A2B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B2D" w:rsidP="001A2B2D">
            <w:pPr>
              <w:pStyle w:val="BodyText"/>
            </w:pPr>
            <w:r w:rsidRPr="001A2B2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2D">
            <w:pPr>
              <w:pStyle w:val="BodyText"/>
              <w:rPr>
                <w:lang w:val="en-NZ"/>
              </w:rPr>
            </w:pPr>
            <w:r w:rsidRPr="001A2B2D">
              <w:rPr>
                <w:rStyle w:val="SpecialBold"/>
              </w:rPr>
              <w:t>PERFORMANCE CRITERIA</w:t>
            </w:r>
          </w:p>
        </w:tc>
      </w:tr>
      <w:tr w:rsidTr="001A2B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2D">
            <w:pPr>
              <w:pStyle w:val="BodyText"/>
              <w:rPr>
                <w:lang w:val="en-NZ"/>
              </w:rPr>
            </w:pPr>
            <w:r w:rsidRPr="001A2B2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2D">
            <w:pPr>
              <w:pStyle w:val="BodyText"/>
              <w:rPr>
                <w:lang w:val="en-NZ"/>
              </w:rPr>
            </w:pPr>
            <w:r w:rsidRPr="001A2B2D">
              <w:t>Performance criteria describe the performance needed to demonstrate achievement of the element.</w:t>
            </w:r>
          </w:p>
        </w:tc>
      </w:tr>
      <w:tr w:rsidTr="001A2B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B2D" w:rsidP="001A2B2D">
            <w:pPr>
              <w:pStyle w:val="BodyText"/>
            </w:pPr>
            <w:r w:rsidRPr="001A2B2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B2D" w:rsidP="001A2B2D">
            <w:pPr>
              <w:pStyle w:val="BodyText"/>
            </w:pPr>
            <w:r w:rsidRPr="001A2B2D">
              <w:rPr>
                <w:rStyle w:val="SpecialBold"/>
              </w:rPr>
              <w:t>Identify treatment options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2D">
            <w:pPr>
              <w:pStyle w:val="BodyText"/>
              <w:rPr>
                <w:lang w:val="en-NZ"/>
              </w:rPr>
            </w:pPr>
            <w:r w:rsidRPr="001A2B2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2D">
            <w:pPr>
              <w:pStyle w:val="BodyText"/>
              <w:rPr>
                <w:lang w:val="en-NZ"/>
              </w:rPr>
            </w:pPr>
            <w:r w:rsidRPr="001A2B2D">
              <w:t xml:space="preserve">Emergency risk treatment objectives are identified, in consultation with stakeholders </w:t>
            </w:r>
          </w:p>
        </w:tc>
      </w:tr>
      <w:tr w:rsidTr="001A2B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B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2D">
            <w:pPr>
              <w:pStyle w:val="BodyText"/>
              <w:rPr>
                <w:lang w:val="en-NZ"/>
              </w:rPr>
            </w:pPr>
            <w:r w:rsidRPr="001A2B2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2D">
            <w:pPr>
              <w:pStyle w:val="BodyText"/>
              <w:rPr>
                <w:lang w:val="en-NZ"/>
              </w:rPr>
            </w:pPr>
            <w:r w:rsidRPr="001A2B2D">
              <w:t>Existing emergency risk treatment options are identified through research and stakeholder consultation</w:t>
            </w:r>
          </w:p>
        </w:tc>
      </w:tr>
      <w:tr w:rsidTr="001A2B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B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2D">
            <w:pPr>
              <w:pStyle w:val="BodyText"/>
              <w:rPr>
                <w:lang w:val="en-NZ"/>
              </w:rPr>
            </w:pPr>
            <w:r w:rsidRPr="001A2B2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2D">
            <w:pPr>
              <w:pStyle w:val="BodyText"/>
              <w:rPr>
                <w:lang w:val="en-NZ"/>
              </w:rPr>
            </w:pPr>
            <w:r w:rsidRPr="001A2B2D">
              <w:t>Range of potential emergency risk treatment options are identified through research and stakeholder consultation</w:t>
            </w:r>
          </w:p>
        </w:tc>
      </w:tr>
      <w:tr w:rsidTr="001A2B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B2D" w:rsidP="001A2B2D">
            <w:pPr>
              <w:pStyle w:val="BodyText"/>
            </w:pPr>
            <w:r w:rsidRPr="001A2B2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B2D" w:rsidP="001A2B2D">
            <w:pPr>
              <w:pStyle w:val="BodyText"/>
            </w:pPr>
            <w:r w:rsidRPr="001A2B2D">
              <w:rPr>
                <w:rStyle w:val="SpecialBold"/>
              </w:rPr>
              <w:t>Evaluate treatment</w:t>
            </w:r>
            <w:r w:rsidRPr="001A2B2D">
              <w:t xml:space="preserve"> </w:t>
            </w:r>
            <w:r w:rsidRPr="001A2B2D">
              <w:rPr>
                <w:rStyle w:val="SpecialBold"/>
              </w:rPr>
              <w:t>options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2D">
            <w:pPr>
              <w:pStyle w:val="BodyText"/>
              <w:rPr>
                <w:lang w:val="en-NZ"/>
              </w:rPr>
            </w:pPr>
            <w:r w:rsidRPr="001A2B2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2D">
            <w:pPr>
              <w:pStyle w:val="BodyText"/>
              <w:rPr>
                <w:lang w:val="en-NZ"/>
              </w:rPr>
            </w:pPr>
            <w:r w:rsidRPr="001A2B2D">
              <w:t xml:space="preserve">Evaluation methods are agreed with stakeholders, in accordance with organisational procedures </w:t>
            </w:r>
          </w:p>
        </w:tc>
      </w:tr>
      <w:tr w:rsidTr="001A2B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B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2D">
            <w:pPr>
              <w:pStyle w:val="BodyText"/>
              <w:rPr>
                <w:lang w:val="en-NZ"/>
              </w:rPr>
            </w:pPr>
            <w:r w:rsidRPr="001A2B2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2D">
            <w:pPr>
              <w:pStyle w:val="BodyText"/>
              <w:rPr>
                <w:lang w:val="en-NZ"/>
              </w:rPr>
            </w:pPr>
            <w:r w:rsidRPr="001A2B2D">
              <w:t>Feedbac</w:t>
            </w:r>
            <w:r w:rsidRPr="001A2B2D">
              <w:t>k on likely implications and impact of emergency risk treatment options is obtained from stakeholders</w:t>
            </w:r>
          </w:p>
        </w:tc>
      </w:tr>
      <w:tr w:rsidTr="001A2B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B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2D">
            <w:pPr>
              <w:pStyle w:val="BodyText"/>
              <w:rPr>
                <w:lang w:val="en-NZ"/>
              </w:rPr>
            </w:pPr>
            <w:r w:rsidRPr="001A2B2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2D">
            <w:pPr>
              <w:pStyle w:val="BodyText"/>
              <w:rPr>
                <w:lang w:val="en-NZ"/>
              </w:rPr>
            </w:pPr>
            <w:r w:rsidRPr="001A2B2D">
              <w:t>Residual emergency risks are assessed for tolerability or acceptance</w:t>
            </w:r>
          </w:p>
        </w:tc>
      </w:tr>
      <w:tr w:rsidTr="001A2B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B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2D">
            <w:pPr>
              <w:pStyle w:val="BodyText"/>
              <w:rPr>
                <w:lang w:val="en-NZ"/>
              </w:rPr>
            </w:pPr>
            <w:r w:rsidRPr="001A2B2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2D">
            <w:pPr>
              <w:pStyle w:val="BodyText"/>
              <w:rPr>
                <w:lang w:val="en-NZ"/>
              </w:rPr>
            </w:pPr>
            <w:r w:rsidRPr="001A2B2D">
              <w:t>Cost benefit analysis is completed for each risk treatment option, in a</w:t>
            </w:r>
            <w:r w:rsidRPr="001A2B2D">
              <w:t xml:space="preserve">ccordance with organisational procedures </w:t>
            </w:r>
          </w:p>
        </w:tc>
      </w:tr>
      <w:tr w:rsidTr="001A2B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B2D" w:rsidP="001A2B2D">
            <w:pPr>
              <w:pStyle w:val="BodyText"/>
            </w:pPr>
            <w:r w:rsidRPr="001A2B2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B2D" w:rsidP="001A2B2D">
            <w:pPr>
              <w:pStyle w:val="BodyText"/>
            </w:pPr>
            <w:r w:rsidRPr="001A2B2D">
              <w:rPr>
                <w:rStyle w:val="SpecialBold"/>
              </w:rPr>
              <w:t>Recommend treatment options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2D">
            <w:pPr>
              <w:pStyle w:val="BodyText"/>
              <w:rPr>
                <w:lang w:val="en-NZ"/>
              </w:rPr>
            </w:pPr>
            <w:r w:rsidRPr="001A2B2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2D">
            <w:pPr>
              <w:pStyle w:val="BodyText"/>
              <w:rPr>
                <w:lang w:val="en-NZ"/>
              </w:rPr>
            </w:pPr>
            <w:r w:rsidRPr="001A2B2D">
              <w:t>Recommended treatment options including implementation responsibilities are agreed, in consultation with stakeholders</w:t>
            </w:r>
          </w:p>
        </w:tc>
      </w:tr>
      <w:tr w:rsidTr="001A2B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B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2D">
            <w:pPr>
              <w:pStyle w:val="BodyText"/>
              <w:rPr>
                <w:lang w:val="en-NZ"/>
              </w:rPr>
            </w:pPr>
            <w:r w:rsidRPr="001A2B2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2D">
            <w:pPr>
              <w:pStyle w:val="BodyText"/>
              <w:rPr>
                <w:lang w:val="en-NZ"/>
              </w:rPr>
            </w:pPr>
            <w:r w:rsidRPr="001A2B2D">
              <w:t>Recommended treatment options and residual emergency risks are documented, in accordance with organisational policies and procedures</w:t>
            </w:r>
          </w:p>
        </w:tc>
      </w:tr>
      <w:tr w:rsidTr="001A2B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B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2D">
            <w:pPr>
              <w:pStyle w:val="BodyText"/>
              <w:rPr>
                <w:lang w:val="en-NZ"/>
              </w:rPr>
            </w:pPr>
            <w:r w:rsidRPr="001A2B2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2D">
            <w:pPr>
              <w:pStyle w:val="BodyText"/>
              <w:rPr>
                <w:lang w:val="en-NZ"/>
              </w:rPr>
            </w:pPr>
            <w:r w:rsidRPr="001A2B2D">
              <w:t>Recommended treatment options are submitted for approval, in accordance with organisational policies and procedures</w:t>
            </w:r>
          </w:p>
        </w:tc>
      </w:tr>
      <w:tr w:rsidTr="001A2B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B2D" w:rsidP="001A2B2D">
            <w:pPr>
              <w:pStyle w:val="BodyText"/>
            </w:pPr>
            <w:r w:rsidRPr="001A2B2D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B2D" w:rsidP="001A2B2D">
            <w:pPr>
              <w:pStyle w:val="BodyText"/>
            </w:pPr>
            <w:r w:rsidRPr="001A2B2D">
              <w:rPr>
                <w:rStyle w:val="SpecialBold"/>
              </w:rPr>
              <w:t>Develop treatment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2D">
            <w:pPr>
              <w:pStyle w:val="BodyText"/>
              <w:rPr>
                <w:lang w:val="en-NZ"/>
              </w:rPr>
            </w:pPr>
            <w:r w:rsidRPr="001A2B2D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2D">
            <w:pPr>
              <w:pStyle w:val="BodyText"/>
              <w:rPr>
                <w:lang w:val="en-NZ"/>
              </w:rPr>
            </w:pPr>
            <w:r w:rsidRPr="001A2B2D">
              <w:t>Treatment options, resources, milestones, budgets, reporting procedures, roles and responsibilities for implementation are identified</w:t>
            </w:r>
          </w:p>
        </w:tc>
      </w:tr>
      <w:tr w:rsidTr="001A2B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B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2D">
            <w:pPr>
              <w:pStyle w:val="BodyText"/>
              <w:rPr>
                <w:lang w:val="en-NZ"/>
              </w:rPr>
            </w:pPr>
            <w:r w:rsidRPr="001A2B2D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2D">
            <w:pPr>
              <w:pStyle w:val="BodyText"/>
              <w:rPr>
                <w:lang w:val="en-NZ"/>
              </w:rPr>
            </w:pPr>
            <w:r w:rsidRPr="001A2B2D">
              <w:t xml:space="preserve">Communication and project management strategies are developed with stakeholders, in accordance with organisational procedures </w:t>
            </w:r>
          </w:p>
        </w:tc>
      </w:tr>
      <w:tr w:rsidTr="001A2B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B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2D">
            <w:pPr>
              <w:pStyle w:val="BodyText"/>
              <w:rPr>
                <w:lang w:val="en-NZ"/>
              </w:rPr>
            </w:pPr>
            <w:r w:rsidRPr="001A2B2D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2D">
            <w:pPr>
              <w:pStyle w:val="BodyText"/>
              <w:rPr>
                <w:lang w:val="en-NZ"/>
              </w:rPr>
            </w:pPr>
            <w:r w:rsidRPr="001A2B2D">
              <w:t>Treatment plan implementation issues are identified and contingencies are developed, as required</w:t>
            </w:r>
          </w:p>
        </w:tc>
      </w:tr>
      <w:tr w:rsidTr="001A2B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B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2D">
            <w:pPr>
              <w:pStyle w:val="BodyText"/>
              <w:rPr>
                <w:lang w:val="en-NZ"/>
              </w:rPr>
            </w:pPr>
            <w:r w:rsidRPr="001A2B2D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B2D" w:rsidP="001A2B2D">
            <w:pPr>
              <w:pStyle w:val="BodyText"/>
            </w:pPr>
            <w:r w:rsidRPr="001A2B2D">
              <w:t>An agreed treatmen</w:t>
            </w:r>
            <w:r w:rsidRPr="001A2B2D">
              <w:t>t plan is documented and submitted for approval to authorised personnel, in accordance with organisational policies and procedures</w:t>
            </w:r>
          </w:p>
        </w:tc>
      </w:tr>
    </w:tbl>
    <w:p w:rsidR="00000000" w:rsidRPr="001A2B2D" w:rsidP="001A2B2D">
      <w:pPr>
        <w:pStyle w:val="NoPaddingFontSize1"/>
      </w:pPr>
    </w:p>
    <w:p w:rsidR="00000000" w:rsidRPr="001A2B2D" w:rsidP="001A2B2D">
      <w:pPr>
        <w:pStyle w:val="AllowPageBreak"/>
      </w:pPr>
    </w:p>
    <w:p w:rsidR="00000000" w:rsidRPr="001A2B2D" w:rsidP="001A2B2D">
      <w:pPr>
        <w:pStyle w:val="Heading1"/>
      </w:pPr>
      <w:bookmarkStart w:id="7" w:name="O_1166363"/>
      <w:bookmarkEnd w:id="7"/>
      <w:r w:rsidRPr="001A2B2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2B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B2D" w:rsidP="001A2B2D">
            <w:pPr>
              <w:pStyle w:val="BodyText"/>
            </w:pPr>
            <w:r w:rsidRPr="001A2B2D">
              <w:t>Foundation skills essential to performance are explicit in the performance criteria of</w:t>
            </w:r>
            <w:r w:rsidRPr="001A2B2D">
              <w:t xml:space="preserve"> this unit of competency.</w:t>
            </w:r>
          </w:p>
        </w:tc>
      </w:tr>
    </w:tbl>
    <w:p w:rsidR="00000000" w:rsidRPr="001A2B2D" w:rsidP="001A2B2D">
      <w:pPr>
        <w:pStyle w:val="NoPaddingFontSize1"/>
      </w:pPr>
    </w:p>
    <w:p w:rsidR="00000000" w:rsidRPr="001A2B2D" w:rsidP="001A2B2D">
      <w:pPr>
        <w:pStyle w:val="AllowPageBreak"/>
      </w:pPr>
    </w:p>
    <w:p w:rsidR="00000000" w:rsidRPr="001A2B2D" w:rsidP="001A2B2D">
      <w:pPr>
        <w:pStyle w:val="Heading1"/>
      </w:pPr>
      <w:bookmarkStart w:id="8" w:name="O_1166362"/>
      <w:bookmarkEnd w:id="8"/>
      <w:r w:rsidRPr="001A2B2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2B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B2D" w:rsidP="001A2B2D">
            <w:pPr>
              <w:pStyle w:val="BodyText"/>
            </w:pPr>
            <w:r w:rsidRPr="001A2B2D">
              <w:t>Range is restricted to essential operating conditions and any other variables essential to the work environment.</w:t>
            </w:r>
          </w:p>
          <w:p w:rsidR="00000000" w:rsidRPr="001A2B2D" w:rsidP="001A2B2D">
            <w:pPr>
              <w:pStyle w:val="BodyText"/>
            </w:pPr>
            <w:r w:rsidRPr="001A2B2D">
              <w:t>Non-essential conditions may be found in the Companion Volume Implementation Guide.</w:t>
            </w:r>
          </w:p>
        </w:tc>
      </w:tr>
    </w:tbl>
    <w:p w:rsidR="00000000" w:rsidRPr="001A2B2D" w:rsidP="001A2B2D">
      <w:pPr>
        <w:pStyle w:val="NoPaddingFontSize1"/>
      </w:pPr>
    </w:p>
    <w:p w:rsidR="00000000" w:rsidRPr="001A2B2D" w:rsidP="001A2B2D">
      <w:pPr>
        <w:pStyle w:val="AllowPageBreak"/>
      </w:pPr>
    </w:p>
    <w:p w:rsidR="00000000" w:rsidRPr="001A2B2D" w:rsidP="001A2B2D">
      <w:pPr>
        <w:pStyle w:val="Heading1"/>
      </w:pPr>
      <w:bookmarkStart w:id="9" w:name="O_1166361"/>
      <w:bookmarkEnd w:id="9"/>
      <w:r w:rsidRPr="001A2B2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2B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B2D" w:rsidP="001A2B2D">
            <w:pPr>
              <w:pStyle w:val="BodyText"/>
            </w:pPr>
            <w:r w:rsidRPr="001A2B2D">
              <w:t>This unit replaces and is equivalent to PUAEMR024 Develop treatment options for emergency risk.</w:t>
            </w:r>
          </w:p>
        </w:tc>
      </w:tr>
    </w:tbl>
    <w:p w:rsidR="00000000" w:rsidRPr="001A2B2D" w:rsidP="001A2B2D">
      <w:pPr>
        <w:pStyle w:val="NoPaddingFontSize1"/>
      </w:pPr>
    </w:p>
    <w:p w:rsidR="00000000" w:rsidRPr="001A2B2D" w:rsidP="001A2B2D">
      <w:pPr>
        <w:pStyle w:val="AllowPageBreak"/>
      </w:pPr>
    </w:p>
    <w:p w:rsidR="00000000" w:rsidRPr="001A2B2D" w:rsidP="001A2B2D">
      <w:pPr>
        <w:pStyle w:val="Heading1"/>
      </w:pPr>
      <w:bookmarkStart w:id="10" w:name="O_1166370"/>
      <w:bookmarkEnd w:id="10"/>
      <w:r w:rsidRPr="001A2B2D">
        <w:t>Links</w:t>
      </w:r>
    </w:p>
    <w:p w:rsidR="00000000" w:rsidRPr="001A2B2D" w:rsidP="006256E0">
      <w:pPr>
        <w:pStyle w:val="BodyText"/>
      </w:pPr>
      <w:r w:rsidRPr="001A2B2D">
        <w:t>Com</w:t>
      </w:r>
      <w:r w:rsidRPr="001A2B2D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EB00FB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1A2B2D" w:rsidP="001A2B2D"/>
    <w:sectPr w:rsidSect="001A2B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B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B2D" w:rsidRPr="006256E0" w:rsidP="006256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B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6E0" w:rsidP="001A2B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56E0" w:rsidP="001A2B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6256E0" w:rsidP="001A2B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B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6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2B2D" w:rsidRPr="006256E0" w:rsidP="006256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B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6E0" w:rsidRPr="002D2AF8" w:rsidP="001A2B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PUAEMR003 Develop treatment options for emergency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6256E0" w:rsidP="001A2B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B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2B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2B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2B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2B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2B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2B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2B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2B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2B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2B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2B2D"/>
  </w:style>
  <w:style w:type="character" w:customStyle="1" w:styleId="Heading1Char">
    <w:name w:val="Heading 1 Char"/>
    <w:basedOn w:val="DefaultParagraphFont"/>
    <w:link w:val="Heading1"/>
    <w:rsid w:val="001A2B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2B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2B2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A2B2D"/>
    <w:rPr>
      <w:b/>
      <w:spacing w:val="0"/>
    </w:rPr>
  </w:style>
  <w:style w:type="paragraph" w:customStyle="1" w:styleId="SuperHeading">
    <w:name w:val="SuperHeading"/>
    <w:basedOn w:val="Normal"/>
    <w:rsid w:val="001A2B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2B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A2B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2B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2B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2B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2B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2B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2B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2B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2B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2B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2B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2B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2B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2B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2B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2B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2B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2B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2B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2B2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A2B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2B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2B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2B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2B2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2B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2B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2B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2B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2B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2B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2B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2B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2B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2B2D"/>
    <w:rPr>
      <w:i/>
    </w:rPr>
  </w:style>
  <w:style w:type="paragraph" w:styleId="Caption">
    <w:name w:val="caption"/>
    <w:basedOn w:val="BodyText"/>
    <w:next w:val="Normal"/>
    <w:qFormat/>
    <w:rsid w:val="001A2B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2B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2B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2B2D"/>
  </w:style>
  <w:style w:type="paragraph" w:styleId="TableofFigures">
    <w:name w:val="table of figures"/>
    <w:basedOn w:val="Normal"/>
    <w:next w:val="Normal"/>
    <w:semiHidden/>
    <w:rsid w:val="001A2B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2B2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A2B2D"/>
    <w:rPr>
      <w:rFonts w:ascii="Wingdings" w:hAnsi="Wingdings"/>
    </w:rPr>
  </w:style>
  <w:style w:type="paragraph" w:customStyle="1" w:styleId="TableHeading">
    <w:name w:val="Table Heading"/>
    <w:basedOn w:val="HeadingBase"/>
    <w:rsid w:val="001A2B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2B2D"/>
    <w:rPr>
      <w:color w:val="0033CC"/>
      <w:u w:val="none"/>
    </w:rPr>
  </w:style>
  <w:style w:type="paragraph" w:customStyle="1" w:styleId="BodyTextRight">
    <w:name w:val="Body Text Right"/>
    <w:basedOn w:val="BodyText"/>
    <w:rsid w:val="001A2B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2B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2B2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2B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2B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2B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2B2D"/>
    <w:rPr>
      <w:sz w:val="32"/>
    </w:rPr>
  </w:style>
  <w:style w:type="paragraph" w:customStyle="1" w:styleId="HeadingProcedure">
    <w:name w:val="Heading Procedure"/>
    <w:basedOn w:val="HeadingBase"/>
    <w:next w:val="Normal"/>
    <w:rsid w:val="001A2B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2B2D"/>
    <w:pPr>
      <w:spacing w:before="60" w:after="60"/>
    </w:pPr>
  </w:style>
  <w:style w:type="paragraph" w:styleId="ListContinue">
    <w:name w:val="List Continue"/>
    <w:basedOn w:val="List"/>
    <w:rsid w:val="001A2B2D"/>
    <w:pPr>
      <w:ind w:firstLine="0"/>
    </w:pPr>
  </w:style>
  <w:style w:type="paragraph" w:customStyle="1" w:styleId="ListNote">
    <w:name w:val="List Note"/>
    <w:basedOn w:val="List"/>
    <w:rsid w:val="001A2B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2B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2B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2B2D"/>
    <w:rPr>
      <w:rFonts w:ascii="Courier New" w:hAnsi="Courier New"/>
    </w:rPr>
  </w:style>
  <w:style w:type="paragraph" w:customStyle="1" w:styleId="NoteBullet">
    <w:name w:val="Note Bullet"/>
    <w:basedOn w:val="Note"/>
    <w:rsid w:val="001A2B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2B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2B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2B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2B2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A2B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2B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2B2D"/>
    <w:rPr>
      <w:b/>
      <w:smallCaps/>
    </w:rPr>
  </w:style>
  <w:style w:type="paragraph" w:customStyle="1" w:styleId="TableListNumber">
    <w:name w:val="Table List Number"/>
    <w:basedOn w:val="ListNumber"/>
    <w:rsid w:val="001A2B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2B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2B2D"/>
    <w:pPr>
      <w:numPr>
        <w:numId w:val="7"/>
      </w:numPr>
    </w:pPr>
  </w:style>
  <w:style w:type="paragraph" w:customStyle="1" w:styleId="ListAlpha2">
    <w:name w:val="List Alpha 2"/>
    <w:basedOn w:val="List2"/>
    <w:rsid w:val="001A2B2D"/>
    <w:pPr>
      <w:numPr>
        <w:numId w:val="6"/>
      </w:numPr>
    </w:pPr>
  </w:style>
  <w:style w:type="paragraph" w:styleId="List2">
    <w:name w:val="List 2"/>
    <w:basedOn w:val="BodyText"/>
    <w:rsid w:val="001A2B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2B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2B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2B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2B2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2B2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A2B2D"/>
    <w:pPr>
      <w:numPr>
        <w:numId w:val="2"/>
      </w:numPr>
    </w:pPr>
  </w:style>
  <w:style w:type="paragraph" w:styleId="ListContinue2">
    <w:name w:val="List Continue 2"/>
    <w:basedOn w:val="List2"/>
    <w:rsid w:val="001A2B2D"/>
    <w:pPr>
      <w:ind w:firstLine="0"/>
    </w:pPr>
  </w:style>
  <w:style w:type="paragraph" w:styleId="ListContinue3">
    <w:name w:val="List Continue 3"/>
    <w:basedOn w:val="List3"/>
    <w:rsid w:val="001A2B2D"/>
    <w:pPr>
      <w:ind w:left="1021" w:firstLine="0"/>
    </w:pPr>
  </w:style>
  <w:style w:type="paragraph" w:styleId="ListContinue4">
    <w:name w:val="List Continue 4"/>
    <w:basedOn w:val="List4"/>
    <w:rsid w:val="001A2B2D"/>
    <w:pPr>
      <w:ind w:firstLine="0"/>
    </w:pPr>
  </w:style>
  <w:style w:type="paragraph" w:styleId="ListContinue5">
    <w:name w:val="List Continue 5"/>
    <w:basedOn w:val="List5"/>
    <w:rsid w:val="001A2B2D"/>
    <w:pPr>
      <w:ind w:firstLine="0"/>
    </w:pPr>
  </w:style>
  <w:style w:type="paragraph" w:styleId="ListNumber3">
    <w:name w:val="List Number 3"/>
    <w:basedOn w:val="List3"/>
    <w:rsid w:val="001A2B2D"/>
    <w:pPr>
      <w:numPr>
        <w:numId w:val="3"/>
      </w:numPr>
    </w:pPr>
  </w:style>
  <w:style w:type="paragraph" w:styleId="ListNumber4">
    <w:name w:val="List Number 4"/>
    <w:basedOn w:val="List4"/>
    <w:rsid w:val="001A2B2D"/>
    <w:pPr>
      <w:numPr>
        <w:numId w:val="4"/>
      </w:numPr>
    </w:pPr>
  </w:style>
  <w:style w:type="paragraph" w:styleId="ListNumber5">
    <w:name w:val="List Number 5"/>
    <w:basedOn w:val="List5"/>
    <w:rsid w:val="001A2B2D"/>
    <w:pPr>
      <w:numPr>
        <w:numId w:val="5"/>
      </w:numPr>
    </w:pPr>
  </w:style>
  <w:style w:type="paragraph" w:styleId="BlockText">
    <w:name w:val="Block Text"/>
    <w:basedOn w:val="Normal"/>
    <w:rsid w:val="001A2B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2B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2B2D"/>
    <w:rPr>
      <w:sz w:val="16"/>
      <w:vertAlign w:val="superscript"/>
    </w:rPr>
  </w:style>
  <w:style w:type="character" w:customStyle="1" w:styleId="Symbols">
    <w:name w:val="Symbols"/>
    <w:basedOn w:val="DefaultParagraphFont"/>
    <w:rsid w:val="001A2B2D"/>
    <w:rPr>
      <w:rFonts w:ascii="Symbol" w:hAnsi="Symbol"/>
    </w:rPr>
  </w:style>
  <w:style w:type="character" w:customStyle="1" w:styleId="MenuOptions">
    <w:name w:val="Menu Options"/>
    <w:basedOn w:val="DefaultParagraphFont"/>
    <w:rsid w:val="001A2B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2B2D"/>
    <w:rPr>
      <w:b/>
    </w:rPr>
  </w:style>
  <w:style w:type="character" w:customStyle="1" w:styleId="Underlined">
    <w:name w:val="Underlined"/>
    <w:basedOn w:val="DefaultParagraphFont"/>
    <w:rsid w:val="001A2B2D"/>
    <w:rPr>
      <w:u w:val="single"/>
    </w:rPr>
  </w:style>
  <w:style w:type="paragraph" w:customStyle="1" w:styleId="TableBodyTextRight">
    <w:name w:val="Table Body Text Right"/>
    <w:basedOn w:val="TableBodyText"/>
    <w:rsid w:val="001A2B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2B2D"/>
    <w:rPr>
      <w:sz w:val="18"/>
    </w:rPr>
  </w:style>
  <w:style w:type="paragraph" w:customStyle="1" w:styleId="BodySmallRight">
    <w:name w:val="Body Small Right"/>
    <w:basedOn w:val="BodyTextRight"/>
    <w:rsid w:val="001A2B2D"/>
    <w:rPr>
      <w:sz w:val="18"/>
      <w:szCs w:val="18"/>
    </w:rPr>
  </w:style>
  <w:style w:type="paragraph" w:customStyle="1" w:styleId="MarginEdition">
    <w:name w:val="Margin Edition"/>
    <w:basedOn w:val="MarginNote"/>
    <w:rsid w:val="001A2B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2B2D"/>
    <w:rPr>
      <w:sz w:val="2"/>
      <w:szCs w:val="2"/>
    </w:rPr>
  </w:style>
  <w:style w:type="character" w:customStyle="1" w:styleId="Small">
    <w:name w:val="Small"/>
    <w:basedOn w:val="DefaultParagraphFont"/>
    <w:rsid w:val="001A2B2D"/>
    <w:rPr>
      <w:sz w:val="16"/>
    </w:rPr>
  </w:style>
  <w:style w:type="paragraph" w:customStyle="1" w:styleId="WideTable">
    <w:name w:val="Wide Table"/>
    <w:basedOn w:val="Normal"/>
    <w:rsid w:val="001A2B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2B2D"/>
  </w:style>
  <w:style w:type="paragraph" w:styleId="Quote">
    <w:name w:val="Quote"/>
    <w:basedOn w:val="Heading1"/>
    <w:link w:val="QuoteChar"/>
    <w:qFormat/>
    <w:rsid w:val="001A2B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2B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2B2D"/>
    <w:pPr>
      <w:pageBreakBefore/>
    </w:pPr>
  </w:style>
  <w:style w:type="paragraph" w:customStyle="1" w:styleId="Border">
    <w:name w:val="Border"/>
    <w:basedOn w:val="Normal"/>
    <w:qFormat/>
    <w:rsid w:val="001A2B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2B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2B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2B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2B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2B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2B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2B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2B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2B2D"/>
    <w:rPr>
      <w:u w:val="single"/>
    </w:rPr>
  </w:style>
  <w:style w:type="character" w:customStyle="1" w:styleId="BoldandItalics">
    <w:name w:val="Bold and Italics"/>
    <w:qFormat/>
    <w:rsid w:val="001A2B2D"/>
    <w:rPr>
      <w:b/>
      <w:i/>
      <w:u w:val="none"/>
    </w:rPr>
  </w:style>
  <w:style w:type="paragraph" w:styleId="BalloonText">
    <w:name w:val="Balloon Text"/>
    <w:basedOn w:val="Normal"/>
    <w:link w:val="BalloonTextChar"/>
    <w:rsid w:val="001A2B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2B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2B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2B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2B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2B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2B2D"/>
    <w:pPr>
      <w:spacing w:before="0" w:after="0"/>
    </w:pPr>
  </w:style>
  <w:style w:type="paragraph" w:customStyle="1" w:styleId="BodyTextBold">
    <w:name w:val="Body Text Bold"/>
    <w:basedOn w:val="BodyText"/>
    <w:qFormat/>
    <w:rsid w:val="001A2B2D"/>
    <w:rPr>
      <w:b/>
    </w:rPr>
  </w:style>
  <w:style w:type="character" w:styleId="Hyperlink">
    <w:name w:val="Hyperlink"/>
    <w:basedOn w:val="DefaultParagraphFont"/>
    <w:uiPriority w:val="99"/>
    <w:unhideWhenUsed/>
    <w:rsid w:val="006256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498</Words>
  <Characters>3309</Characters>
  <Application>Microsoft Office Word</Application>
  <DocSecurity>0</DocSecurity>
  <Lines>157</Lines>
  <Paragraphs>80</Paragraphs>
  <ScaleCrop>false</ScaleCrop>
  <Company>Author-it Software Corporation Ltd.</Company>
  <LinksUpToDate>false</LinksUpToDate>
  <CharactersWithSpaces>3727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PUAEMR003 Develop treatment options for emergency risk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2024-11-07T11:54:00Z</dcterms:created>
  <dcterms:modified xsi:type="dcterms:W3CDTF">2024-11-07T11:54:00Z</dcterms:modified>
</cp:coreProperties>
</file>