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36B" w:rsidP="00E623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PUAEMR002 Assess emergency risk</w:t>
      </w:r>
      <w:r>
        <w:fldChar w:fldCharType="end"/>
      </w:r>
    </w:p>
    <w:p w:rsidR="00E6236B" w:rsidP="00E6236B">
      <w:pPr>
        <w:pStyle w:val="Version"/>
        <w:sectPr w:rsidSect="009E5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5ED" w:rsidP="009E55ED">
      <w:pPr>
        <w:pStyle w:val="SuperHeading"/>
      </w:pPr>
      <w:r w:rsidRPr="009E55ED">
        <w:t>PUAEMR002 Assess emergency risk</w:t>
      </w:r>
    </w:p>
    <w:p w:rsidR="00000000" w:rsidRPr="009E55ED" w:rsidP="009E55ED">
      <w:pPr>
        <w:pStyle w:val="Heading1"/>
      </w:pPr>
      <w:bookmarkStart w:id="1" w:name="O_1024316"/>
      <w:bookmarkEnd w:id="1"/>
      <w:r w:rsidRPr="009E55ED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9E55ED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rPr>
                <w:rStyle w:val="SpecialBold"/>
              </w:rPr>
              <w:t>Release 1.</w:t>
            </w:r>
            <w:r w:rsidRPr="009E55ED">
              <w:t xml:space="preserve"> This is the first release of this unit of competency in the PUA Public Safety Training Package.</w:t>
            </w:r>
          </w:p>
        </w:tc>
      </w:tr>
    </w:tbl>
    <w:p w:rsidR="00000000" w:rsidRPr="009E55ED" w:rsidP="009E55ED">
      <w:pPr>
        <w:pStyle w:val="NoPaddingFontSize1"/>
      </w:pPr>
    </w:p>
    <w:p w:rsidR="00000000" w:rsidRPr="009E55ED" w:rsidP="009E55ED">
      <w:pPr>
        <w:pStyle w:val="AllowPageBreak"/>
      </w:pPr>
    </w:p>
    <w:p w:rsidR="00000000" w:rsidRPr="009E55ED" w:rsidP="009E55ED">
      <w:pPr>
        <w:pStyle w:val="Heading1"/>
      </w:pPr>
      <w:bookmarkStart w:id="2" w:name="O_1024317"/>
      <w:bookmarkEnd w:id="2"/>
      <w:r w:rsidRPr="009E55E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t>This unit of competency involves the skills and knowledge required to identify, analyse and eva</w:t>
            </w:r>
            <w:r w:rsidRPr="009E55ED">
              <w:t>luate risks to determine which need treatment, and the treatment priorities. It includes identifying, analysing and evaluating risk and monitoring and reviewing emergency risks to a community.</w:t>
            </w:r>
          </w:p>
          <w:p w:rsidR="00000000" w:rsidRPr="009E55ED" w:rsidP="009E55ED">
            <w:pPr>
              <w:pStyle w:val="BodyText"/>
            </w:pPr>
            <w:r w:rsidRPr="009E55ED">
              <w:t>The unit applies to personnel undertaking an emergency risk ass</w:t>
            </w:r>
            <w:r w:rsidRPr="009E55ED">
              <w:t>essment with a community or part of a community. Such assessments are conducted at local, regional or state level by local governments, emergency management committees, public safety agencies, major event managers or other organisations that need to unders</w:t>
            </w:r>
            <w:r w:rsidRPr="009E55ED">
              <w:t>tand emergency risk to a community.</w:t>
            </w:r>
          </w:p>
          <w:p w:rsidR="00000000" w:rsidRPr="009E55ED" w:rsidP="009E55ED">
            <w:pPr>
              <w:pStyle w:val="BodyText"/>
            </w:pPr>
            <w:r w:rsidRPr="009E55ED">
              <w:t>No licensing, legislative or certification requirements apply to this unit at the time of publication.</w:t>
            </w:r>
          </w:p>
        </w:tc>
      </w:tr>
    </w:tbl>
    <w:p w:rsidR="00000000" w:rsidRPr="009E55ED" w:rsidP="009E55ED">
      <w:pPr>
        <w:pStyle w:val="NoPaddingFontSize1"/>
      </w:pPr>
    </w:p>
    <w:p w:rsidR="00000000" w:rsidRPr="009E55ED" w:rsidP="009E55ED">
      <w:pPr>
        <w:pStyle w:val="AllowPageBreak"/>
      </w:pPr>
    </w:p>
    <w:p w:rsidR="00000000" w:rsidRPr="009E55ED" w:rsidP="009E55ED">
      <w:pPr>
        <w:pStyle w:val="Heading1"/>
      </w:pPr>
      <w:bookmarkStart w:id="3" w:name="O_1024318"/>
      <w:bookmarkEnd w:id="3"/>
      <w:r w:rsidRPr="009E55E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t>PUAEMR001 Establish context for emergency risk assessment</w:t>
            </w:r>
          </w:p>
        </w:tc>
      </w:tr>
    </w:tbl>
    <w:p w:rsidR="00000000" w:rsidRPr="009E55ED" w:rsidP="009E55ED">
      <w:pPr>
        <w:pStyle w:val="NoPaddingFontSize1"/>
      </w:pPr>
    </w:p>
    <w:p w:rsidR="00000000" w:rsidRPr="009E55ED" w:rsidP="009E55ED">
      <w:pPr>
        <w:pStyle w:val="AllowPageBreak"/>
      </w:pPr>
    </w:p>
    <w:p w:rsidR="00000000" w:rsidRPr="009E55ED" w:rsidP="009E55ED">
      <w:pPr>
        <w:pStyle w:val="Heading1"/>
      </w:pPr>
      <w:bookmarkStart w:id="4" w:name="O_1024319"/>
      <w:bookmarkEnd w:id="4"/>
      <w:r w:rsidRPr="009E55E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t>Emergency Management</w:t>
            </w:r>
          </w:p>
        </w:tc>
      </w:tr>
    </w:tbl>
    <w:p w:rsidR="00000000" w:rsidRPr="009E55ED" w:rsidP="009E55ED">
      <w:pPr>
        <w:pStyle w:val="NoPaddingFontSize1"/>
      </w:pPr>
    </w:p>
    <w:p w:rsidR="00000000" w:rsidRPr="009E55ED" w:rsidP="009E55ED">
      <w:pPr>
        <w:pStyle w:val="AllowPageBreak"/>
      </w:pPr>
    </w:p>
    <w:p w:rsidR="00000000" w:rsidRPr="009E55ED" w:rsidP="009E55ED">
      <w:pPr>
        <w:pStyle w:val="Heading1"/>
      </w:pPr>
      <w:bookmarkStart w:id="5" w:name="O_1024320"/>
      <w:bookmarkEnd w:id="5"/>
      <w:r w:rsidRPr="009E55E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t>Not applicable</w:t>
            </w:r>
          </w:p>
        </w:tc>
      </w:tr>
    </w:tbl>
    <w:p w:rsidR="00000000" w:rsidRPr="009E55ED" w:rsidP="009E55ED">
      <w:pPr>
        <w:pStyle w:val="NoPaddingFontSize1"/>
      </w:pPr>
    </w:p>
    <w:p w:rsidR="00000000" w:rsidRPr="009E55ED" w:rsidP="009E55ED">
      <w:pPr>
        <w:pStyle w:val="AllowPageBreak"/>
      </w:pPr>
    </w:p>
    <w:p w:rsidR="00000000" w:rsidRPr="009E55ED" w:rsidP="009E55ED">
      <w:pPr>
        <w:pStyle w:val="Heading1"/>
      </w:pPr>
      <w:bookmarkStart w:id="6" w:name="O_1024321"/>
      <w:bookmarkEnd w:id="6"/>
      <w:r w:rsidRPr="009E55E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E55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rPr>
                <w:rStyle w:val="SpecialBold"/>
              </w:rPr>
              <w:t>PERFORMANCE CRITERIA</w:t>
            </w:r>
          </w:p>
        </w:tc>
      </w:tr>
      <w:tr w:rsidTr="009E55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t>Performance criteria describe the performance needed to demonstrate achievement of the element.</w:t>
            </w:r>
          </w:p>
        </w:tc>
      </w:tr>
      <w:tr w:rsidTr="009E55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rPr>
                <w:rStyle w:val="SpecialBold"/>
              </w:rPr>
              <w:t>Identify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t>Sources of risk are identified by considering the interaction of hazards, communities and the environment</w:t>
            </w:r>
          </w:p>
        </w:tc>
      </w:tr>
      <w:tr w:rsidTr="009E55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t>Elements at risk are ide</w:t>
            </w:r>
            <w:r w:rsidRPr="009E55ED">
              <w:t>ntified, in accordance with organisational policies and procedures</w:t>
            </w:r>
            <w:r w:rsidRPr="009E55ED">
              <w:rPr>
                <w:rStyle w:val="SpecialBold"/>
              </w:rPr>
              <w:t xml:space="preserve"> </w:t>
            </w:r>
            <w:r w:rsidRPr="009E55ED">
              <w:t xml:space="preserve"> </w:t>
            </w:r>
          </w:p>
        </w:tc>
      </w:tr>
      <w:tr w:rsidTr="009E55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t>Stakeholders are consulted throughout the risk assessment process</w:t>
            </w:r>
          </w:p>
        </w:tc>
      </w:tr>
      <w:tr w:rsidTr="009E55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t>Risk statements describing consequences are documented, in accordance with organisational policies and procedures</w:t>
            </w:r>
          </w:p>
        </w:tc>
      </w:tr>
      <w:tr w:rsidTr="009E55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rPr>
                <w:rStyle w:val="SpecialBold"/>
              </w:rPr>
              <w:t>Analyse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t>Risks are analysed by considering the likelihood of consequences occurring</w:t>
            </w:r>
          </w:p>
        </w:tc>
      </w:tr>
      <w:tr w:rsidTr="009E55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t>Vulnerability of communities and environ</w:t>
            </w:r>
            <w:r w:rsidRPr="009E55ED">
              <w:t>ments is determined by analysing their susceptibility and resilience to risks</w:t>
            </w:r>
          </w:p>
        </w:tc>
      </w:tr>
      <w:tr w:rsidTr="009E55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t xml:space="preserve">Risks are rated, in accordance with organisational procedures and agreed risk probability criteria  </w:t>
            </w:r>
          </w:p>
        </w:tc>
      </w:tr>
      <w:tr w:rsidTr="009E55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rPr>
                <w:rStyle w:val="SpecialBold"/>
              </w:rPr>
              <w:t>Evaluate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t>Risks requiring additional analysis or treatment are determined and documented</w:t>
            </w:r>
          </w:p>
        </w:tc>
      </w:tr>
      <w:tr w:rsidTr="009E55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t>Tolerability and acceptability of risks are agreed with stakeholders</w:t>
            </w:r>
          </w:p>
        </w:tc>
      </w:tr>
      <w:tr w:rsidTr="009E55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t>Risk treatments are prioritised using agreed risk criteria</w:t>
            </w:r>
          </w:p>
        </w:tc>
      </w:tr>
      <w:tr w:rsidTr="009E55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rPr>
                <w:rStyle w:val="SpecialBold"/>
              </w:rPr>
              <w:t>Monitor and review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t>Hazard and risks assessments are monitored, in accordance with relevant standards and guidelines</w:t>
            </w:r>
          </w:p>
        </w:tc>
      </w:tr>
      <w:tr w:rsidTr="009E55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ED">
            <w:pPr>
              <w:pStyle w:val="BodyText"/>
              <w:rPr>
                <w:lang w:val="en-NZ"/>
              </w:rPr>
            </w:pPr>
            <w:r w:rsidRPr="009E55E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t>Evaluated risks assessments are reviewed and reported, in accordance with industry standards and organisational guidelines</w:t>
            </w:r>
          </w:p>
        </w:tc>
      </w:tr>
    </w:tbl>
    <w:p w:rsidR="00000000" w:rsidRPr="009E55ED" w:rsidP="009E55ED">
      <w:pPr>
        <w:pStyle w:val="NoPaddingFontSize1"/>
      </w:pPr>
    </w:p>
    <w:p w:rsidR="00000000" w:rsidRPr="009E55ED" w:rsidP="009E55ED">
      <w:pPr>
        <w:pStyle w:val="AllowPageBreak"/>
      </w:pPr>
    </w:p>
    <w:p w:rsidR="00000000" w:rsidRPr="009E55ED" w:rsidP="009E55ED">
      <w:pPr>
        <w:pStyle w:val="Heading1"/>
      </w:pPr>
      <w:bookmarkStart w:id="7" w:name="O_1024322"/>
      <w:bookmarkEnd w:id="7"/>
      <w:r w:rsidRPr="009E55E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t>Foundation skills essential to performance are explicit in the performance criteria of this unit of competency.</w:t>
            </w:r>
          </w:p>
        </w:tc>
      </w:tr>
    </w:tbl>
    <w:p w:rsidR="00000000" w:rsidRPr="009E55ED" w:rsidP="009E55ED">
      <w:pPr>
        <w:pStyle w:val="NoPaddingFontSize1"/>
      </w:pPr>
    </w:p>
    <w:p w:rsidR="00000000" w:rsidRPr="009E55ED" w:rsidP="009E55ED">
      <w:pPr>
        <w:pStyle w:val="AllowPageBreak"/>
      </w:pPr>
    </w:p>
    <w:p w:rsidR="00000000" w:rsidRPr="009E55ED" w:rsidP="009E55ED">
      <w:pPr>
        <w:pStyle w:val="Heading1"/>
      </w:pPr>
      <w:bookmarkStart w:id="8" w:name="O_1024323"/>
      <w:bookmarkEnd w:id="8"/>
      <w:r w:rsidRPr="009E55E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t>Range is restricted to essential operating conditions and any other variables essenti</w:t>
            </w:r>
            <w:r w:rsidRPr="009E55ED">
              <w:t>al to the work environment.</w:t>
            </w:r>
          </w:p>
          <w:p w:rsidR="00000000" w:rsidRPr="009E55ED" w:rsidP="009E55ED">
            <w:pPr>
              <w:pStyle w:val="BodyText"/>
            </w:pPr>
            <w:r w:rsidRPr="009E55ED">
              <w:t>Non-essential conditions may be found in the Companion Volume Implementation Guide.</w:t>
            </w:r>
          </w:p>
        </w:tc>
      </w:tr>
    </w:tbl>
    <w:p w:rsidR="00000000" w:rsidRPr="009E55ED" w:rsidP="009E55ED">
      <w:pPr>
        <w:pStyle w:val="NoPaddingFontSize1"/>
      </w:pPr>
    </w:p>
    <w:p w:rsidR="00000000" w:rsidRPr="009E55ED" w:rsidP="009E55ED">
      <w:pPr>
        <w:pStyle w:val="AllowPageBreak"/>
      </w:pPr>
    </w:p>
    <w:p w:rsidR="00000000" w:rsidRPr="009E55ED" w:rsidP="009E55ED">
      <w:pPr>
        <w:pStyle w:val="Heading1"/>
      </w:pPr>
      <w:bookmarkStart w:id="9" w:name="O_1024324"/>
      <w:bookmarkEnd w:id="9"/>
      <w:r w:rsidRPr="009E55E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ED" w:rsidP="009E55ED">
            <w:pPr>
              <w:pStyle w:val="BodyText"/>
            </w:pPr>
            <w:r w:rsidRPr="009E55ED">
              <w:t>This unit replaces and is equivalent to PUAEMR023 Assess emergency risk.</w:t>
            </w:r>
          </w:p>
        </w:tc>
      </w:tr>
    </w:tbl>
    <w:p w:rsidR="00000000" w:rsidRPr="009E55ED" w:rsidP="009E55ED">
      <w:pPr>
        <w:pStyle w:val="NoPaddingFontSize1"/>
      </w:pPr>
    </w:p>
    <w:p w:rsidR="00000000" w:rsidRPr="009E55ED" w:rsidP="009E55ED">
      <w:pPr>
        <w:pStyle w:val="AllowPageBreak"/>
      </w:pPr>
    </w:p>
    <w:p w:rsidR="00000000" w:rsidRPr="009E55ED" w:rsidP="009E55ED">
      <w:pPr>
        <w:pStyle w:val="Heading1"/>
      </w:pPr>
      <w:bookmarkStart w:id="10" w:name="O_1024331"/>
      <w:bookmarkEnd w:id="10"/>
      <w:r w:rsidRPr="009E55ED">
        <w:t>Links</w:t>
      </w:r>
    </w:p>
    <w:p w:rsidR="00000000" w:rsidRPr="009E55ED" w:rsidP="00E6236B">
      <w:pPr>
        <w:pStyle w:val="BodyText"/>
      </w:pPr>
      <w:r w:rsidRPr="009E55E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05E1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E55ED" w:rsidP="009E55ED"/>
    <w:sectPr w:rsidSect="009E55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ED" w:rsidRPr="00E6236B" w:rsidP="00E623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6B" w:rsidP="009E5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236B" w:rsidP="009E5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6236B" w:rsidP="009E5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5ED" w:rsidRPr="00E6236B" w:rsidP="00E623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6B" w:rsidRPr="002D2AF8" w:rsidP="009E5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PUAEMR002 Assess emergency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6236B" w:rsidP="009E5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5ED"/>
  </w:style>
  <w:style w:type="character" w:customStyle="1" w:styleId="Heading1Char">
    <w:name w:val="Heading 1 Char"/>
    <w:basedOn w:val="DefaultParagraphFont"/>
    <w:link w:val="Heading1"/>
    <w:rsid w:val="009E5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5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55ED"/>
    <w:rPr>
      <w:b/>
      <w:spacing w:val="0"/>
    </w:rPr>
  </w:style>
  <w:style w:type="paragraph" w:customStyle="1" w:styleId="SuperHeading">
    <w:name w:val="SuperHeading"/>
    <w:basedOn w:val="Normal"/>
    <w:rsid w:val="009E5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5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5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5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55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5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55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5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5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5ED"/>
    <w:rPr>
      <w:i/>
    </w:rPr>
  </w:style>
  <w:style w:type="paragraph" w:styleId="Caption">
    <w:name w:val="caption"/>
    <w:basedOn w:val="BodyText"/>
    <w:next w:val="Normal"/>
    <w:qFormat/>
    <w:rsid w:val="009E5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5ED"/>
  </w:style>
  <w:style w:type="paragraph" w:styleId="TableofFigures">
    <w:name w:val="table of figures"/>
    <w:basedOn w:val="Normal"/>
    <w:next w:val="Normal"/>
    <w:semiHidden/>
    <w:rsid w:val="009E5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5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55ED"/>
    <w:rPr>
      <w:rFonts w:ascii="Wingdings" w:hAnsi="Wingdings"/>
    </w:rPr>
  </w:style>
  <w:style w:type="paragraph" w:customStyle="1" w:styleId="TableHeading">
    <w:name w:val="Table Heading"/>
    <w:basedOn w:val="HeadingBase"/>
    <w:rsid w:val="009E55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5ED"/>
    <w:rPr>
      <w:color w:val="0033CC"/>
      <w:u w:val="none"/>
    </w:rPr>
  </w:style>
  <w:style w:type="paragraph" w:customStyle="1" w:styleId="BodyTextRight">
    <w:name w:val="Body Text Right"/>
    <w:basedOn w:val="BodyText"/>
    <w:rsid w:val="009E5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5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5ED"/>
    <w:rPr>
      <w:sz w:val="32"/>
    </w:rPr>
  </w:style>
  <w:style w:type="paragraph" w:customStyle="1" w:styleId="HeadingProcedure">
    <w:name w:val="Heading Procedure"/>
    <w:basedOn w:val="HeadingBase"/>
    <w:next w:val="Normal"/>
    <w:rsid w:val="009E5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5ED"/>
    <w:pPr>
      <w:spacing w:before="60" w:after="60"/>
    </w:pPr>
  </w:style>
  <w:style w:type="paragraph" w:styleId="ListContinue">
    <w:name w:val="List Continue"/>
    <w:basedOn w:val="List"/>
    <w:rsid w:val="009E55ED"/>
    <w:pPr>
      <w:ind w:firstLine="0"/>
    </w:pPr>
  </w:style>
  <w:style w:type="paragraph" w:customStyle="1" w:styleId="ListNote">
    <w:name w:val="List Note"/>
    <w:basedOn w:val="List"/>
    <w:rsid w:val="009E5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5ED"/>
    <w:rPr>
      <w:rFonts w:ascii="Courier New" w:hAnsi="Courier New"/>
    </w:rPr>
  </w:style>
  <w:style w:type="paragraph" w:customStyle="1" w:styleId="NoteBullet">
    <w:name w:val="Note Bullet"/>
    <w:basedOn w:val="Note"/>
    <w:rsid w:val="009E5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5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5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5ED"/>
    <w:rPr>
      <w:b/>
      <w:smallCaps/>
    </w:rPr>
  </w:style>
  <w:style w:type="paragraph" w:customStyle="1" w:styleId="TableListNumber">
    <w:name w:val="Table List Number"/>
    <w:basedOn w:val="ListNumber"/>
    <w:rsid w:val="009E5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5ED"/>
    <w:pPr>
      <w:numPr>
        <w:numId w:val="7"/>
      </w:numPr>
    </w:pPr>
  </w:style>
  <w:style w:type="paragraph" w:customStyle="1" w:styleId="ListAlpha2">
    <w:name w:val="List Alpha 2"/>
    <w:basedOn w:val="List2"/>
    <w:rsid w:val="009E55ED"/>
    <w:pPr>
      <w:numPr>
        <w:numId w:val="6"/>
      </w:numPr>
    </w:pPr>
  </w:style>
  <w:style w:type="paragraph" w:styleId="List2">
    <w:name w:val="List 2"/>
    <w:basedOn w:val="BodyText"/>
    <w:rsid w:val="009E55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5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5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55ED"/>
    <w:pPr>
      <w:numPr>
        <w:numId w:val="2"/>
      </w:numPr>
    </w:pPr>
  </w:style>
  <w:style w:type="paragraph" w:styleId="ListContinue2">
    <w:name w:val="List Continue 2"/>
    <w:basedOn w:val="List2"/>
    <w:rsid w:val="009E55ED"/>
    <w:pPr>
      <w:ind w:firstLine="0"/>
    </w:pPr>
  </w:style>
  <w:style w:type="paragraph" w:styleId="ListContinue3">
    <w:name w:val="List Continue 3"/>
    <w:basedOn w:val="List3"/>
    <w:rsid w:val="009E55ED"/>
    <w:pPr>
      <w:ind w:left="1021" w:firstLine="0"/>
    </w:pPr>
  </w:style>
  <w:style w:type="paragraph" w:styleId="ListContinue4">
    <w:name w:val="List Continue 4"/>
    <w:basedOn w:val="List4"/>
    <w:rsid w:val="009E55ED"/>
    <w:pPr>
      <w:ind w:firstLine="0"/>
    </w:pPr>
  </w:style>
  <w:style w:type="paragraph" w:styleId="ListContinue5">
    <w:name w:val="List Continue 5"/>
    <w:basedOn w:val="List5"/>
    <w:rsid w:val="009E55ED"/>
    <w:pPr>
      <w:ind w:firstLine="0"/>
    </w:pPr>
  </w:style>
  <w:style w:type="paragraph" w:styleId="ListNumber3">
    <w:name w:val="List Number 3"/>
    <w:basedOn w:val="List3"/>
    <w:rsid w:val="009E55ED"/>
    <w:pPr>
      <w:numPr>
        <w:numId w:val="3"/>
      </w:numPr>
    </w:pPr>
  </w:style>
  <w:style w:type="paragraph" w:styleId="ListNumber4">
    <w:name w:val="List Number 4"/>
    <w:basedOn w:val="List4"/>
    <w:rsid w:val="009E55ED"/>
    <w:pPr>
      <w:numPr>
        <w:numId w:val="4"/>
      </w:numPr>
    </w:pPr>
  </w:style>
  <w:style w:type="paragraph" w:styleId="ListNumber5">
    <w:name w:val="List Number 5"/>
    <w:basedOn w:val="List5"/>
    <w:rsid w:val="009E55ED"/>
    <w:pPr>
      <w:numPr>
        <w:numId w:val="5"/>
      </w:numPr>
    </w:pPr>
  </w:style>
  <w:style w:type="paragraph" w:styleId="BlockText">
    <w:name w:val="Block Text"/>
    <w:basedOn w:val="Normal"/>
    <w:rsid w:val="009E5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5ED"/>
    <w:rPr>
      <w:sz w:val="16"/>
      <w:vertAlign w:val="superscript"/>
    </w:rPr>
  </w:style>
  <w:style w:type="character" w:customStyle="1" w:styleId="Symbols">
    <w:name w:val="Symbols"/>
    <w:basedOn w:val="DefaultParagraphFont"/>
    <w:rsid w:val="009E55ED"/>
    <w:rPr>
      <w:rFonts w:ascii="Symbol" w:hAnsi="Symbol"/>
    </w:rPr>
  </w:style>
  <w:style w:type="character" w:customStyle="1" w:styleId="MenuOptions">
    <w:name w:val="Menu Options"/>
    <w:basedOn w:val="DefaultParagraphFont"/>
    <w:rsid w:val="009E5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5ED"/>
    <w:rPr>
      <w:b/>
    </w:rPr>
  </w:style>
  <w:style w:type="character" w:customStyle="1" w:styleId="Underlined">
    <w:name w:val="Underlined"/>
    <w:basedOn w:val="DefaultParagraphFont"/>
    <w:rsid w:val="009E55ED"/>
    <w:rPr>
      <w:u w:val="single"/>
    </w:rPr>
  </w:style>
  <w:style w:type="paragraph" w:customStyle="1" w:styleId="TableBodyTextRight">
    <w:name w:val="Table Body Text Right"/>
    <w:basedOn w:val="TableBodyText"/>
    <w:rsid w:val="009E5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5ED"/>
    <w:rPr>
      <w:sz w:val="18"/>
    </w:rPr>
  </w:style>
  <w:style w:type="paragraph" w:customStyle="1" w:styleId="BodySmallRight">
    <w:name w:val="Body Small Right"/>
    <w:basedOn w:val="BodyTextRight"/>
    <w:rsid w:val="009E55ED"/>
    <w:rPr>
      <w:sz w:val="18"/>
      <w:szCs w:val="18"/>
    </w:rPr>
  </w:style>
  <w:style w:type="paragraph" w:customStyle="1" w:styleId="MarginEdition">
    <w:name w:val="Margin Edition"/>
    <w:basedOn w:val="MarginNote"/>
    <w:rsid w:val="009E5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5ED"/>
    <w:rPr>
      <w:sz w:val="2"/>
      <w:szCs w:val="2"/>
    </w:rPr>
  </w:style>
  <w:style w:type="character" w:customStyle="1" w:styleId="Small">
    <w:name w:val="Small"/>
    <w:basedOn w:val="DefaultParagraphFont"/>
    <w:rsid w:val="009E55ED"/>
    <w:rPr>
      <w:sz w:val="16"/>
    </w:rPr>
  </w:style>
  <w:style w:type="paragraph" w:customStyle="1" w:styleId="WideTable">
    <w:name w:val="Wide Table"/>
    <w:basedOn w:val="Normal"/>
    <w:rsid w:val="009E5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5ED"/>
  </w:style>
  <w:style w:type="paragraph" w:styleId="Quote">
    <w:name w:val="Quote"/>
    <w:basedOn w:val="Heading1"/>
    <w:link w:val="QuoteChar"/>
    <w:qFormat/>
    <w:rsid w:val="009E5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5ED"/>
    <w:pPr>
      <w:pageBreakBefore/>
    </w:pPr>
  </w:style>
  <w:style w:type="paragraph" w:customStyle="1" w:styleId="Border">
    <w:name w:val="Border"/>
    <w:basedOn w:val="Normal"/>
    <w:qFormat/>
    <w:rsid w:val="009E5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5ED"/>
    <w:rPr>
      <w:u w:val="single"/>
    </w:rPr>
  </w:style>
  <w:style w:type="character" w:customStyle="1" w:styleId="BoldandItalics">
    <w:name w:val="Bold and Italics"/>
    <w:qFormat/>
    <w:rsid w:val="009E55ED"/>
    <w:rPr>
      <w:b/>
      <w:i/>
      <w:u w:val="none"/>
    </w:rPr>
  </w:style>
  <w:style w:type="paragraph" w:styleId="BalloonText">
    <w:name w:val="Balloon Text"/>
    <w:basedOn w:val="Normal"/>
    <w:link w:val="BalloonTextChar"/>
    <w:rsid w:val="009E5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5ED"/>
    <w:pPr>
      <w:spacing w:before="0" w:after="0"/>
    </w:pPr>
  </w:style>
  <w:style w:type="paragraph" w:customStyle="1" w:styleId="BodyTextBold">
    <w:name w:val="Body Text Bold"/>
    <w:basedOn w:val="BodyText"/>
    <w:qFormat/>
    <w:rsid w:val="009E55ED"/>
    <w:rPr>
      <w:b/>
    </w:rPr>
  </w:style>
  <w:style w:type="character" w:styleId="Hyperlink">
    <w:name w:val="Hyperlink"/>
    <w:basedOn w:val="DefaultParagraphFont"/>
    <w:uiPriority w:val="99"/>
    <w:unhideWhenUsed/>
    <w:rsid w:val="00E623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454</Words>
  <Characters>2911</Characters>
  <Application>Microsoft Office Word</Application>
  <DocSecurity>0</DocSecurity>
  <Lines>132</Lines>
  <Paragraphs>74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PUAEMR002 Assess emergency risk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