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486" w:rsidP="00491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PUAEMR001 Establish context for emergency risk assessment</w:t>
      </w:r>
      <w:r>
        <w:fldChar w:fldCharType="end"/>
      </w:r>
    </w:p>
    <w:p w:rsidR="00491486" w:rsidP="00491486">
      <w:pPr>
        <w:pStyle w:val="Version"/>
        <w:sectPr w:rsidSect="00A41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2DB" w:rsidP="00A412DB">
      <w:pPr>
        <w:pStyle w:val="SuperHeading"/>
      </w:pPr>
      <w:r w:rsidRPr="00A412DB">
        <w:t>PUAEMR001 Establish context for emergency risk assessment</w:t>
      </w:r>
    </w:p>
    <w:p w:rsidR="00000000" w:rsidRPr="00A412DB" w:rsidP="00A412DB">
      <w:pPr>
        <w:pStyle w:val="Heading1"/>
      </w:pPr>
      <w:bookmarkStart w:id="1" w:name="O_1024297"/>
      <w:bookmarkEnd w:id="1"/>
      <w:r w:rsidRPr="00A412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Release 1.</w:t>
            </w:r>
            <w:r w:rsidRPr="00A412DB">
              <w:t xml:space="preserve"> This is the first release of this unit of competency in the PUA Public Safety Training Package.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2" w:name="O_1024298"/>
      <w:bookmarkEnd w:id="2"/>
      <w:r w:rsidRPr="00A412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t>This unit of competency involves the skills and knowledge required to determi</w:t>
            </w:r>
            <w:r w:rsidRPr="00A412DB">
              <w:t xml:space="preserve">ne an emergency risk assessment’s objectives, scope, stakeholders and risk criteria. It includes identifying emergency risk assessment objectives and scope by research and consultation with stakeholders, clarifying roles and requirements with stakeholders </w:t>
            </w:r>
            <w:r w:rsidRPr="00A412DB">
              <w:t>to develop risk criteria and monitoring and reviewing an assessment.</w:t>
            </w:r>
          </w:p>
          <w:p w:rsidR="00000000" w:rsidRPr="00A412DB" w:rsidP="00A412DB">
            <w:pPr>
              <w:pStyle w:val="BodyText"/>
            </w:pPr>
            <w:r w:rsidRPr="00A412DB">
              <w:t>The unit is applicable to personnel required to initiate an emergency risk assessment with a community or part of a community. Such assessments are conducted at local, regional or state l</w:t>
            </w:r>
            <w:r w:rsidRPr="00A412DB">
              <w:t>evel by local governments, emergency management committees, public safety agencies, major event managers or other organisations that need to understand emergency risk to a community.</w:t>
            </w:r>
          </w:p>
          <w:p w:rsidR="00000000" w:rsidRPr="00A412DB" w:rsidP="00A412DB">
            <w:pPr>
              <w:pStyle w:val="BodyText"/>
            </w:pPr>
            <w:r w:rsidRPr="00A412DB">
              <w:t>No licensing, legislative or certification requirements apply to this uni</w:t>
            </w:r>
            <w:r w:rsidRPr="00A412DB">
              <w:t>t at the time of publication.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3" w:name="O_1024299"/>
      <w:bookmarkEnd w:id="3"/>
      <w:r w:rsidRPr="00A412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t>Not applicable.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4" w:name="O_1024300"/>
      <w:bookmarkEnd w:id="4"/>
      <w:r w:rsidRPr="00A412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t>Emergency Management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5" w:name="O_1024301"/>
      <w:bookmarkEnd w:id="5"/>
      <w:r w:rsidRPr="00A412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t>Not applicable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6" w:name="O_1024302"/>
      <w:bookmarkEnd w:id="6"/>
      <w:r w:rsidRPr="00A412D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PERFORMANCE CRITERIA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Performance criteria describe the performance needed to demonstrate achievement of the element.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 xml:space="preserve">Identify objectives and scope by research and </w:t>
            </w:r>
            <w:r w:rsidRPr="00A412DB">
              <w:rPr>
                <w:rStyle w:val="SpecialBold"/>
              </w:rPr>
              <w:t>consultation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 xml:space="preserve">Objectives and scope are identified using emergency risk management standards and guidelines 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Stakeholder roles and required scope inputs are determined, in accordance with organisational policies and procedures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Budget, timeframe and schedule</w:t>
            </w:r>
            <w:r w:rsidRPr="00A412DB">
              <w:t xml:space="preserve"> for research and consultation are determined, in accordance with organisational policies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Community information is obtained, in accordance with organisational policies and procedures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Identify and consult with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Stakeholders are identified, in accordance with organisational policies and communication procedures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Existing and potential liaison networks are identified and evaluated for relevance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Stakeholder networks are developed using a range of strate</w:t>
            </w:r>
            <w:r w:rsidRPr="00A412DB">
              <w:t>gies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Communication and consultation are established, in accordance with organisational policies and procedures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Communication options are evaluated and selected to develop a communication plan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Clarify roles and requirements with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Stakeholder roles and their participation are clearly defined and emphasised in seeking their cooperation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Stakeholders are informed of the aims, objectives, risk management context and structure within which they must operate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Stakeholder needs are determined with conflicting requirements being identified, recorded and communicated to relevant personnel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Develop risk criteria with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Social, environmental, financial and timeframe constraints are identified in consultation with stakeholders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Legal, technical and political considerations are identified in consultation with stakeholders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 xml:space="preserve">Reasons and selection of criteria are negotiated and agreed with stakeholders 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Risk criteria and practical constraints are determined taking into account the community’s acceptance of risk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Community expectations of acceptable risk are established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rPr>
                <w:rStyle w:val="SpecialBold"/>
              </w:rPr>
              <w:t>Monitor and review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t>Hazard and risk assessment context and evaluation criteria are monitored, in accordance with organisational policies and procedures</w:t>
            </w:r>
          </w:p>
        </w:tc>
      </w:tr>
      <w:tr w:rsidTr="00A412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2DB">
            <w:pPr>
              <w:pStyle w:val="BodyText"/>
              <w:rPr>
                <w:lang w:val="en-NZ"/>
              </w:rPr>
            </w:pPr>
            <w:r w:rsidRPr="00A412D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t>Risk assessment evaluation criter</w:t>
            </w:r>
            <w:r w:rsidRPr="00A412DB">
              <w:t>ia are reviewed, in accordance with industry standards and guidelines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7" w:name="O_1024303"/>
      <w:bookmarkEnd w:id="7"/>
      <w:r w:rsidRPr="00A412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t>Foundation skills essential to performance are explicit in the performance criteria of this unit of competency.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8" w:name="O_1024304"/>
      <w:bookmarkEnd w:id="8"/>
      <w:r w:rsidRPr="00A412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t>Range is restricted to essential operating conditions and any other variables essential to the work environment.</w:t>
            </w:r>
          </w:p>
          <w:p w:rsidR="00000000" w:rsidRPr="00A412DB" w:rsidP="00A412DB">
            <w:pPr>
              <w:pStyle w:val="BodyText"/>
            </w:pPr>
            <w:r w:rsidRPr="00A412DB">
              <w:t>Non-essential conditions may be found in the Companion Volume Implementation Guide.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9" w:name="O_1024305"/>
      <w:bookmarkEnd w:id="9"/>
      <w:r w:rsidRPr="00A412DB">
        <w:t>Unit Mapping Infor</w:t>
      </w:r>
      <w:r w:rsidRPr="00A412DB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2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2DB" w:rsidP="00A412DB">
            <w:pPr>
              <w:pStyle w:val="BodyText"/>
            </w:pPr>
            <w:r w:rsidRPr="00A412DB">
              <w:t>This unit replaces and is equivalent to PUAEMR022 Establish context for emergency risk assessment.</w:t>
            </w:r>
          </w:p>
        </w:tc>
      </w:tr>
    </w:tbl>
    <w:p w:rsidR="00000000" w:rsidRPr="00A412DB" w:rsidP="00A412DB">
      <w:pPr>
        <w:pStyle w:val="NoPaddingFontSize1"/>
      </w:pPr>
    </w:p>
    <w:p w:rsidR="00000000" w:rsidRPr="00A412DB" w:rsidP="00A412DB">
      <w:pPr>
        <w:pStyle w:val="AllowPageBreak"/>
      </w:pPr>
    </w:p>
    <w:p w:rsidR="00000000" w:rsidRPr="00A412DB" w:rsidP="00A412DB">
      <w:pPr>
        <w:pStyle w:val="Heading1"/>
      </w:pPr>
      <w:bookmarkStart w:id="10" w:name="O_1024312"/>
      <w:bookmarkEnd w:id="10"/>
      <w:r w:rsidRPr="00A412DB">
        <w:t>Links</w:t>
      </w:r>
    </w:p>
    <w:p w:rsidR="00000000" w:rsidRPr="00A412DB" w:rsidP="00491486">
      <w:pPr>
        <w:pStyle w:val="BodyText"/>
      </w:pPr>
      <w:r w:rsidRPr="00A412D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3423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412DB" w:rsidP="00A412DB"/>
    <w:sectPr w:rsidSect="00A412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2DB" w:rsidRPr="00491486" w:rsidP="00491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86" w:rsidP="00A41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486" w:rsidP="00A41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91486" w:rsidP="00A41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2DB" w:rsidRPr="00491486" w:rsidP="00491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86" w:rsidRPr="002D2AF8" w:rsidP="00A41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PUAEMR001 Establish context for emergency risk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91486" w:rsidP="00A41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2DB"/>
  </w:style>
  <w:style w:type="character" w:customStyle="1" w:styleId="Heading1Char">
    <w:name w:val="Heading 1 Char"/>
    <w:basedOn w:val="DefaultParagraphFont"/>
    <w:link w:val="Heading1"/>
    <w:rsid w:val="00A41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2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12DB"/>
    <w:rPr>
      <w:b/>
      <w:spacing w:val="0"/>
    </w:rPr>
  </w:style>
  <w:style w:type="paragraph" w:customStyle="1" w:styleId="SuperHeading">
    <w:name w:val="SuperHeading"/>
    <w:basedOn w:val="Normal"/>
    <w:rsid w:val="00A41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1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2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2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12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1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2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2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2DB"/>
    <w:rPr>
      <w:i/>
    </w:rPr>
  </w:style>
  <w:style w:type="paragraph" w:styleId="Caption">
    <w:name w:val="caption"/>
    <w:basedOn w:val="BodyText"/>
    <w:next w:val="Normal"/>
    <w:qFormat/>
    <w:rsid w:val="00A41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2DB"/>
  </w:style>
  <w:style w:type="paragraph" w:styleId="TableofFigures">
    <w:name w:val="table of figures"/>
    <w:basedOn w:val="Normal"/>
    <w:next w:val="Normal"/>
    <w:semiHidden/>
    <w:rsid w:val="00A41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2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12DB"/>
    <w:rPr>
      <w:rFonts w:ascii="Wingdings" w:hAnsi="Wingdings"/>
    </w:rPr>
  </w:style>
  <w:style w:type="paragraph" w:customStyle="1" w:styleId="TableHeading">
    <w:name w:val="Table Heading"/>
    <w:basedOn w:val="HeadingBase"/>
    <w:rsid w:val="00A41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2DB"/>
    <w:rPr>
      <w:color w:val="0033CC"/>
      <w:u w:val="none"/>
    </w:rPr>
  </w:style>
  <w:style w:type="paragraph" w:customStyle="1" w:styleId="BodyTextRight">
    <w:name w:val="Body Text Right"/>
    <w:basedOn w:val="BodyText"/>
    <w:rsid w:val="00A41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2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2DB"/>
    <w:rPr>
      <w:sz w:val="32"/>
    </w:rPr>
  </w:style>
  <w:style w:type="paragraph" w:customStyle="1" w:styleId="HeadingProcedure">
    <w:name w:val="Heading Procedure"/>
    <w:basedOn w:val="HeadingBase"/>
    <w:next w:val="Normal"/>
    <w:rsid w:val="00A41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2DB"/>
    <w:pPr>
      <w:spacing w:before="60" w:after="60"/>
    </w:pPr>
  </w:style>
  <w:style w:type="paragraph" w:styleId="ListContinue">
    <w:name w:val="List Continue"/>
    <w:basedOn w:val="List"/>
    <w:rsid w:val="00A412DB"/>
    <w:pPr>
      <w:ind w:firstLine="0"/>
    </w:pPr>
  </w:style>
  <w:style w:type="paragraph" w:customStyle="1" w:styleId="ListNote">
    <w:name w:val="List Note"/>
    <w:basedOn w:val="List"/>
    <w:rsid w:val="00A41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2DB"/>
    <w:rPr>
      <w:rFonts w:ascii="Courier New" w:hAnsi="Courier New"/>
    </w:rPr>
  </w:style>
  <w:style w:type="paragraph" w:customStyle="1" w:styleId="NoteBullet">
    <w:name w:val="Note Bullet"/>
    <w:basedOn w:val="Note"/>
    <w:rsid w:val="00A41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2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1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2DB"/>
    <w:rPr>
      <w:b/>
      <w:smallCaps/>
    </w:rPr>
  </w:style>
  <w:style w:type="paragraph" w:customStyle="1" w:styleId="TableListNumber">
    <w:name w:val="Table List Number"/>
    <w:basedOn w:val="ListNumber"/>
    <w:rsid w:val="00A41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2DB"/>
    <w:pPr>
      <w:numPr>
        <w:numId w:val="7"/>
      </w:numPr>
    </w:pPr>
  </w:style>
  <w:style w:type="paragraph" w:customStyle="1" w:styleId="ListAlpha2">
    <w:name w:val="List Alpha 2"/>
    <w:basedOn w:val="List2"/>
    <w:rsid w:val="00A412DB"/>
    <w:pPr>
      <w:numPr>
        <w:numId w:val="6"/>
      </w:numPr>
    </w:pPr>
  </w:style>
  <w:style w:type="paragraph" w:styleId="List2">
    <w:name w:val="List 2"/>
    <w:basedOn w:val="BodyText"/>
    <w:rsid w:val="00A41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2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2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12DB"/>
    <w:pPr>
      <w:numPr>
        <w:numId w:val="2"/>
      </w:numPr>
    </w:pPr>
  </w:style>
  <w:style w:type="paragraph" w:styleId="ListContinue2">
    <w:name w:val="List Continue 2"/>
    <w:basedOn w:val="List2"/>
    <w:rsid w:val="00A412DB"/>
    <w:pPr>
      <w:ind w:firstLine="0"/>
    </w:pPr>
  </w:style>
  <w:style w:type="paragraph" w:styleId="ListContinue3">
    <w:name w:val="List Continue 3"/>
    <w:basedOn w:val="List3"/>
    <w:rsid w:val="00A412DB"/>
    <w:pPr>
      <w:ind w:left="1021" w:firstLine="0"/>
    </w:pPr>
  </w:style>
  <w:style w:type="paragraph" w:styleId="ListContinue4">
    <w:name w:val="List Continue 4"/>
    <w:basedOn w:val="List4"/>
    <w:rsid w:val="00A412DB"/>
    <w:pPr>
      <w:ind w:firstLine="0"/>
    </w:pPr>
  </w:style>
  <w:style w:type="paragraph" w:styleId="ListContinue5">
    <w:name w:val="List Continue 5"/>
    <w:basedOn w:val="List5"/>
    <w:rsid w:val="00A412DB"/>
    <w:pPr>
      <w:ind w:firstLine="0"/>
    </w:pPr>
  </w:style>
  <w:style w:type="paragraph" w:styleId="ListNumber3">
    <w:name w:val="List Number 3"/>
    <w:basedOn w:val="List3"/>
    <w:rsid w:val="00A412DB"/>
    <w:pPr>
      <w:numPr>
        <w:numId w:val="3"/>
      </w:numPr>
    </w:pPr>
  </w:style>
  <w:style w:type="paragraph" w:styleId="ListNumber4">
    <w:name w:val="List Number 4"/>
    <w:basedOn w:val="List4"/>
    <w:rsid w:val="00A412DB"/>
    <w:pPr>
      <w:numPr>
        <w:numId w:val="4"/>
      </w:numPr>
    </w:pPr>
  </w:style>
  <w:style w:type="paragraph" w:styleId="ListNumber5">
    <w:name w:val="List Number 5"/>
    <w:basedOn w:val="List5"/>
    <w:rsid w:val="00A412DB"/>
    <w:pPr>
      <w:numPr>
        <w:numId w:val="5"/>
      </w:numPr>
    </w:pPr>
  </w:style>
  <w:style w:type="paragraph" w:styleId="BlockText">
    <w:name w:val="Block Text"/>
    <w:basedOn w:val="Normal"/>
    <w:rsid w:val="00A41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2DB"/>
    <w:rPr>
      <w:sz w:val="16"/>
      <w:vertAlign w:val="superscript"/>
    </w:rPr>
  </w:style>
  <w:style w:type="character" w:customStyle="1" w:styleId="Symbols">
    <w:name w:val="Symbols"/>
    <w:basedOn w:val="DefaultParagraphFont"/>
    <w:rsid w:val="00A412DB"/>
    <w:rPr>
      <w:rFonts w:ascii="Symbol" w:hAnsi="Symbol"/>
    </w:rPr>
  </w:style>
  <w:style w:type="character" w:customStyle="1" w:styleId="MenuOptions">
    <w:name w:val="Menu Options"/>
    <w:basedOn w:val="DefaultParagraphFont"/>
    <w:rsid w:val="00A41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2DB"/>
    <w:rPr>
      <w:b/>
    </w:rPr>
  </w:style>
  <w:style w:type="character" w:customStyle="1" w:styleId="Underlined">
    <w:name w:val="Underlined"/>
    <w:basedOn w:val="DefaultParagraphFont"/>
    <w:rsid w:val="00A412DB"/>
    <w:rPr>
      <w:u w:val="single"/>
    </w:rPr>
  </w:style>
  <w:style w:type="paragraph" w:customStyle="1" w:styleId="TableBodyTextRight">
    <w:name w:val="Table Body Text Right"/>
    <w:basedOn w:val="TableBodyText"/>
    <w:rsid w:val="00A41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2DB"/>
    <w:rPr>
      <w:sz w:val="18"/>
    </w:rPr>
  </w:style>
  <w:style w:type="paragraph" w:customStyle="1" w:styleId="BodySmallRight">
    <w:name w:val="Body Small Right"/>
    <w:basedOn w:val="BodyTextRight"/>
    <w:rsid w:val="00A412DB"/>
    <w:rPr>
      <w:sz w:val="18"/>
      <w:szCs w:val="18"/>
    </w:rPr>
  </w:style>
  <w:style w:type="paragraph" w:customStyle="1" w:styleId="MarginEdition">
    <w:name w:val="Margin Edition"/>
    <w:basedOn w:val="MarginNote"/>
    <w:rsid w:val="00A41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2DB"/>
    <w:rPr>
      <w:sz w:val="2"/>
      <w:szCs w:val="2"/>
    </w:rPr>
  </w:style>
  <w:style w:type="character" w:customStyle="1" w:styleId="Small">
    <w:name w:val="Small"/>
    <w:basedOn w:val="DefaultParagraphFont"/>
    <w:rsid w:val="00A412DB"/>
    <w:rPr>
      <w:sz w:val="16"/>
    </w:rPr>
  </w:style>
  <w:style w:type="paragraph" w:customStyle="1" w:styleId="WideTable">
    <w:name w:val="Wide Table"/>
    <w:basedOn w:val="Normal"/>
    <w:rsid w:val="00A41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2DB"/>
  </w:style>
  <w:style w:type="paragraph" w:styleId="Quote">
    <w:name w:val="Quote"/>
    <w:basedOn w:val="Heading1"/>
    <w:link w:val="QuoteChar"/>
    <w:qFormat/>
    <w:rsid w:val="00A41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2DB"/>
    <w:pPr>
      <w:pageBreakBefore/>
    </w:pPr>
  </w:style>
  <w:style w:type="paragraph" w:customStyle="1" w:styleId="Border">
    <w:name w:val="Border"/>
    <w:basedOn w:val="Normal"/>
    <w:qFormat/>
    <w:rsid w:val="00A41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2DB"/>
    <w:rPr>
      <w:u w:val="single"/>
    </w:rPr>
  </w:style>
  <w:style w:type="character" w:customStyle="1" w:styleId="BoldandItalics">
    <w:name w:val="Bold and Italics"/>
    <w:qFormat/>
    <w:rsid w:val="00A412DB"/>
    <w:rPr>
      <w:b/>
      <w:i/>
      <w:u w:val="none"/>
    </w:rPr>
  </w:style>
  <w:style w:type="paragraph" w:styleId="BalloonText">
    <w:name w:val="Balloon Text"/>
    <w:basedOn w:val="Normal"/>
    <w:link w:val="BalloonTextChar"/>
    <w:rsid w:val="00A41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2DB"/>
    <w:pPr>
      <w:spacing w:before="0" w:after="0"/>
    </w:pPr>
  </w:style>
  <w:style w:type="paragraph" w:customStyle="1" w:styleId="BodyTextBold">
    <w:name w:val="Body Text Bold"/>
    <w:basedOn w:val="BodyText"/>
    <w:qFormat/>
    <w:rsid w:val="00A412DB"/>
    <w:rPr>
      <w:b/>
    </w:rPr>
  </w:style>
  <w:style w:type="character" w:styleId="Hyperlink">
    <w:name w:val="Hyperlink"/>
    <w:basedOn w:val="DefaultParagraphFont"/>
    <w:uiPriority w:val="99"/>
    <w:unhideWhenUsed/>
    <w:rsid w:val="00491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3925</Characters>
  <Application>Microsoft Office Word</Application>
  <DocSecurity>0</DocSecurity>
  <Lines>186</Lines>
  <Paragraphs>92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PUAEMR001 Establish context for emergency risk assessment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