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5A18" w:rsidP="00CC5A18">
      <w:pPr>
        <w:pStyle w:val="Title"/>
      </w:pPr>
      <w:r>
        <w:fldChar w:fldCharType="begin"/>
      </w:r>
      <w:r>
        <w:instrText xml:space="preserve"> TITLE   \* MERGEFORMAT </w:instrText>
      </w:r>
      <w:r>
        <w:fldChar w:fldCharType="separate"/>
      </w:r>
      <w:r>
        <w:t>PUAECL001 Evaluate societal threats, uncertainty and surprise</w:t>
      </w:r>
      <w:r>
        <w:fldChar w:fldCharType="end"/>
      </w:r>
    </w:p>
    <w:p w:rsidR="00CC5A18" w:rsidP="00CC5A18">
      <w:pPr>
        <w:pStyle w:val="Version"/>
        <w:sectPr w:rsidSect="00A65C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5CDE" w:rsidP="00A65CDE">
      <w:pPr>
        <w:pStyle w:val="SuperHeading"/>
      </w:pPr>
      <w:r w:rsidRPr="00A65CDE">
        <w:t>PUAECL001 Evaluate societal threats, uncertainty and surprise</w:t>
      </w:r>
    </w:p>
    <w:p w:rsidR="00000000" w:rsidRPr="00A65CDE" w:rsidP="00A65CDE">
      <w:pPr>
        <w:pStyle w:val="Heading1"/>
      </w:pPr>
      <w:bookmarkStart w:id="1" w:name="O_1023860"/>
      <w:bookmarkEnd w:id="1"/>
      <w:r w:rsidRPr="00A65CDE">
        <w:t>Modification History</w:t>
      </w:r>
    </w:p>
    <w:tbl>
      <w:tblPr>
        <w:tblW w:w="9497" w:type="dxa"/>
        <w:tblLayout w:type="fixed"/>
        <w:tblCellMar>
          <w:left w:w="62" w:type="dxa"/>
          <w:right w:w="62" w:type="dxa"/>
        </w:tblCellMar>
        <w:tblLook w:val="0000"/>
      </w:tblPr>
      <w:tblGrid>
        <w:gridCol w:w="9497"/>
      </w:tblGrid>
      <w:tr w:rsidTr="00A65C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5CDE" w:rsidP="00A65CDE">
            <w:pPr>
              <w:pStyle w:val="BodyText"/>
            </w:pPr>
            <w:r w:rsidRPr="00A65CDE">
              <w:rPr>
                <w:rStyle w:val="SpecialBold"/>
              </w:rPr>
              <w:t>Release 1.</w:t>
            </w:r>
            <w:r w:rsidRPr="00A65CDE">
              <w:t xml:space="preserve"> This is the first release of this unit of competency in the Public Safety Training Package.</w:t>
            </w:r>
          </w:p>
        </w:tc>
      </w:tr>
    </w:tbl>
    <w:p w:rsidR="00000000" w:rsidRPr="00A65CDE" w:rsidP="00A65CDE">
      <w:pPr>
        <w:pStyle w:val="NoPaddingFontSize1"/>
      </w:pPr>
    </w:p>
    <w:p w:rsidR="00000000" w:rsidRPr="00A65CDE" w:rsidP="00A65CDE">
      <w:pPr>
        <w:pStyle w:val="AllowPageBreak"/>
      </w:pPr>
    </w:p>
    <w:p w:rsidR="00000000" w:rsidRPr="00A65CDE" w:rsidP="00A65CDE">
      <w:pPr>
        <w:pStyle w:val="Heading1"/>
      </w:pPr>
      <w:bookmarkStart w:id="2" w:name="O_1023861"/>
      <w:bookmarkEnd w:id="2"/>
      <w:r w:rsidRPr="00A65CDE">
        <w:t>Application</w:t>
      </w:r>
    </w:p>
    <w:tbl>
      <w:tblPr>
        <w:tblW w:w="9497" w:type="dxa"/>
        <w:tblLayout w:type="fixed"/>
        <w:tblCellMar>
          <w:left w:w="62" w:type="dxa"/>
          <w:right w:w="62" w:type="dxa"/>
        </w:tblCellMar>
        <w:tblLook w:val="0000"/>
      </w:tblPr>
      <w:tblGrid>
        <w:gridCol w:w="9497"/>
      </w:tblGrid>
      <w:tr w:rsidTr="00A65C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5CDE" w:rsidP="00A65CDE">
            <w:pPr>
              <w:pStyle w:val="BodyText"/>
            </w:pPr>
            <w:r w:rsidRPr="00A65CDE">
              <w:t>This unit describes the skills and knowledge</w:t>
            </w:r>
            <w:r w:rsidRPr="00A65CDE">
              <w:t xml:space="preserve"> required to evaluate societal threats, surprise and uncertainty based on research, intelligence gathering, policy guidelines and planning outcomes. It applies to roles with responsibility for risk mitigation, crisis preparedness, crisis response and recov</w:t>
            </w:r>
            <w:r w:rsidRPr="00A65CDE">
              <w:t>ery functions for communities and/or organisations.</w:t>
            </w:r>
          </w:p>
          <w:p w:rsidR="00000000" w:rsidRPr="00A65CDE" w:rsidP="00A65CDE">
            <w:pPr>
              <w:pStyle w:val="BodyText"/>
            </w:pPr>
            <w:r w:rsidRPr="00A65CDE">
              <w:t>A crisis includes varying events of significant disruption that can have broad effects on relationships among community and/or organisation members. It is characterised by high levels of adversity, ambigu</w:t>
            </w:r>
            <w:r w:rsidRPr="00A65CDE">
              <w:t xml:space="preserve">ity, uncertainty, opportunity and change. Leaders in a crisis need to independently make sense of uncertain situations, creatively seek solutions and apply judgment and decision making in highly pressurised environments. </w:t>
            </w:r>
          </w:p>
          <w:p w:rsidR="00000000" w:rsidRPr="00A65CDE" w:rsidP="00A65CDE">
            <w:pPr>
              <w:pStyle w:val="BodyText"/>
            </w:pPr>
            <w:r w:rsidRPr="00A65CDE">
              <w:t>Emergency services leaders work in</w:t>
            </w:r>
            <w:r w:rsidRPr="00A65CDE">
              <w:t xml:space="preserve"> highly autonomous roles, within collegiate environments, that require the ability to exercise and display initiative and to design, plan, conduct and report research activities. Emergency service leadership roles are complex requiring the individual to ma</w:t>
            </w:r>
            <w:r w:rsidRPr="00A65CDE">
              <w:t>ke ethical decisions in variable, evolving and dynamic circumstances.</w:t>
            </w:r>
          </w:p>
          <w:p w:rsidR="00000000" w:rsidRPr="00A65CDE" w:rsidP="00A65CDE">
            <w:pPr>
              <w:pStyle w:val="BodyText"/>
            </w:pPr>
            <w:r w:rsidRPr="00A65CDE">
              <w:t>No licensing, legislative or certification requirements apply to unit at the time of publication.</w:t>
            </w:r>
          </w:p>
        </w:tc>
      </w:tr>
    </w:tbl>
    <w:p w:rsidR="00000000" w:rsidRPr="00A65CDE" w:rsidP="00A65CDE">
      <w:pPr>
        <w:pStyle w:val="NoPaddingFontSize1"/>
      </w:pPr>
    </w:p>
    <w:p w:rsidR="00000000" w:rsidRPr="00A65CDE" w:rsidP="00A65CDE">
      <w:pPr>
        <w:pStyle w:val="AllowPageBreak"/>
      </w:pPr>
    </w:p>
    <w:p w:rsidR="00000000" w:rsidRPr="00A65CDE" w:rsidP="00A65CDE">
      <w:pPr>
        <w:pStyle w:val="Heading1"/>
      </w:pPr>
      <w:bookmarkStart w:id="3" w:name="O_1023862"/>
      <w:bookmarkEnd w:id="3"/>
      <w:r w:rsidRPr="00A65CDE">
        <w:t>Pre-requisite Unit</w:t>
      </w:r>
    </w:p>
    <w:tbl>
      <w:tblPr>
        <w:tblW w:w="9497" w:type="dxa"/>
        <w:tblLayout w:type="fixed"/>
        <w:tblCellMar>
          <w:left w:w="62" w:type="dxa"/>
          <w:right w:w="62" w:type="dxa"/>
        </w:tblCellMar>
        <w:tblLook w:val="0000"/>
      </w:tblPr>
      <w:tblGrid>
        <w:gridCol w:w="9497"/>
      </w:tblGrid>
      <w:tr w:rsidTr="00A65C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5CDE" w:rsidP="00A65CDE">
            <w:pPr>
              <w:pStyle w:val="BodyText"/>
            </w:pPr>
            <w:r w:rsidRPr="00A65CDE">
              <w:t>Not applicable.</w:t>
            </w:r>
          </w:p>
        </w:tc>
      </w:tr>
    </w:tbl>
    <w:p w:rsidR="00000000" w:rsidRPr="00A65CDE" w:rsidP="00A65CDE">
      <w:pPr>
        <w:pStyle w:val="NoPaddingFontSize1"/>
      </w:pPr>
    </w:p>
    <w:p w:rsidR="00000000" w:rsidRPr="00A65CDE" w:rsidP="00A65CDE">
      <w:pPr>
        <w:pStyle w:val="AllowPageBreak"/>
      </w:pPr>
    </w:p>
    <w:p w:rsidR="00000000" w:rsidRPr="00A65CDE" w:rsidP="00A65CDE">
      <w:pPr>
        <w:pStyle w:val="Heading1"/>
      </w:pPr>
      <w:bookmarkStart w:id="4" w:name="O_1023863"/>
      <w:bookmarkEnd w:id="4"/>
      <w:r w:rsidRPr="00A65CDE">
        <w:t xml:space="preserve">Competency </w:t>
      </w:r>
      <w:r w:rsidRPr="00A65CDE">
        <w:t>Field</w:t>
      </w:r>
    </w:p>
    <w:tbl>
      <w:tblPr>
        <w:tblW w:w="9497" w:type="dxa"/>
        <w:tblLayout w:type="fixed"/>
        <w:tblCellMar>
          <w:left w:w="62" w:type="dxa"/>
          <w:right w:w="62" w:type="dxa"/>
        </w:tblCellMar>
        <w:tblLook w:val="0000"/>
      </w:tblPr>
      <w:tblGrid>
        <w:gridCol w:w="9497"/>
      </w:tblGrid>
      <w:tr w:rsidTr="00A65C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5CDE" w:rsidP="00A65CDE">
            <w:pPr>
              <w:pStyle w:val="BodyText"/>
            </w:pPr>
            <w:r w:rsidRPr="00A65CDE">
              <w:t>Emergency Management</w:t>
            </w:r>
          </w:p>
        </w:tc>
      </w:tr>
    </w:tbl>
    <w:p w:rsidR="00000000" w:rsidRPr="00A65CDE" w:rsidP="00A65CDE">
      <w:pPr>
        <w:pStyle w:val="NoPaddingFontSize1"/>
      </w:pPr>
    </w:p>
    <w:p w:rsidR="00000000" w:rsidRPr="00A65CDE" w:rsidP="00A65CDE">
      <w:pPr>
        <w:pStyle w:val="AllowPageBreak"/>
      </w:pPr>
    </w:p>
    <w:p w:rsidR="00000000" w:rsidRPr="00A65CDE" w:rsidP="00A65CDE">
      <w:pPr>
        <w:pStyle w:val="Heading1"/>
      </w:pPr>
      <w:bookmarkStart w:id="5" w:name="O_1023864"/>
      <w:bookmarkEnd w:id="5"/>
      <w:r w:rsidRPr="00A65CDE">
        <w:t>Unit Sector</w:t>
      </w:r>
    </w:p>
    <w:tbl>
      <w:tblPr>
        <w:tblW w:w="9497" w:type="dxa"/>
        <w:tblLayout w:type="fixed"/>
        <w:tblCellMar>
          <w:left w:w="62" w:type="dxa"/>
          <w:right w:w="62" w:type="dxa"/>
        </w:tblCellMar>
        <w:tblLook w:val="0000"/>
      </w:tblPr>
      <w:tblGrid>
        <w:gridCol w:w="9497"/>
      </w:tblGrid>
      <w:tr w:rsidTr="00A65C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5CDE" w:rsidP="00A65CDE">
            <w:pPr>
              <w:pStyle w:val="BodyText"/>
            </w:pPr>
            <w:r w:rsidRPr="00A65CDE">
              <w:t>Not applicable</w:t>
            </w:r>
          </w:p>
        </w:tc>
      </w:tr>
    </w:tbl>
    <w:p w:rsidR="00000000" w:rsidRPr="00A65CDE" w:rsidP="00A65CDE">
      <w:pPr>
        <w:pStyle w:val="NoPaddingFontSize1"/>
      </w:pPr>
    </w:p>
    <w:p w:rsidR="00000000" w:rsidRPr="00A65CDE" w:rsidP="00A65CDE">
      <w:pPr>
        <w:pStyle w:val="AllowPageBreak"/>
      </w:pPr>
    </w:p>
    <w:p w:rsidR="00000000" w:rsidRPr="00A65CDE" w:rsidP="00A65CDE">
      <w:pPr>
        <w:pStyle w:val="Heading1"/>
      </w:pPr>
      <w:bookmarkStart w:id="6" w:name="O_1023865"/>
      <w:bookmarkEnd w:id="6"/>
      <w:r w:rsidRPr="00A65CDE">
        <w:t>Elements and Performance Criteria</w:t>
      </w:r>
    </w:p>
    <w:tbl>
      <w:tblPr>
        <w:tblW w:w="9498" w:type="dxa"/>
        <w:tblLayout w:type="fixed"/>
        <w:tblCellMar>
          <w:left w:w="62" w:type="dxa"/>
          <w:right w:w="62" w:type="dxa"/>
        </w:tblCellMar>
        <w:tblLook w:val="0000"/>
      </w:tblPr>
      <w:tblGrid>
        <w:gridCol w:w="464"/>
        <w:gridCol w:w="2725"/>
        <w:gridCol w:w="716"/>
        <w:gridCol w:w="5593"/>
      </w:tblGrid>
      <w:tr w:rsidTr="00A65CDE">
        <w:tblPrEx>
          <w:tblW w:w="9498" w:type="dxa"/>
          <w:tblLayout w:type="fixed"/>
          <w:tblCellMar>
            <w:left w:w="62" w:type="dxa"/>
            <w:right w:w="62" w:type="dxa"/>
          </w:tblCellMar>
          <w:tblLook w:val="0000"/>
        </w:tblPrEx>
        <w:tc>
          <w:tcPr>
            <w:tcW w:w="3189" w:type="dxa"/>
            <w:gridSpan w:val="2"/>
            <w:tcBorders>
              <w:top w:val="nil"/>
              <w:left w:val="nil"/>
              <w:bottom w:val="nil"/>
              <w:right w:val="nil"/>
            </w:tcBorders>
            <w:tcMar>
              <w:top w:w="0" w:type="dxa"/>
              <w:left w:w="62" w:type="dxa"/>
              <w:bottom w:w="0" w:type="dxa"/>
              <w:right w:w="62" w:type="dxa"/>
            </w:tcMar>
          </w:tcPr>
          <w:p w:rsidR="00000000" w:rsidRPr="00A65CDE" w:rsidP="00A65CDE">
            <w:pPr>
              <w:pStyle w:val="BodyText"/>
            </w:pPr>
            <w:r w:rsidRPr="00A65CDE">
              <w:rPr>
                <w:rStyle w:val="SpecialBold"/>
              </w:rPr>
              <w:t>ELEMENTS</w:t>
            </w:r>
          </w:p>
        </w:tc>
        <w:tc>
          <w:tcPr>
            <w:tcW w:w="6309" w:type="dxa"/>
            <w:gridSpan w:val="2"/>
            <w:tcBorders>
              <w:top w:val="nil"/>
              <w:left w:val="nil"/>
              <w:bottom w:val="nil"/>
              <w:right w:val="nil"/>
            </w:tcBorders>
            <w:tcMar>
              <w:top w:w="0" w:type="dxa"/>
              <w:left w:w="62" w:type="dxa"/>
              <w:bottom w:w="0" w:type="dxa"/>
              <w:right w:w="62" w:type="dxa"/>
            </w:tcMar>
          </w:tcPr>
          <w:p w:rsidR="00000000" w:rsidP="00A65CDE">
            <w:pPr>
              <w:pStyle w:val="BodyText"/>
              <w:rPr>
                <w:lang w:val="en-NZ"/>
              </w:rPr>
            </w:pPr>
            <w:r w:rsidRPr="00A65CDE">
              <w:rPr>
                <w:rStyle w:val="SpecialBold"/>
              </w:rPr>
              <w:t>PERFORMANCE CRITERIA</w:t>
            </w:r>
          </w:p>
        </w:tc>
      </w:tr>
      <w:tr w:rsidTr="00A65CDE">
        <w:tblPrEx>
          <w:tblW w:w="9498" w:type="dxa"/>
          <w:tblLayout w:type="fixed"/>
          <w:tblCellMar>
            <w:left w:w="62" w:type="dxa"/>
            <w:right w:w="62" w:type="dxa"/>
          </w:tblCellMar>
          <w:tblLook w:val="0000"/>
        </w:tblPrEx>
        <w:tc>
          <w:tcPr>
            <w:tcW w:w="3189" w:type="dxa"/>
            <w:gridSpan w:val="2"/>
            <w:tcBorders>
              <w:top w:val="nil"/>
              <w:left w:val="nil"/>
              <w:bottom w:val="nil"/>
              <w:right w:val="nil"/>
            </w:tcBorders>
            <w:tcMar>
              <w:top w:w="0" w:type="dxa"/>
              <w:left w:w="62" w:type="dxa"/>
              <w:bottom w:w="0" w:type="dxa"/>
              <w:right w:w="62" w:type="dxa"/>
            </w:tcMar>
          </w:tcPr>
          <w:p w:rsidR="00000000" w:rsidP="00A65CDE">
            <w:pPr>
              <w:pStyle w:val="BodyText"/>
              <w:rPr>
                <w:lang w:val="en-NZ"/>
              </w:rPr>
            </w:pPr>
            <w:r w:rsidRPr="00A65CDE">
              <w:t xml:space="preserve">Elements describe the essential </w:t>
            </w:r>
            <w:r w:rsidRPr="00A65CDE">
              <w:t>outcomes.</w:t>
            </w:r>
          </w:p>
        </w:tc>
        <w:tc>
          <w:tcPr>
            <w:tcW w:w="6309" w:type="dxa"/>
            <w:gridSpan w:val="2"/>
            <w:tcBorders>
              <w:top w:val="nil"/>
              <w:left w:val="nil"/>
              <w:bottom w:val="nil"/>
              <w:right w:val="nil"/>
            </w:tcBorders>
            <w:tcMar>
              <w:top w:w="0" w:type="dxa"/>
              <w:left w:w="62" w:type="dxa"/>
              <w:bottom w:w="0" w:type="dxa"/>
              <w:right w:w="62" w:type="dxa"/>
            </w:tcMar>
          </w:tcPr>
          <w:p w:rsidR="00000000" w:rsidP="00A65CDE">
            <w:pPr>
              <w:pStyle w:val="BodyText"/>
              <w:rPr>
                <w:lang w:val="en-NZ"/>
              </w:rPr>
            </w:pPr>
            <w:r w:rsidRPr="00A65CDE">
              <w:t xml:space="preserve">Performance criteria describe the performance needed to </w:t>
            </w:r>
            <w:r w:rsidRPr="00A65CDE">
              <w:t>demonstrate achievement of the element.</w:t>
            </w:r>
          </w:p>
        </w:tc>
      </w:tr>
      <w:tr w:rsidTr="00A65CDE">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65CDE" w:rsidP="00A65CDE">
            <w:pPr>
              <w:pStyle w:val="BodyText"/>
            </w:pPr>
            <w:r w:rsidRPr="00A65CDE">
              <w:rPr>
                <w:rStyle w:val="SpecialBold"/>
              </w:rPr>
              <w:t>1</w:t>
            </w:r>
          </w:p>
        </w:tc>
        <w:tc>
          <w:tcPr>
            <w:tcW w:w="2725" w:type="dxa"/>
            <w:tcBorders>
              <w:top w:val="nil"/>
              <w:left w:val="nil"/>
              <w:bottom w:val="nil"/>
              <w:right w:val="nil"/>
            </w:tcBorders>
            <w:tcMar>
              <w:top w:w="0" w:type="dxa"/>
              <w:left w:w="62" w:type="dxa"/>
              <w:bottom w:w="0" w:type="dxa"/>
              <w:right w:w="62" w:type="dxa"/>
            </w:tcMar>
          </w:tcPr>
          <w:p w:rsidR="00000000" w:rsidRPr="00A65CDE" w:rsidP="00A65CDE">
            <w:pPr>
              <w:pStyle w:val="BodyText"/>
            </w:pPr>
            <w:r w:rsidRPr="00A65CDE">
              <w:rPr>
                <w:rStyle w:val="SpecialBold"/>
              </w:rPr>
              <w:t>Scan internal and external environment</w:t>
            </w:r>
          </w:p>
        </w:tc>
        <w:tc>
          <w:tcPr>
            <w:tcW w:w="716" w:type="dxa"/>
            <w:tcBorders>
              <w:top w:val="nil"/>
              <w:left w:val="nil"/>
              <w:bottom w:val="nil"/>
              <w:right w:val="nil"/>
            </w:tcBorders>
            <w:tcMar>
              <w:top w:w="0" w:type="dxa"/>
              <w:left w:w="62" w:type="dxa"/>
              <w:bottom w:w="0" w:type="dxa"/>
              <w:right w:w="62" w:type="dxa"/>
            </w:tcMar>
          </w:tcPr>
          <w:p w:rsidR="00000000" w:rsidP="00A65CDE">
            <w:pPr>
              <w:pStyle w:val="BodyText"/>
              <w:rPr>
                <w:lang w:val="en-NZ"/>
              </w:rPr>
            </w:pPr>
            <w:r w:rsidRPr="00A65CDE">
              <w:rPr>
                <w:rStyle w:val="SpecialBold"/>
              </w:rPr>
              <w:t>1.1</w:t>
            </w:r>
          </w:p>
        </w:tc>
        <w:tc>
          <w:tcPr>
            <w:tcW w:w="5593" w:type="dxa"/>
            <w:tcBorders>
              <w:top w:val="nil"/>
              <w:left w:val="nil"/>
              <w:bottom w:val="nil"/>
              <w:right w:val="nil"/>
            </w:tcBorders>
            <w:tcMar>
              <w:top w:w="0" w:type="dxa"/>
              <w:left w:w="62" w:type="dxa"/>
              <w:bottom w:w="0" w:type="dxa"/>
              <w:right w:w="62" w:type="dxa"/>
            </w:tcMar>
          </w:tcPr>
          <w:p w:rsidR="00000000" w:rsidP="00A65CDE">
            <w:pPr>
              <w:pStyle w:val="BodyText"/>
              <w:rPr>
                <w:lang w:val="en-NZ"/>
              </w:rPr>
            </w:pPr>
            <w:r w:rsidRPr="00A65CDE">
              <w:t xml:space="preserve">Identify and evaluate information needs and intelligence sources that can be utilised </w:t>
            </w:r>
          </w:p>
        </w:tc>
      </w:tr>
      <w:tr w:rsidTr="00A65CDE">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A65CDE">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A65CDE">
            <w:pPr>
              <w:pStyle w:val="BodyText"/>
              <w:rPr>
                <w:lang w:val="en-NZ"/>
              </w:rPr>
            </w:pPr>
            <w:r w:rsidRPr="00A65CDE">
              <w:rPr>
                <w:rStyle w:val="SpecialBold"/>
              </w:rPr>
              <w:t>1.2</w:t>
            </w:r>
          </w:p>
        </w:tc>
        <w:tc>
          <w:tcPr>
            <w:tcW w:w="5593" w:type="dxa"/>
            <w:tcBorders>
              <w:top w:val="nil"/>
              <w:left w:val="nil"/>
              <w:bottom w:val="nil"/>
              <w:right w:val="nil"/>
            </w:tcBorders>
            <w:tcMar>
              <w:top w:w="0" w:type="dxa"/>
              <w:left w:w="62" w:type="dxa"/>
              <w:bottom w:w="0" w:type="dxa"/>
              <w:right w:w="62" w:type="dxa"/>
            </w:tcMar>
          </w:tcPr>
          <w:p w:rsidR="00000000" w:rsidP="00A65CDE">
            <w:pPr>
              <w:pStyle w:val="BodyText"/>
              <w:rPr>
                <w:lang w:val="en-NZ"/>
              </w:rPr>
            </w:pPr>
            <w:r w:rsidRPr="00A65CDE">
              <w:t>Design methods for scanning internal and external environments, including creating objectives, collection methods, collation techniques and identification of scope and limitations</w:t>
            </w:r>
          </w:p>
        </w:tc>
      </w:tr>
      <w:tr w:rsidTr="00A65CDE">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A65CDE">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A65CDE">
            <w:pPr>
              <w:pStyle w:val="BodyText"/>
              <w:rPr>
                <w:lang w:val="en-NZ"/>
              </w:rPr>
            </w:pPr>
            <w:r w:rsidRPr="00A65CDE">
              <w:rPr>
                <w:rStyle w:val="SpecialBold"/>
              </w:rPr>
              <w:t>1.3</w:t>
            </w:r>
          </w:p>
        </w:tc>
        <w:tc>
          <w:tcPr>
            <w:tcW w:w="5593" w:type="dxa"/>
            <w:tcBorders>
              <w:top w:val="nil"/>
              <w:left w:val="nil"/>
              <w:bottom w:val="nil"/>
              <w:right w:val="nil"/>
            </w:tcBorders>
            <w:tcMar>
              <w:top w:w="0" w:type="dxa"/>
              <w:left w:w="62" w:type="dxa"/>
              <w:bottom w:w="0" w:type="dxa"/>
              <w:right w:w="62" w:type="dxa"/>
            </w:tcMar>
          </w:tcPr>
          <w:p w:rsidR="00000000" w:rsidP="00A65CDE">
            <w:pPr>
              <w:pStyle w:val="BodyText"/>
              <w:rPr>
                <w:lang w:val="en-NZ"/>
              </w:rPr>
            </w:pPr>
            <w:r w:rsidRPr="00A65CDE">
              <w:t>Observe and record information, in accordance with authorised methods, using crisis information management systems</w:t>
            </w:r>
          </w:p>
        </w:tc>
      </w:tr>
      <w:tr w:rsidTr="00A65CDE">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A65CDE">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A65CDE">
            <w:pPr>
              <w:pStyle w:val="BodyText"/>
              <w:rPr>
                <w:lang w:val="en-NZ"/>
              </w:rPr>
            </w:pPr>
            <w:r w:rsidRPr="00A65CDE">
              <w:rPr>
                <w:rStyle w:val="SpecialBold"/>
              </w:rPr>
              <w:t>1.4</w:t>
            </w:r>
          </w:p>
        </w:tc>
        <w:tc>
          <w:tcPr>
            <w:tcW w:w="5593" w:type="dxa"/>
            <w:tcBorders>
              <w:top w:val="nil"/>
              <w:left w:val="nil"/>
              <w:bottom w:val="nil"/>
              <w:right w:val="nil"/>
            </w:tcBorders>
            <w:tcMar>
              <w:top w:w="0" w:type="dxa"/>
              <w:left w:w="62" w:type="dxa"/>
              <w:bottom w:w="0" w:type="dxa"/>
              <w:right w:w="62" w:type="dxa"/>
            </w:tcMar>
          </w:tcPr>
          <w:p w:rsidR="00000000" w:rsidP="00A65CDE">
            <w:pPr>
              <w:pStyle w:val="BodyText"/>
              <w:rPr>
                <w:lang w:val="en-NZ"/>
              </w:rPr>
            </w:pPr>
            <w:r w:rsidRPr="00A65CDE">
              <w:t xml:space="preserve">Apply analytics to synthesise information on internal and external societal environment threats </w:t>
            </w:r>
          </w:p>
        </w:tc>
      </w:tr>
      <w:tr w:rsidTr="00A65CDE">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A65CDE">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A65CDE">
            <w:pPr>
              <w:pStyle w:val="BodyText"/>
              <w:rPr>
                <w:lang w:val="en-NZ"/>
              </w:rPr>
            </w:pPr>
            <w:r w:rsidRPr="00A65CDE">
              <w:rPr>
                <w:rStyle w:val="SpecialBold"/>
              </w:rPr>
              <w:t>1.5</w:t>
            </w:r>
          </w:p>
        </w:tc>
        <w:tc>
          <w:tcPr>
            <w:tcW w:w="5593" w:type="dxa"/>
            <w:tcBorders>
              <w:top w:val="nil"/>
              <w:left w:val="nil"/>
              <w:bottom w:val="nil"/>
              <w:right w:val="nil"/>
            </w:tcBorders>
            <w:tcMar>
              <w:top w:w="0" w:type="dxa"/>
              <w:left w:w="62" w:type="dxa"/>
              <w:bottom w:w="0" w:type="dxa"/>
              <w:right w:w="62" w:type="dxa"/>
            </w:tcMar>
          </w:tcPr>
          <w:p w:rsidR="00000000" w:rsidP="00A65CDE">
            <w:pPr>
              <w:pStyle w:val="BodyText"/>
              <w:rPr>
                <w:lang w:val="en-NZ"/>
              </w:rPr>
            </w:pPr>
            <w:r w:rsidRPr="00A65CDE">
              <w:t>Seek, discover and review elem</w:t>
            </w:r>
            <w:r w:rsidRPr="00A65CDE">
              <w:t xml:space="preserve">ents of uncertainty and surprise that can exist in internal and external societal environments </w:t>
            </w:r>
          </w:p>
        </w:tc>
      </w:tr>
      <w:tr w:rsidTr="00A65CDE">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A65CDE">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A65CDE">
            <w:pPr>
              <w:pStyle w:val="BodyText"/>
              <w:rPr>
                <w:lang w:val="en-NZ"/>
              </w:rPr>
            </w:pPr>
            <w:r w:rsidRPr="00A65CDE">
              <w:rPr>
                <w:rStyle w:val="SpecialBold"/>
              </w:rPr>
              <w:t>1.6</w:t>
            </w:r>
          </w:p>
        </w:tc>
        <w:tc>
          <w:tcPr>
            <w:tcW w:w="5593" w:type="dxa"/>
            <w:tcBorders>
              <w:top w:val="nil"/>
              <w:left w:val="nil"/>
              <w:bottom w:val="nil"/>
              <w:right w:val="nil"/>
            </w:tcBorders>
            <w:tcMar>
              <w:top w:w="0" w:type="dxa"/>
              <w:left w:w="62" w:type="dxa"/>
              <w:bottom w:w="0" w:type="dxa"/>
              <w:right w:w="62" w:type="dxa"/>
            </w:tcMar>
          </w:tcPr>
          <w:p w:rsidR="00000000" w:rsidP="00A65CDE">
            <w:pPr>
              <w:pStyle w:val="BodyText"/>
              <w:rPr>
                <w:lang w:val="en-NZ"/>
              </w:rPr>
            </w:pPr>
            <w:r w:rsidRPr="00A65CDE">
              <w:t>Evaluate competing understandings of an evolving reality</w:t>
            </w:r>
          </w:p>
        </w:tc>
      </w:tr>
      <w:tr w:rsidTr="00A65CDE">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65CDE" w:rsidP="00A65CDE">
            <w:pPr>
              <w:pStyle w:val="BodyText"/>
            </w:pPr>
            <w:r w:rsidRPr="00A65CDE">
              <w:rPr>
                <w:rStyle w:val="SpecialBold"/>
              </w:rPr>
              <w:t>2</w:t>
            </w:r>
          </w:p>
        </w:tc>
        <w:tc>
          <w:tcPr>
            <w:tcW w:w="2725" w:type="dxa"/>
            <w:tcBorders>
              <w:top w:val="nil"/>
              <w:left w:val="nil"/>
              <w:bottom w:val="nil"/>
              <w:right w:val="nil"/>
            </w:tcBorders>
            <w:tcMar>
              <w:top w:w="0" w:type="dxa"/>
              <w:left w:w="62" w:type="dxa"/>
              <w:bottom w:w="0" w:type="dxa"/>
              <w:right w:w="62" w:type="dxa"/>
            </w:tcMar>
          </w:tcPr>
          <w:p w:rsidR="00000000" w:rsidRPr="00A65CDE" w:rsidP="00A65CDE">
            <w:pPr>
              <w:pStyle w:val="BodyText"/>
            </w:pPr>
            <w:r w:rsidRPr="00A65CDE">
              <w:rPr>
                <w:rStyle w:val="SpecialBold"/>
              </w:rPr>
              <w:t>Identify need for research</w:t>
            </w:r>
          </w:p>
        </w:tc>
        <w:tc>
          <w:tcPr>
            <w:tcW w:w="716" w:type="dxa"/>
            <w:tcBorders>
              <w:top w:val="nil"/>
              <w:left w:val="nil"/>
              <w:bottom w:val="nil"/>
              <w:right w:val="nil"/>
            </w:tcBorders>
            <w:tcMar>
              <w:top w:w="0" w:type="dxa"/>
              <w:left w:w="62" w:type="dxa"/>
              <w:bottom w:w="0" w:type="dxa"/>
              <w:right w:w="62" w:type="dxa"/>
            </w:tcMar>
          </w:tcPr>
          <w:p w:rsidR="00000000" w:rsidP="00A65CDE">
            <w:pPr>
              <w:pStyle w:val="BodyText"/>
              <w:rPr>
                <w:lang w:val="en-NZ"/>
              </w:rPr>
            </w:pPr>
            <w:r w:rsidRPr="00A65CDE">
              <w:rPr>
                <w:rStyle w:val="SpecialBold"/>
              </w:rPr>
              <w:t>2.1</w:t>
            </w:r>
          </w:p>
        </w:tc>
        <w:tc>
          <w:tcPr>
            <w:tcW w:w="5593" w:type="dxa"/>
            <w:tcBorders>
              <w:top w:val="nil"/>
              <w:left w:val="nil"/>
              <w:bottom w:val="nil"/>
              <w:right w:val="nil"/>
            </w:tcBorders>
            <w:tcMar>
              <w:top w:w="0" w:type="dxa"/>
              <w:left w:w="62" w:type="dxa"/>
              <w:bottom w:w="0" w:type="dxa"/>
              <w:right w:w="62" w:type="dxa"/>
            </w:tcMar>
          </w:tcPr>
          <w:p w:rsidR="00000000" w:rsidP="00A65CDE">
            <w:pPr>
              <w:pStyle w:val="BodyText"/>
              <w:rPr>
                <w:lang w:val="en-NZ"/>
              </w:rPr>
            </w:pPr>
            <w:r w:rsidRPr="00A65CDE">
              <w:t>Identify threats or emerging issues related to internal and ex</w:t>
            </w:r>
            <w:r w:rsidRPr="00A65CDE">
              <w:t>ternal societal environment that can be researched</w:t>
            </w:r>
          </w:p>
        </w:tc>
      </w:tr>
      <w:tr w:rsidTr="00A65CDE">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A65CDE">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A65CDE">
            <w:pPr>
              <w:pStyle w:val="BodyText"/>
              <w:rPr>
                <w:lang w:val="en-NZ"/>
              </w:rPr>
            </w:pPr>
            <w:r w:rsidRPr="00A65CDE">
              <w:rPr>
                <w:rStyle w:val="SpecialBold"/>
              </w:rPr>
              <w:t>2.2</w:t>
            </w:r>
          </w:p>
        </w:tc>
        <w:tc>
          <w:tcPr>
            <w:tcW w:w="5593" w:type="dxa"/>
            <w:tcBorders>
              <w:top w:val="nil"/>
              <w:left w:val="nil"/>
              <w:bottom w:val="nil"/>
              <w:right w:val="nil"/>
            </w:tcBorders>
            <w:tcMar>
              <w:top w:w="0" w:type="dxa"/>
              <w:left w:w="62" w:type="dxa"/>
              <w:bottom w:w="0" w:type="dxa"/>
              <w:right w:w="62" w:type="dxa"/>
            </w:tcMar>
          </w:tcPr>
          <w:p w:rsidR="00000000" w:rsidP="00A65CDE">
            <w:pPr>
              <w:pStyle w:val="BodyText"/>
              <w:rPr>
                <w:lang w:val="en-NZ"/>
              </w:rPr>
            </w:pPr>
            <w:r w:rsidRPr="00A65CDE">
              <w:t>Justify the need and level of research required to undertake evaluation of internal and external societal environment</w:t>
            </w:r>
          </w:p>
        </w:tc>
      </w:tr>
      <w:tr w:rsidTr="00A65CDE">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A65CDE">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A65CDE">
            <w:pPr>
              <w:pStyle w:val="BodyText"/>
              <w:rPr>
                <w:lang w:val="en-NZ"/>
              </w:rPr>
            </w:pPr>
            <w:r w:rsidRPr="00A65CDE">
              <w:rPr>
                <w:rStyle w:val="SpecialBold"/>
              </w:rPr>
              <w:t>2.3</w:t>
            </w:r>
          </w:p>
        </w:tc>
        <w:tc>
          <w:tcPr>
            <w:tcW w:w="5593" w:type="dxa"/>
            <w:tcBorders>
              <w:top w:val="nil"/>
              <w:left w:val="nil"/>
              <w:bottom w:val="nil"/>
              <w:right w:val="nil"/>
            </w:tcBorders>
            <w:tcMar>
              <w:top w:w="0" w:type="dxa"/>
              <w:left w:w="62" w:type="dxa"/>
              <w:bottom w:w="0" w:type="dxa"/>
              <w:right w:w="62" w:type="dxa"/>
            </w:tcMar>
          </w:tcPr>
          <w:p w:rsidR="00000000" w:rsidP="00A65CDE">
            <w:pPr>
              <w:pStyle w:val="BodyText"/>
              <w:rPr>
                <w:lang w:val="en-NZ"/>
              </w:rPr>
            </w:pPr>
            <w:r w:rsidRPr="00A65CDE">
              <w:t xml:space="preserve">Articulate research questions that will be used </w:t>
            </w:r>
          </w:p>
        </w:tc>
      </w:tr>
      <w:tr w:rsidTr="00A65CDE">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A65CDE">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A65CDE">
            <w:pPr>
              <w:pStyle w:val="BodyText"/>
              <w:rPr>
                <w:lang w:val="en-NZ"/>
              </w:rPr>
            </w:pPr>
            <w:r w:rsidRPr="00A65CDE">
              <w:rPr>
                <w:rStyle w:val="SpecialBold"/>
              </w:rPr>
              <w:t>2.4</w:t>
            </w:r>
          </w:p>
        </w:tc>
        <w:tc>
          <w:tcPr>
            <w:tcW w:w="5593" w:type="dxa"/>
            <w:tcBorders>
              <w:top w:val="nil"/>
              <w:left w:val="nil"/>
              <w:bottom w:val="nil"/>
              <w:right w:val="nil"/>
            </w:tcBorders>
            <w:tcMar>
              <w:top w:w="0" w:type="dxa"/>
              <w:left w:w="62" w:type="dxa"/>
              <w:bottom w:w="0" w:type="dxa"/>
              <w:right w:w="62" w:type="dxa"/>
            </w:tcMar>
          </w:tcPr>
          <w:p w:rsidR="00000000" w:rsidP="00A65CDE">
            <w:pPr>
              <w:pStyle w:val="BodyText"/>
              <w:rPr>
                <w:lang w:val="en-NZ"/>
              </w:rPr>
            </w:pPr>
            <w:r w:rsidRPr="00A65CDE">
              <w:t>Establish and articulate the authorising environment for research to proceed in accordance policy guidelines</w:t>
            </w:r>
          </w:p>
        </w:tc>
      </w:tr>
      <w:tr w:rsidTr="00A65CDE">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A65CDE">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A65CDE">
            <w:pPr>
              <w:pStyle w:val="BodyText"/>
              <w:rPr>
                <w:lang w:val="en-NZ"/>
              </w:rPr>
            </w:pPr>
            <w:r w:rsidRPr="00A65CDE">
              <w:rPr>
                <w:rStyle w:val="SpecialBold"/>
              </w:rPr>
              <w:t>2.5</w:t>
            </w:r>
          </w:p>
        </w:tc>
        <w:tc>
          <w:tcPr>
            <w:tcW w:w="5593" w:type="dxa"/>
            <w:tcBorders>
              <w:top w:val="nil"/>
              <w:left w:val="nil"/>
              <w:bottom w:val="nil"/>
              <w:right w:val="nil"/>
            </w:tcBorders>
            <w:tcMar>
              <w:top w:w="0" w:type="dxa"/>
              <w:left w:w="62" w:type="dxa"/>
              <w:bottom w:w="0" w:type="dxa"/>
              <w:right w:w="62" w:type="dxa"/>
            </w:tcMar>
          </w:tcPr>
          <w:p w:rsidR="00000000" w:rsidP="00A65CDE">
            <w:pPr>
              <w:pStyle w:val="BodyText"/>
              <w:rPr>
                <w:lang w:val="en-NZ"/>
              </w:rPr>
            </w:pPr>
            <w:r w:rsidRPr="00A65CDE">
              <w:t>Communicate research purpose to key stakeholders and/or participants</w:t>
            </w:r>
          </w:p>
        </w:tc>
      </w:tr>
      <w:tr w:rsidTr="00A65CDE">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65CDE" w:rsidP="00A65CDE">
            <w:pPr>
              <w:pStyle w:val="BodyText"/>
            </w:pPr>
            <w:r w:rsidRPr="00A65CDE">
              <w:rPr>
                <w:rStyle w:val="SpecialBold"/>
              </w:rPr>
              <w:t>3</w:t>
            </w:r>
          </w:p>
        </w:tc>
        <w:tc>
          <w:tcPr>
            <w:tcW w:w="2725" w:type="dxa"/>
            <w:tcBorders>
              <w:top w:val="nil"/>
              <w:left w:val="nil"/>
              <w:bottom w:val="nil"/>
              <w:right w:val="nil"/>
            </w:tcBorders>
            <w:tcMar>
              <w:top w:w="0" w:type="dxa"/>
              <w:left w:w="62" w:type="dxa"/>
              <w:bottom w:w="0" w:type="dxa"/>
              <w:right w:w="62" w:type="dxa"/>
            </w:tcMar>
          </w:tcPr>
          <w:p w:rsidR="00000000" w:rsidRPr="00A65CDE" w:rsidP="00A65CDE">
            <w:pPr>
              <w:pStyle w:val="BodyText"/>
            </w:pPr>
            <w:r w:rsidRPr="00A65CDE">
              <w:rPr>
                <w:rStyle w:val="SpecialBold"/>
              </w:rPr>
              <w:t>Design and conduct research</w:t>
            </w:r>
          </w:p>
        </w:tc>
        <w:tc>
          <w:tcPr>
            <w:tcW w:w="716" w:type="dxa"/>
            <w:tcBorders>
              <w:top w:val="nil"/>
              <w:left w:val="nil"/>
              <w:bottom w:val="nil"/>
              <w:right w:val="nil"/>
            </w:tcBorders>
            <w:tcMar>
              <w:top w:w="0" w:type="dxa"/>
              <w:left w:w="62" w:type="dxa"/>
              <w:bottom w:w="0" w:type="dxa"/>
              <w:right w:w="62" w:type="dxa"/>
            </w:tcMar>
          </w:tcPr>
          <w:p w:rsidR="00000000" w:rsidP="00A65CDE">
            <w:pPr>
              <w:pStyle w:val="BodyText"/>
              <w:rPr>
                <w:lang w:val="en-NZ"/>
              </w:rPr>
            </w:pPr>
            <w:r w:rsidRPr="00A65CDE">
              <w:rPr>
                <w:rStyle w:val="SpecialBold"/>
              </w:rPr>
              <w:t>3.1</w:t>
            </w:r>
          </w:p>
        </w:tc>
        <w:tc>
          <w:tcPr>
            <w:tcW w:w="5593" w:type="dxa"/>
            <w:tcBorders>
              <w:top w:val="nil"/>
              <w:left w:val="nil"/>
              <w:bottom w:val="nil"/>
              <w:right w:val="nil"/>
            </w:tcBorders>
            <w:tcMar>
              <w:top w:w="0" w:type="dxa"/>
              <w:left w:w="62" w:type="dxa"/>
              <w:bottom w:w="0" w:type="dxa"/>
              <w:right w:w="62" w:type="dxa"/>
            </w:tcMar>
          </w:tcPr>
          <w:p w:rsidR="00000000" w:rsidP="00A65CDE">
            <w:pPr>
              <w:pStyle w:val="BodyText"/>
              <w:rPr>
                <w:lang w:val="en-NZ"/>
              </w:rPr>
            </w:pPr>
            <w:r w:rsidRPr="00A65CDE">
              <w:t>Establish investigation scope for research in accordance planning outcomes</w:t>
            </w:r>
          </w:p>
        </w:tc>
      </w:tr>
      <w:tr w:rsidTr="00A65CDE">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A65CDE">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A65CDE">
            <w:pPr>
              <w:pStyle w:val="BodyText"/>
              <w:rPr>
                <w:lang w:val="en-NZ"/>
              </w:rPr>
            </w:pPr>
            <w:r w:rsidRPr="00A65CDE">
              <w:rPr>
                <w:rStyle w:val="SpecialBold"/>
              </w:rPr>
              <w:t>3.2</w:t>
            </w:r>
          </w:p>
        </w:tc>
        <w:tc>
          <w:tcPr>
            <w:tcW w:w="5593" w:type="dxa"/>
            <w:tcBorders>
              <w:top w:val="nil"/>
              <w:left w:val="nil"/>
              <w:bottom w:val="nil"/>
              <w:right w:val="nil"/>
            </w:tcBorders>
            <w:tcMar>
              <w:top w:w="0" w:type="dxa"/>
              <w:left w:w="62" w:type="dxa"/>
              <w:bottom w:w="0" w:type="dxa"/>
              <w:right w:w="62" w:type="dxa"/>
            </w:tcMar>
          </w:tcPr>
          <w:p w:rsidR="00000000" w:rsidP="00A65CDE">
            <w:pPr>
              <w:pStyle w:val="BodyText"/>
              <w:rPr>
                <w:lang w:val="en-NZ"/>
              </w:rPr>
            </w:pPr>
            <w:r w:rsidRPr="00A65CDE">
              <w:t xml:space="preserve">Develop and/or justify research methods </w:t>
            </w:r>
          </w:p>
        </w:tc>
      </w:tr>
      <w:tr w:rsidTr="00A65CDE">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A65CDE">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A65CDE">
            <w:pPr>
              <w:pStyle w:val="BodyText"/>
              <w:rPr>
                <w:lang w:val="en-NZ"/>
              </w:rPr>
            </w:pPr>
            <w:r w:rsidRPr="00A65CDE">
              <w:rPr>
                <w:rStyle w:val="SpecialBold"/>
              </w:rPr>
              <w:t>3.3</w:t>
            </w:r>
          </w:p>
        </w:tc>
        <w:tc>
          <w:tcPr>
            <w:tcW w:w="5593" w:type="dxa"/>
            <w:tcBorders>
              <w:top w:val="nil"/>
              <w:left w:val="nil"/>
              <w:bottom w:val="nil"/>
              <w:right w:val="nil"/>
            </w:tcBorders>
            <w:tcMar>
              <w:top w:w="0" w:type="dxa"/>
              <w:left w:w="62" w:type="dxa"/>
              <w:bottom w:w="0" w:type="dxa"/>
              <w:right w:w="62" w:type="dxa"/>
            </w:tcMar>
          </w:tcPr>
          <w:p w:rsidR="00000000" w:rsidP="00A65CDE">
            <w:pPr>
              <w:pStyle w:val="BodyText"/>
              <w:rPr>
                <w:lang w:val="en-NZ"/>
              </w:rPr>
            </w:pPr>
            <w:r w:rsidRPr="00A65CDE">
              <w:t>Undertake an investigation into internal and external societal environment threats and/or uncertainty using nominated research</w:t>
            </w:r>
            <w:r w:rsidRPr="00A65CDE">
              <w:t xml:space="preserve"> methods</w:t>
            </w:r>
          </w:p>
        </w:tc>
      </w:tr>
      <w:tr w:rsidTr="00A65CDE">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65CDE" w:rsidP="00A65CDE">
            <w:pPr>
              <w:pStyle w:val="BodyText"/>
            </w:pPr>
            <w:r w:rsidRPr="00A65CDE">
              <w:rPr>
                <w:rStyle w:val="SpecialBold"/>
              </w:rPr>
              <w:t>4</w:t>
            </w:r>
          </w:p>
        </w:tc>
        <w:tc>
          <w:tcPr>
            <w:tcW w:w="2725" w:type="dxa"/>
            <w:tcBorders>
              <w:top w:val="nil"/>
              <w:left w:val="nil"/>
              <w:bottom w:val="nil"/>
              <w:right w:val="nil"/>
            </w:tcBorders>
            <w:tcMar>
              <w:top w:w="0" w:type="dxa"/>
              <w:left w:w="62" w:type="dxa"/>
              <w:bottom w:w="0" w:type="dxa"/>
              <w:right w:w="62" w:type="dxa"/>
            </w:tcMar>
          </w:tcPr>
          <w:p w:rsidR="00000000" w:rsidRPr="00A65CDE" w:rsidP="00A65CDE">
            <w:pPr>
              <w:pStyle w:val="BodyText"/>
            </w:pPr>
            <w:r w:rsidRPr="00A65CDE">
              <w:rPr>
                <w:rStyle w:val="SpecialBold"/>
              </w:rPr>
              <w:t>Analyse research data</w:t>
            </w:r>
          </w:p>
        </w:tc>
        <w:tc>
          <w:tcPr>
            <w:tcW w:w="716" w:type="dxa"/>
            <w:tcBorders>
              <w:top w:val="nil"/>
              <w:left w:val="nil"/>
              <w:bottom w:val="nil"/>
              <w:right w:val="nil"/>
            </w:tcBorders>
            <w:tcMar>
              <w:top w:w="0" w:type="dxa"/>
              <w:left w:w="62" w:type="dxa"/>
              <w:bottom w:w="0" w:type="dxa"/>
              <w:right w:w="62" w:type="dxa"/>
            </w:tcMar>
          </w:tcPr>
          <w:p w:rsidR="00000000" w:rsidP="00A65CDE">
            <w:pPr>
              <w:pStyle w:val="BodyText"/>
              <w:rPr>
                <w:lang w:val="en-NZ"/>
              </w:rPr>
            </w:pPr>
            <w:r w:rsidRPr="00A65CDE">
              <w:rPr>
                <w:rStyle w:val="SpecialBold"/>
              </w:rPr>
              <w:t>4.1</w:t>
            </w:r>
          </w:p>
        </w:tc>
        <w:tc>
          <w:tcPr>
            <w:tcW w:w="5593" w:type="dxa"/>
            <w:tcBorders>
              <w:top w:val="nil"/>
              <w:left w:val="nil"/>
              <w:bottom w:val="nil"/>
              <w:right w:val="nil"/>
            </w:tcBorders>
            <w:tcMar>
              <w:top w:w="0" w:type="dxa"/>
              <w:left w:w="62" w:type="dxa"/>
              <w:bottom w:w="0" w:type="dxa"/>
              <w:right w:w="62" w:type="dxa"/>
            </w:tcMar>
          </w:tcPr>
          <w:p w:rsidR="00000000" w:rsidP="00A65CDE">
            <w:pPr>
              <w:pStyle w:val="BodyText"/>
              <w:rPr>
                <w:lang w:val="en-NZ"/>
              </w:rPr>
            </w:pPr>
            <w:r w:rsidRPr="00A65CDE">
              <w:t>Analyse collected and collated data, in accordance with nominated research methods</w:t>
            </w:r>
          </w:p>
        </w:tc>
      </w:tr>
      <w:tr w:rsidTr="00A65CDE">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A65CDE">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A65CDE">
            <w:pPr>
              <w:pStyle w:val="BodyText"/>
              <w:rPr>
                <w:lang w:val="en-NZ"/>
              </w:rPr>
            </w:pPr>
            <w:r w:rsidRPr="00A65CDE">
              <w:rPr>
                <w:rStyle w:val="SpecialBold"/>
              </w:rPr>
              <w:t>4.2</w:t>
            </w:r>
          </w:p>
        </w:tc>
        <w:tc>
          <w:tcPr>
            <w:tcW w:w="5593" w:type="dxa"/>
            <w:tcBorders>
              <w:top w:val="nil"/>
              <w:left w:val="nil"/>
              <w:bottom w:val="nil"/>
              <w:right w:val="nil"/>
            </w:tcBorders>
            <w:tcMar>
              <w:top w:w="0" w:type="dxa"/>
              <w:left w:w="62" w:type="dxa"/>
              <w:bottom w:w="0" w:type="dxa"/>
              <w:right w:w="62" w:type="dxa"/>
            </w:tcMar>
          </w:tcPr>
          <w:p w:rsidR="00000000" w:rsidP="00A65CDE">
            <w:pPr>
              <w:pStyle w:val="BodyText"/>
              <w:rPr>
                <w:lang w:val="en-NZ"/>
              </w:rPr>
            </w:pPr>
            <w:r w:rsidRPr="00A65CDE">
              <w:t>Validate and test research questions, in accordance with nominated research methods</w:t>
            </w:r>
          </w:p>
        </w:tc>
      </w:tr>
      <w:tr w:rsidTr="00A65CDE">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A65CDE">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A65CDE">
            <w:pPr>
              <w:pStyle w:val="BodyText"/>
              <w:rPr>
                <w:lang w:val="en-NZ"/>
              </w:rPr>
            </w:pPr>
            <w:r w:rsidRPr="00A65CDE">
              <w:rPr>
                <w:rStyle w:val="SpecialBold"/>
              </w:rPr>
              <w:t>4.3</w:t>
            </w:r>
          </w:p>
        </w:tc>
        <w:tc>
          <w:tcPr>
            <w:tcW w:w="5593" w:type="dxa"/>
            <w:tcBorders>
              <w:top w:val="nil"/>
              <w:left w:val="nil"/>
              <w:bottom w:val="nil"/>
              <w:right w:val="nil"/>
            </w:tcBorders>
            <w:tcMar>
              <w:top w:w="0" w:type="dxa"/>
              <w:left w:w="62" w:type="dxa"/>
              <w:bottom w:w="0" w:type="dxa"/>
              <w:right w:w="62" w:type="dxa"/>
            </w:tcMar>
          </w:tcPr>
          <w:p w:rsidR="00000000" w:rsidP="00A65CDE">
            <w:pPr>
              <w:pStyle w:val="BodyText"/>
              <w:rPr>
                <w:lang w:val="en-NZ"/>
              </w:rPr>
            </w:pPr>
            <w:r w:rsidRPr="00A65CDE">
              <w:t>Corroborate findings within a corpus of knowledge</w:t>
            </w:r>
          </w:p>
        </w:tc>
      </w:tr>
      <w:tr w:rsidTr="00A65CDE">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65CDE" w:rsidP="00A65CDE">
            <w:pPr>
              <w:pStyle w:val="BodyText"/>
            </w:pPr>
            <w:r w:rsidRPr="00A65CDE">
              <w:rPr>
                <w:rStyle w:val="SpecialBold"/>
              </w:rPr>
              <w:t>5</w:t>
            </w:r>
          </w:p>
        </w:tc>
        <w:tc>
          <w:tcPr>
            <w:tcW w:w="2725" w:type="dxa"/>
            <w:tcBorders>
              <w:top w:val="nil"/>
              <w:left w:val="nil"/>
              <w:bottom w:val="nil"/>
              <w:right w:val="nil"/>
            </w:tcBorders>
            <w:tcMar>
              <w:top w:w="0" w:type="dxa"/>
              <w:left w:w="62" w:type="dxa"/>
              <w:bottom w:w="0" w:type="dxa"/>
              <w:right w:w="62" w:type="dxa"/>
            </w:tcMar>
          </w:tcPr>
          <w:p w:rsidR="00000000" w:rsidRPr="00A65CDE" w:rsidP="00A65CDE">
            <w:pPr>
              <w:pStyle w:val="BodyText"/>
            </w:pPr>
            <w:r w:rsidRPr="00A65CDE">
              <w:rPr>
                <w:rStyle w:val="SpecialBold"/>
              </w:rPr>
              <w:t>Disseminate research findings</w:t>
            </w:r>
          </w:p>
        </w:tc>
        <w:tc>
          <w:tcPr>
            <w:tcW w:w="716" w:type="dxa"/>
            <w:tcBorders>
              <w:top w:val="nil"/>
              <w:left w:val="nil"/>
              <w:bottom w:val="nil"/>
              <w:right w:val="nil"/>
            </w:tcBorders>
            <w:tcMar>
              <w:top w:w="0" w:type="dxa"/>
              <w:left w:w="62" w:type="dxa"/>
              <w:bottom w:w="0" w:type="dxa"/>
              <w:right w:w="62" w:type="dxa"/>
            </w:tcMar>
          </w:tcPr>
          <w:p w:rsidR="00000000" w:rsidP="00A65CDE">
            <w:pPr>
              <w:pStyle w:val="BodyText"/>
              <w:rPr>
                <w:lang w:val="en-NZ"/>
              </w:rPr>
            </w:pPr>
            <w:r w:rsidRPr="00A65CDE">
              <w:rPr>
                <w:rStyle w:val="SpecialBold"/>
              </w:rPr>
              <w:t>5.1</w:t>
            </w:r>
          </w:p>
        </w:tc>
        <w:tc>
          <w:tcPr>
            <w:tcW w:w="5593" w:type="dxa"/>
            <w:tcBorders>
              <w:top w:val="nil"/>
              <w:left w:val="nil"/>
              <w:bottom w:val="nil"/>
              <w:right w:val="nil"/>
            </w:tcBorders>
            <w:tcMar>
              <w:top w:w="0" w:type="dxa"/>
              <w:left w:w="62" w:type="dxa"/>
              <w:bottom w:w="0" w:type="dxa"/>
              <w:right w:w="62" w:type="dxa"/>
            </w:tcMar>
          </w:tcPr>
          <w:p w:rsidR="00000000" w:rsidP="00A65CDE">
            <w:pPr>
              <w:pStyle w:val="BodyText"/>
              <w:rPr>
                <w:lang w:val="en-NZ"/>
              </w:rPr>
            </w:pPr>
            <w:r w:rsidRPr="00A65CDE">
              <w:t>Prepare short reports, policy guidelines and/or recommendations, in accordance with research requirements</w:t>
            </w:r>
          </w:p>
        </w:tc>
      </w:tr>
      <w:tr w:rsidTr="00A65CDE">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A65CDE">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A65CDE">
            <w:pPr>
              <w:pStyle w:val="BodyText"/>
              <w:rPr>
                <w:lang w:val="en-NZ"/>
              </w:rPr>
            </w:pPr>
            <w:r w:rsidRPr="00A65CDE">
              <w:rPr>
                <w:rStyle w:val="SpecialBold"/>
              </w:rPr>
              <w:t>5.2</w:t>
            </w:r>
          </w:p>
        </w:tc>
        <w:tc>
          <w:tcPr>
            <w:tcW w:w="5593" w:type="dxa"/>
            <w:tcBorders>
              <w:top w:val="nil"/>
              <w:left w:val="nil"/>
              <w:bottom w:val="nil"/>
              <w:right w:val="nil"/>
            </w:tcBorders>
            <w:tcMar>
              <w:top w:w="0" w:type="dxa"/>
              <w:left w:w="62" w:type="dxa"/>
              <w:bottom w:w="0" w:type="dxa"/>
              <w:right w:w="62" w:type="dxa"/>
            </w:tcMar>
          </w:tcPr>
          <w:p w:rsidR="00000000" w:rsidP="00A65CDE">
            <w:pPr>
              <w:pStyle w:val="BodyText"/>
              <w:rPr>
                <w:lang w:val="en-NZ"/>
              </w:rPr>
            </w:pPr>
            <w:r w:rsidRPr="00A65CDE">
              <w:t>Prepare extensive reports and/or papers, in accordance w</w:t>
            </w:r>
            <w:r w:rsidRPr="00A65CDE">
              <w:t>ith research requirements</w:t>
            </w:r>
          </w:p>
        </w:tc>
      </w:tr>
      <w:tr w:rsidTr="00A65CDE">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A65CDE">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A65CDE">
            <w:pPr>
              <w:pStyle w:val="BodyText"/>
              <w:rPr>
                <w:lang w:val="en-NZ"/>
              </w:rPr>
            </w:pPr>
            <w:r w:rsidRPr="00A65CDE">
              <w:rPr>
                <w:rStyle w:val="SpecialBold"/>
              </w:rPr>
              <w:t>5.3</w:t>
            </w:r>
          </w:p>
        </w:tc>
        <w:tc>
          <w:tcPr>
            <w:tcW w:w="5593" w:type="dxa"/>
            <w:tcBorders>
              <w:top w:val="nil"/>
              <w:left w:val="nil"/>
              <w:bottom w:val="nil"/>
              <w:right w:val="nil"/>
            </w:tcBorders>
            <w:tcMar>
              <w:top w:w="0" w:type="dxa"/>
              <w:left w:w="62" w:type="dxa"/>
              <w:bottom w:w="0" w:type="dxa"/>
              <w:right w:w="62" w:type="dxa"/>
            </w:tcMar>
          </w:tcPr>
          <w:p w:rsidR="00000000" w:rsidRPr="00A65CDE" w:rsidP="00A65CDE">
            <w:pPr>
              <w:pStyle w:val="BodyText"/>
            </w:pPr>
            <w:r w:rsidRPr="00A65CDE">
              <w:t>Disseminate research outcomes to key stakeholders and/or participants</w:t>
            </w:r>
          </w:p>
        </w:tc>
      </w:tr>
    </w:tbl>
    <w:p w:rsidR="00000000" w:rsidRPr="00A65CDE" w:rsidP="00A65CDE">
      <w:pPr>
        <w:pStyle w:val="NoPaddingFontSize1"/>
      </w:pPr>
    </w:p>
    <w:p w:rsidR="00000000" w:rsidRPr="00A65CDE" w:rsidP="00A65CDE">
      <w:pPr>
        <w:pStyle w:val="AllowPageBreak"/>
      </w:pPr>
    </w:p>
    <w:p w:rsidR="00000000" w:rsidRPr="00A65CDE" w:rsidP="00A65CDE">
      <w:pPr>
        <w:pStyle w:val="Heading1"/>
      </w:pPr>
      <w:bookmarkStart w:id="7" w:name="O_1023866"/>
      <w:bookmarkEnd w:id="7"/>
      <w:r w:rsidRPr="00A65CDE">
        <w:t>Foundation Skills</w:t>
      </w:r>
    </w:p>
    <w:tbl>
      <w:tblPr>
        <w:tblW w:w="9497" w:type="dxa"/>
        <w:tblLayout w:type="fixed"/>
        <w:tblCellMar>
          <w:left w:w="62" w:type="dxa"/>
          <w:right w:w="62" w:type="dxa"/>
        </w:tblCellMar>
        <w:tblLook w:val="0000"/>
      </w:tblPr>
      <w:tblGrid>
        <w:gridCol w:w="9497"/>
      </w:tblGrid>
      <w:tr w:rsidTr="00A65C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5CDE" w:rsidP="00A65CDE">
            <w:pPr>
              <w:pStyle w:val="BodyText"/>
            </w:pPr>
            <w:r w:rsidRPr="00A65CDE">
              <w:t>Foundation skills essential to performance are explicit in the performance criteria of this unit of competency.</w:t>
            </w:r>
          </w:p>
        </w:tc>
      </w:tr>
    </w:tbl>
    <w:p w:rsidR="00000000" w:rsidRPr="00A65CDE" w:rsidP="00A65CDE">
      <w:pPr>
        <w:pStyle w:val="NoPaddingFontSize1"/>
      </w:pPr>
    </w:p>
    <w:p w:rsidR="00000000" w:rsidRPr="00A65CDE" w:rsidP="00A65CDE">
      <w:pPr>
        <w:pStyle w:val="AllowPageBreak"/>
      </w:pPr>
    </w:p>
    <w:p w:rsidR="00000000" w:rsidRPr="00A65CDE" w:rsidP="00A65CDE">
      <w:pPr>
        <w:pStyle w:val="Heading1"/>
      </w:pPr>
      <w:bookmarkStart w:id="8" w:name="O_1023867"/>
      <w:bookmarkEnd w:id="8"/>
      <w:r w:rsidRPr="00A65CDE">
        <w:t>Range of Conditions</w:t>
      </w:r>
    </w:p>
    <w:tbl>
      <w:tblPr>
        <w:tblW w:w="9497" w:type="dxa"/>
        <w:tblLayout w:type="fixed"/>
        <w:tblCellMar>
          <w:left w:w="62" w:type="dxa"/>
          <w:right w:w="62" w:type="dxa"/>
        </w:tblCellMar>
        <w:tblLook w:val="0000"/>
      </w:tblPr>
      <w:tblGrid>
        <w:gridCol w:w="9497"/>
      </w:tblGrid>
      <w:tr w:rsidTr="00A65C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5CDE" w:rsidP="00A65CDE">
            <w:pPr>
              <w:pStyle w:val="BodyText"/>
            </w:pPr>
            <w:r w:rsidRPr="00A65CDE">
              <w:t>Range is restricted to essential operating conditions and any other variables essential to the work environment.</w:t>
            </w:r>
          </w:p>
          <w:p w:rsidR="00000000" w:rsidRPr="00A65CDE" w:rsidP="00A65CDE">
            <w:pPr>
              <w:pStyle w:val="BodyText"/>
            </w:pPr>
            <w:r w:rsidRPr="00A65CDE">
              <w:t>Non-essential conditions may be found in the Companion Volume Implementation Guide.</w:t>
            </w:r>
          </w:p>
        </w:tc>
      </w:tr>
    </w:tbl>
    <w:p w:rsidR="00000000" w:rsidRPr="00A65CDE" w:rsidP="00A65CDE">
      <w:pPr>
        <w:pStyle w:val="NoPaddingFontSize1"/>
      </w:pPr>
    </w:p>
    <w:p w:rsidR="00000000" w:rsidRPr="00A65CDE" w:rsidP="00A65CDE">
      <w:pPr>
        <w:pStyle w:val="AllowPageBreak"/>
      </w:pPr>
    </w:p>
    <w:p w:rsidR="00000000" w:rsidRPr="00A65CDE" w:rsidP="00A65CDE">
      <w:pPr>
        <w:pStyle w:val="Heading1"/>
      </w:pPr>
      <w:bookmarkStart w:id="9" w:name="O_1023868"/>
      <w:bookmarkEnd w:id="9"/>
      <w:r w:rsidRPr="00A65CDE">
        <w:t>Unit Mapping Information</w:t>
      </w:r>
    </w:p>
    <w:tbl>
      <w:tblPr>
        <w:tblW w:w="9497" w:type="dxa"/>
        <w:tblLayout w:type="fixed"/>
        <w:tblCellMar>
          <w:left w:w="62" w:type="dxa"/>
          <w:right w:w="62" w:type="dxa"/>
        </w:tblCellMar>
        <w:tblLook w:val="0000"/>
      </w:tblPr>
      <w:tblGrid>
        <w:gridCol w:w="9497"/>
      </w:tblGrid>
      <w:tr w:rsidTr="00A65C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5CDE" w:rsidP="00A65CDE">
            <w:pPr>
              <w:pStyle w:val="BodyText"/>
            </w:pPr>
            <w:r w:rsidRPr="00A65CDE">
              <w:t>This is a new unit</w:t>
            </w:r>
          </w:p>
        </w:tc>
      </w:tr>
    </w:tbl>
    <w:p w:rsidR="00000000" w:rsidRPr="00A65CDE" w:rsidP="00A65CDE">
      <w:pPr>
        <w:pStyle w:val="NoPaddingFontSize1"/>
      </w:pPr>
    </w:p>
    <w:p w:rsidR="00000000" w:rsidRPr="00A65CDE" w:rsidP="00A65CDE">
      <w:pPr>
        <w:pStyle w:val="AllowPageBreak"/>
      </w:pPr>
    </w:p>
    <w:p w:rsidR="00000000" w:rsidRPr="00A65CDE" w:rsidP="00A65CDE">
      <w:pPr>
        <w:pStyle w:val="Heading1"/>
      </w:pPr>
      <w:bookmarkStart w:id="10" w:name="O_1023875"/>
      <w:bookmarkEnd w:id="10"/>
      <w:r w:rsidRPr="00A65CDE">
        <w:t>Links</w:t>
      </w:r>
    </w:p>
    <w:p w:rsidR="00000000" w:rsidRPr="00A65CDE" w:rsidP="00CC5A18">
      <w:pPr>
        <w:pStyle w:val="BodyText"/>
      </w:pPr>
      <w:r w:rsidRPr="00A65CDE">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AF1062">
        <w:rPr>
          <w:rStyle w:val="Hyperlink"/>
        </w:rPr>
        <w:t>https://vetnet.gov.au/Pages/TrainingDocs.aspx?q=3eca5672-6d5a-410b-8942-810d0ba05bbf</w:t>
      </w:r>
      <w:r>
        <w:fldChar w:fldCharType="end"/>
      </w:r>
    </w:p>
    <w:p w:rsidR="00000000" w:rsidRPr="00A65CDE" w:rsidP="00A65CDE"/>
    <w:sectPr w:rsidSect="00A65C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C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CDE" w:rsidRPr="00CC5A18" w:rsidP="00CC5A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C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A18" w:rsidP="00A65C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5A18" w:rsidP="00A65CD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C5A18" w:rsidP="00A65C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C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A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5CDE" w:rsidRPr="00CC5A18" w:rsidP="00CC5A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C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A18" w:rsidRPr="002D2AF8" w:rsidP="00A65CDE">
    <w:pPr>
      <w:pStyle w:val="Header"/>
      <w:framePr w:wrap="around"/>
    </w:pPr>
    <w:r>
      <w:fldChar w:fldCharType="begin"/>
    </w:r>
    <w:r>
      <w:instrText xml:space="preserve"> TITLE   \* MERGEFORMAT </w:instrText>
    </w:r>
    <w:r>
      <w:fldChar w:fldCharType="separate"/>
    </w:r>
    <w:r>
      <w:t>PUAECL001 Evaluate societal threats, uncertainty and surprise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CC5A18" w:rsidP="00A65C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C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5CDE"/>
    <w:pPr>
      <w:spacing w:before="360" w:after="60"/>
      <w:outlineLvl w:val="0"/>
    </w:pPr>
    <w:rPr>
      <w:sz w:val="32"/>
    </w:rPr>
  </w:style>
  <w:style w:type="paragraph" w:styleId="Heading2">
    <w:name w:val="heading 2"/>
    <w:basedOn w:val="HeadingBase"/>
    <w:next w:val="BodyText"/>
    <w:link w:val="Heading2Char"/>
    <w:qFormat/>
    <w:rsid w:val="00A65CDE"/>
    <w:pPr>
      <w:keepLines/>
      <w:spacing w:before="240" w:after="120"/>
      <w:outlineLvl w:val="1"/>
    </w:pPr>
    <w:rPr>
      <w:sz w:val="28"/>
      <w:szCs w:val="40"/>
    </w:rPr>
  </w:style>
  <w:style w:type="paragraph" w:styleId="Heading3">
    <w:name w:val="heading 3"/>
    <w:basedOn w:val="HeadingBase"/>
    <w:next w:val="BodyText"/>
    <w:link w:val="Heading3Char"/>
    <w:qFormat/>
    <w:rsid w:val="00A65CDE"/>
    <w:pPr>
      <w:spacing w:before="180" w:after="120"/>
      <w:outlineLvl w:val="2"/>
    </w:pPr>
    <w:rPr>
      <w:spacing w:val="-10"/>
      <w:kern w:val="32"/>
    </w:rPr>
  </w:style>
  <w:style w:type="paragraph" w:styleId="Heading4">
    <w:name w:val="heading 4"/>
    <w:basedOn w:val="HeadingBase"/>
    <w:next w:val="BodyText"/>
    <w:link w:val="Heading4Char"/>
    <w:qFormat/>
    <w:rsid w:val="00A65CDE"/>
    <w:pPr>
      <w:spacing w:before="160" w:after="120"/>
      <w:outlineLvl w:val="3"/>
    </w:pPr>
    <w:rPr>
      <w:sz w:val="22"/>
    </w:rPr>
  </w:style>
  <w:style w:type="paragraph" w:styleId="Heading5">
    <w:name w:val="heading 5"/>
    <w:basedOn w:val="HeadingBase"/>
    <w:next w:val="Normal"/>
    <w:link w:val="Heading5Char"/>
    <w:qFormat/>
    <w:rsid w:val="00A65CDE"/>
    <w:pPr>
      <w:spacing w:before="80"/>
      <w:outlineLvl w:val="4"/>
    </w:pPr>
    <w:rPr>
      <w:color w:val="918585"/>
      <w:sz w:val="20"/>
    </w:rPr>
  </w:style>
  <w:style w:type="paragraph" w:styleId="Heading6">
    <w:name w:val="heading 6"/>
    <w:basedOn w:val="HeadingBase"/>
    <w:next w:val="Normal"/>
    <w:link w:val="Heading6Char"/>
    <w:qFormat/>
    <w:rsid w:val="00A65CDE"/>
    <w:pPr>
      <w:spacing w:before="60"/>
      <w:outlineLvl w:val="5"/>
    </w:pPr>
    <w:rPr>
      <w:color w:val="918585"/>
      <w:sz w:val="20"/>
    </w:rPr>
  </w:style>
  <w:style w:type="paragraph" w:styleId="Heading7">
    <w:name w:val="heading 7"/>
    <w:basedOn w:val="Normal"/>
    <w:next w:val="Normal"/>
    <w:link w:val="Heading7Char"/>
    <w:qFormat/>
    <w:rsid w:val="00A65CDE"/>
    <w:pPr>
      <w:ind w:left="720"/>
      <w:outlineLvl w:val="6"/>
    </w:pPr>
    <w:rPr>
      <w:i/>
    </w:rPr>
  </w:style>
  <w:style w:type="paragraph" w:styleId="Heading8">
    <w:name w:val="heading 8"/>
    <w:basedOn w:val="Normal"/>
    <w:next w:val="Normal"/>
    <w:link w:val="Heading8Char"/>
    <w:qFormat/>
    <w:rsid w:val="00A65CDE"/>
    <w:pPr>
      <w:ind w:left="720"/>
      <w:outlineLvl w:val="7"/>
    </w:pPr>
    <w:rPr>
      <w:i/>
    </w:rPr>
  </w:style>
  <w:style w:type="paragraph" w:styleId="Heading9">
    <w:name w:val="heading 9"/>
    <w:basedOn w:val="Normal"/>
    <w:next w:val="Normal"/>
    <w:link w:val="Heading9Char"/>
    <w:qFormat/>
    <w:rsid w:val="00A65CDE"/>
    <w:pPr>
      <w:ind w:left="720"/>
      <w:outlineLvl w:val="8"/>
    </w:pPr>
    <w:rPr>
      <w:i/>
    </w:rPr>
  </w:style>
  <w:style w:type="character" w:default="1" w:styleId="DefaultParagraphFont">
    <w:name w:val="Default Paragraph Font"/>
    <w:uiPriority w:val="1"/>
    <w:unhideWhenUsed/>
    <w:rsid w:val="00A65C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5CDE"/>
  </w:style>
  <w:style w:type="character" w:customStyle="1" w:styleId="Heading1Char">
    <w:name w:val="Heading 1 Char"/>
    <w:basedOn w:val="DefaultParagraphFont"/>
    <w:link w:val="Heading1"/>
    <w:rsid w:val="00A65CDE"/>
    <w:rPr>
      <w:rFonts w:ascii="Times New Roman" w:eastAsia="Times New Roman" w:hAnsi="Times New Roman" w:cs="Times New Roman"/>
      <w:b/>
      <w:sz w:val="32"/>
      <w:szCs w:val="20"/>
      <w:lang w:eastAsia="en-US"/>
    </w:rPr>
  </w:style>
  <w:style w:type="paragraph" w:styleId="BodyText">
    <w:name w:val="Body Text"/>
    <w:basedOn w:val="Normal"/>
    <w:link w:val="BodyTextChar"/>
    <w:rsid w:val="00A65C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5CDE"/>
    <w:rPr>
      <w:rFonts w:ascii="Times New Roman" w:eastAsia="Times New Roman" w:hAnsi="Times New Roman" w:cs="Times New Roman"/>
      <w:sz w:val="24"/>
      <w:lang w:eastAsia="en-US"/>
    </w:rPr>
  </w:style>
  <w:style w:type="character" w:customStyle="1" w:styleId="SpecialBold">
    <w:name w:val="Special Bold"/>
    <w:basedOn w:val="DefaultParagraphFont"/>
    <w:rsid w:val="00A65CDE"/>
    <w:rPr>
      <w:b/>
      <w:spacing w:val="0"/>
    </w:rPr>
  </w:style>
  <w:style w:type="paragraph" w:customStyle="1" w:styleId="SuperHeading">
    <w:name w:val="SuperHeading"/>
    <w:basedOn w:val="Normal"/>
    <w:rsid w:val="00A65CDE"/>
    <w:pPr>
      <w:spacing w:before="240" w:after="120"/>
      <w:outlineLvl w:val="0"/>
    </w:pPr>
    <w:rPr>
      <w:rFonts w:ascii="Times New Roman" w:hAnsi="Times New Roman"/>
      <w:b/>
      <w:sz w:val="32"/>
    </w:rPr>
  </w:style>
  <w:style w:type="paragraph" w:customStyle="1" w:styleId="AllowPageBreak">
    <w:name w:val="AllowPageBreak"/>
    <w:rsid w:val="00A65C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65C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5C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5C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5C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5C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5C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5C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5CDE"/>
    <w:rPr>
      <w:rFonts w:ascii="Courier New" w:eastAsia="Times New Roman" w:hAnsi="Courier New" w:cs="Times New Roman"/>
      <w:i/>
      <w:szCs w:val="20"/>
      <w:lang w:eastAsia="en-US"/>
    </w:rPr>
  </w:style>
  <w:style w:type="paragraph" w:customStyle="1" w:styleId="HeadingBase">
    <w:name w:val="Heading Base"/>
    <w:rsid w:val="00A65C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5CDE"/>
    <w:pPr>
      <w:tabs>
        <w:tab w:val="right" w:leader="dot" w:pos="9072"/>
      </w:tabs>
      <w:ind w:left="567"/>
    </w:pPr>
    <w:rPr>
      <w:szCs w:val="22"/>
    </w:rPr>
  </w:style>
  <w:style w:type="paragraph" w:customStyle="1" w:styleId="TOCBase">
    <w:name w:val="TOC Base"/>
    <w:rsid w:val="00A65C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5CDE"/>
    <w:pPr>
      <w:tabs>
        <w:tab w:val="right" w:leader="dot" w:pos="9072"/>
      </w:tabs>
      <w:spacing w:before="40" w:after="40"/>
      <w:ind w:left="284"/>
    </w:pPr>
    <w:rPr>
      <w:rFonts w:ascii="Times New Roman" w:hAnsi="Times New Roman"/>
    </w:rPr>
  </w:style>
  <w:style w:type="paragraph" w:styleId="TOC1">
    <w:name w:val="toc 1"/>
    <w:basedOn w:val="TOCBase"/>
    <w:next w:val="Normal"/>
    <w:rsid w:val="00A65C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5C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5CDE"/>
    <w:rPr>
      <w:rFonts w:ascii="Times New Roman" w:eastAsia="Times New Roman" w:hAnsi="Times New Roman" w:cs="Times New Roman"/>
      <w:sz w:val="16"/>
      <w:lang w:eastAsia="en-US"/>
    </w:rPr>
  </w:style>
  <w:style w:type="paragraph" w:styleId="Title">
    <w:name w:val="Title"/>
    <w:basedOn w:val="HeadingBase"/>
    <w:link w:val="TitleChar"/>
    <w:qFormat/>
    <w:rsid w:val="00A65CDE"/>
    <w:pPr>
      <w:spacing w:before="5040"/>
      <w:jc w:val="center"/>
    </w:pPr>
    <w:rPr>
      <w:sz w:val="48"/>
      <w:szCs w:val="72"/>
      <w:lang w:val="en-US"/>
    </w:rPr>
  </w:style>
  <w:style w:type="character" w:customStyle="1" w:styleId="TitleChar">
    <w:name w:val="Title Char"/>
    <w:basedOn w:val="DefaultParagraphFont"/>
    <w:link w:val="Title"/>
    <w:rsid w:val="00A65C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5CDE"/>
    <w:pPr>
      <w:tabs>
        <w:tab w:val="left" w:pos="3600"/>
        <w:tab w:val="left" w:pos="3958"/>
      </w:tabs>
    </w:pPr>
  </w:style>
  <w:style w:type="paragraph" w:styleId="List">
    <w:name w:val="List"/>
    <w:basedOn w:val="BodyText"/>
    <w:next w:val="BodyText"/>
    <w:rsid w:val="00A65CDE"/>
    <w:pPr>
      <w:tabs>
        <w:tab w:val="left" w:pos="340"/>
      </w:tabs>
      <w:spacing w:before="60" w:after="60"/>
      <w:ind w:left="340" w:hanging="340"/>
    </w:pPr>
  </w:style>
  <w:style w:type="paragraph" w:styleId="ListBullet">
    <w:name w:val="List Bullet"/>
    <w:basedOn w:val="List"/>
    <w:rsid w:val="00A65CDE"/>
    <w:pPr>
      <w:numPr>
        <w:numId w:val="10"/>
      </w:numPr>
      <w:tabs>
        <w:tab w:val="clear" w:pos="340"/>
      </w:tabs>
      <w:spacing w:before="40" w:after="40"/>
    </w:pPr>
  </w:style>
  <w:style w:type="paragraph" w:customStyle="1" w:styleId="Note">
    <w:name w:val="Note"/>
    <w:basedOn w:val="BodyText"/>
    <w:rsid w:val="00A65C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5CDE"/>
    <w:pPr>
      <w:framePr w:wrap="auto" w:hAnchor="text" w:y="6049"/>
    </w:pPr>
    <w:rPr>
      <w:color w:val="000000"/>
      <w:sz w:val="40"/>
    </w:rPr>
  </w:style>
  <w:style w:type="paragraph" w:customStyle="1" w:styleId="TOCTitle">
    <w:name w:val="TOCTitle"/>
    <w:basedOn w:val="Heading1"/>
    <w:rsid w:val="00A65CDE"/>
    <w:pPr>
      <w:spacing w:after="240"/>
      <w:jc w:val="center"/>
      <w:outlineLvl w:val="9"/>
    </w:pPr>
    <w:rPr>
      <w:caps/>
    </w:rPr>
  </w:style>
  <w:style w:type="paragraph" w:customStyle="1" w:styleId="Version">
    <w:name w:val="Version"/>
    <w:rsid w:val="00A65C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5CDE"/>
    <w:pPr>
      <w:numPr>
        <w:numId w:val="11"/>
      </w:numPr>
      <w:tabs>
        <w:tab w:val="clear" w:pos="680"/>
      </w:tabs>
    </w:pPr>
  </w:style>
  <w:style w:type="paragraph" w:styleId="Index1">
    <w:name w:val="index 1"/>
    <w:basedOn w:val="Normal"/>
    <w:next w:val="Normal"/>
    <w:semiHidden/>
    <w:rsid w:val="00A65CDE"/>
    <w:pPr>
      <w:keepNext w:val="0"/>
      <w:tabs>
        <w:tab w:val="right" w:pos="4176"/>
      </w:tabs>
      <w:ind w:left="198" w:hanging="198"/>
    </w:pPr>
    <w:rPr>
      <w:rFonts w:ascii="Garamond" w:hAnsi="Garamond"/>
    </w:rPr>
  </w:style>
  <w:style w:type="paragraph" w:styleId="IndexHeading">
    <w:name w:val="index heading"/>
    <w:basedOn w:val="Normal"/>
    <w:next w:val="Index1"/>
    <w:semiHidden/>
    <w:rsid w:val="00A65CDE"/>
    <w:pPr>
      <w:spacing w:before="120" w:after="120"/>
    </w:pPr>
    <w:rPr>
      <w:rFonts w:ascii="Arial" w:hAnsi="Arial"/>
      <w:b/>
      <w:color w:val="918585"/>
      <w:sz w:val="24"/>
    </w:rPr>
  </w:style>
  <w:style w:type="paragraph" w:styleId="Header">
    <w:name w:val="header"/>
    <w:basedOn w:val="Normal"/>
    <w:link w:val="HeaderChar"/>
    <w:rsid w:val="00A65C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5CDE"/>
    <w:rPr>
      <w:rFonts w:ascii="Times New Roman" w:eastAsia="Times New Roman" w:hAnsi="Times New Roman" w:cs="Times New Roman"/>
      <w:sz w:val="16"/>
      <w:szCs w:val="20"/>
      <w:lang w:val="en-GB" w:eastAsia="en-US"/>
    </w:rPr>
  </w:style>
  <w:style w:type="paragraph" w:customStyle="1" w:styleId="Chapter">
    <w:name w:val="Chapter"/>
    <w:basedOn w:val="Normal"/>
    <w:rsid w:val="00A65CDE"/>
    <w:pPr>
      <w:spacing w:before="240"/>
    </w:pPr>
    <w:rPr>
      <w:rFonts w:ascii="Times New Roman" w:hAnsi="Times New Roman"/>
      <w:smallCaps/>
      <w:spacing w:val="80"/>
      <w:sz w:val="28"/>
    </w:rPr>
  </w:style>
  <w:style w:type="paragraph" w:customStyle="1" w:styleId="InChapter">
    <w:name w:val="InChapter"/>
    <w:basedOn w:val="Heading3"/>
    <w:rsid w:val="00A65CDE"/>
    <w:pPr>
      <w:spacing w:after="240"/>
      <w:outlineLvl w:val="9"/>
    </w:pPr>
    <w:rPr>
      <w:noProof/>
    </w:rPr>
  </w:style>
  <w:style w:type="paragraph" w:styleId="Index2">
    <w:name w:val="index 2"/>
    <w:basedOn w:val="Normal"/>
    <w:next w:val="Normal"/>
    <w:semiHidden/>
    <w:rsid w:val="00A65CDE"/>
    <w:pPr>
      <w:tabs>
        <w:tab w:val="right" w:pos="4176"/>
      </w:tabs>
      <w:ind w:left="568" w:hanging="284"/>
    </w:pPr>
    <w:rPr>
      <w:rFonts w:ascii="Garamond" w:hAnsi="Garamond"/>
    </w:rPr>
  </w:style>
  <w:style w:type="paragraph" w:customStyle="1" w:styleId="Byline">
    <w:name w:val="Byline"/>
    <w:rsid w:val="00A65C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5CDE"/>
    <w:pPr>
      <w:tabs>
        <w:tab w:val="clear" w:pos="3600"/>
        <w:tab w:val="clear" w:pos="3958"/>
      </w:tabs>
      <w:jc w:val="right"/>
    </w:pPr>
  </w:style>
  <w:style w:type="character" w:styleId="Emphasis">
    <w:name w:val="Emphasis"/>
    <w:basedOn w:val="DefaultParagraphFont"/>
    <w:qFormat/>
    <w:rsid w:val="00A65CDE"/>
    <w:rPr>
      <w:i/>
    </w:rPr>
  </w:style>
  <w:style w:type="paragraph" w:styleId="Caption">
    <w:name w:val="caption"/>
    <w:basedOn w:val="BodyText"/>
    <w:next w:val="Normal"/>
    <w:qFormat/>
    <w:rsid w:val="00A65CDE"/>
    <w:pPr>
      <w:framePr w:w="2268" w:hSpace="181" w:vSpace="181" w:wrap="around" w:vAnchor="text" w:hAnchor="page" w:x="1135" w:y="285" w:anchorLock="1"/>
    </w:pPr>
    <w:rPr>
      <w:i/>
    </w:rPr>
  </w:style>
  <w:style w:type="paragraph" w:customStyle="1" w:styleId="MiniTOCTitle">
    <w:name w:val="MiniTOCTitle"/>
    <w:basedOn w:val="Heading4"/>
    <w:rsid w:val="00A65CDE"/>
    <w:pPr>
      <w:spacing w:before="240"/>
      <w:outlineLvl w:val="9"/>
    </w:pPr>
    <w:rPr>
      <w:noProof/>
      <w:sz w:val="24"/>
    </w:rPr>
  </w:style>
  <w:style w:type="paragraph" w:customStyle="1" w:styleId="MiniTOCItem">
    <w:name w:val="MiniTOCItem"/>
    <w:basedOn w:val="ListBullet"/>
    <w:rsid w:val="00A65CDE"/>
    <w:pPr>
      <w:numPr>
        <w:numId w:val="0"/>
      </w:numPr>
      <w:tabs>
        <w:tab w:val="right" w:leader="dot" w:pos="6521"/>
      </w:tabs>
      <w:spacing w:before="0" w:after="0"/>
    </w:pPr>
  </w:style>
  <w:style w:type="paragraph" w:customStyle="1" w:styleId="TOFTitle">
    <w:name w:val="TOFTitle"/>
    <w:basedOn w:val="TOCTitle"/>
    <w:rsid w:val="00A65CDE"/>
  </w:style>
  <w:style w:type="paragraph" w:styleId="TableofFigures">
    <w:name w:val="table of figures"/>
    <w:basedOn w:val="Normal"/>
    <w:next w:val="Normal"/>
    <w:semiHidden/>
    <w:rsid w:val="00A65CDE"/>
    <w:pPr>
      <w:tabs>
        <w:tab w:val="right" w:leader="dot" w:pos="9072"/>
      </w:tabs>
      <w:ind w:left="970" w:hanging="403"/>
    </w:pPr>
    <w:rPr>
      <w:rFonts w:ascii="Times New Roman" w:hAnsi="Times New Roman"/>
      <w:b/>
    </w:rPr>
  </w:style>
  <w:style w:type="paragraph" w:styleId="ListNumber">
    <w:name w:val="List Number"/>
    <w:basedOn w:val="List"/>
    <w:rsid w:val="00A65CDE"/>
    <w:pPr>
      <w:numPr>
        <w:numId w:val="13"/>
      </w:numPr>
      <w:tabs>
        <w:tab w:val="clear" w:pos="340"/>
      </w:tabs>
    </w:pPr>
  </w:style>
  <w:style w:type="character" w:customStyle="1" w:styleId="WingdingSymbols">
    <w:name w:val="Wingding Symbols"/>
    <w:rsid w:val="00A65CDE"/>
    <w:rPr>
      <w:rFonts w:ascii="Wingdings" w:hAnsi="Wingdings"/>
    </w:rPr>
  </w:style>
  <w:style w:type="paragraph" w:customStyle="1" w:styleId="TableHeading">
    <w:name w:val="Table Heading"/>
    <w:basedOn w:val="HeadingBase"/>
    <w:rsid w:val="00A65CDE"/>
    <w:pPr>
      <w:keepLines/>
      <w:pBdr>
        <w:bottom w:val="single" w:sz="6" w:space="1" w:color="918585"/>
      </w:pBdr>
      <w:spacing w:before="240"/>
    </w:pPr>
  </w:style>
  <w:style w:type="character" w:customStyle="1" w:styleId="HotSpot">
    <w:name w:val="HotSpot"/>
    <w:rsid w:val="00A65CDE"/>
    <w:rPr>
      <w:color w:val="0033CC"/>
      <w:u w:val="none"/>
    </w:rPr>
  </w:style>
  <w:style w:type="paragraph" w:customStyle="1" w:styleId="BodyTextRight">
    <w:name w:val="Body Text Right"/>
    <w:basedOn w:val="BodyText"/>
    <w:rsid w:val="00A65CDE"/>
    <w:pPr>
      <w:spacing w:before="0" w:after="0"/>
      <w:jc w:val="right"/>
    </w:pPr>
  </w:style>
  <w:style w:type="paragraph" w:styleId="Index3">
    <w:name w:val="index 3"/>
    <w:basedOn w:val="ListNumber2"/>
    <w:next w:val="Normal"/>
    <w:semiHidden/>
    <w:rsid w:val="00A65CDE"/>
    <w:pPr>
      <w:numPr>
        <w:numId w:val="0"/>
      </w:numPr>
      <w:tabs>
        <w:tab w:val="right" w:leader="dot" w:pos="4176"/>
      </w:tabs>
    </w:pPr>
  </w:style>
  <w:style w:type="paragraph" w:styleId="ListNumber2">
    <w:name w:val="List Number 2"/>
    <w:basedOn w:val="List2"/>
    <w:rsid w:val="00A65CDE"/>
    <w:pPr>
      <w:numPr>
        <w:numId w:val="8"/>
      </w:numPr>
      <w:tabs>
        <w:tab w:val="clear" w:pos="1060"/>
      </w:tabs>
    </w:pPr>
  </w:style>
  <w:style w:type="paragraph" w:customStyle="1" w:styleId="MarginNote">
    <w:name w:val="Margin Note"/>
    <w:basedOn w:val="BodyText"/>
    <w:rsid w:val="00A65C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5C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5C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5CDE"/>
    <w:rPr>
      <w:sz w:val="32"/>
    </w:rPr>
  </w:style>
  <w:style w:type="paragraph" w:customStyle="1" w:styleId="HeadingProcedure">
    <w:name w:val="Heading Procedure"/>
    <w:basedOn w:val="HeadingBase"/>
    <w:next w:val="Normal"/>
    <w:rsid w:val="00A65CDE"/>
    <w:pPr>
      <w:tabs>
        <w:tab w:val="left" w:pos="0"/>
      </w:tabs>
      <w:spacing w:before="120" w:after="60"/>
    </w:pPr>
    <w:rPr>
      <w:i/>
      <w:color w:val="918585"/>
      <w:sz w:val="22"/>
    </w:rPr>
  </w:style>
  <w:style w:type="paragraph" w:customStyle="1" w:styleId="TableBodyText">
    <w:name w:val="Table Body Text"/>
    <w:basedOn w:val="BodyText"/>
    <w:rsid w:val="00A65CDE"/>
    <w:pPr>
      <w:spacing w:before="60" w:after="60"/>
    </w:pPr>
  </w:style>
  <w:style w:type="paragraph" w:styleId="ListContinue">
    <w:name w:val="List Continue"/>
    <w:basedOn w:val="List"/>
    <w:rsid w:val="00A65CDE"/>
    <w:pPr>
      <w:ind w:firstLine="0"/>
    </w:pPr>
  </w:style>
  <w:style w:type="paragraph" w:customStyle="1" w:styleId="ListNote">
    <w:name w:val="List Note"/>
    <w:basedOn w:val="List"/>
    <w:rsid w:val="00A65CDE"/>
    <w:pPr>
      <w:pBdr>
        <w:top w:val="single" w:sz="6" w:space="2" w:color="918585"/>
        <w:bottom w:val="single" w:sz="6" w:space="2" w:color="918585"/>
      </w:pBdr>
      <w:tabs>
        <w:tab w:val="left" w:pos="1021"/>
      </w:tabs>
      <w:ind w:firstLine="0"/>
    </w:pPr>
  </w:style>
  <w:style w:type="paragraph" w:customStyle="1" w:styleId="Warning">
    <w:name w:val="Warning"/>
    <w:basedOn w:val="BodyText"/>
    <w:rsid w:val="00A65CDE"/>
    <w:pPr>
      <w:shd w:val="clear" w:color="auto" w:fill="D9D9D9"/>
      <w:tabs>
        <w:tab w:val="left" w:pos="992"/>
      </w:tabs>
      <w:ind w:left="119" w:right="119"/>
    </w:pPr>
    <w:rPr>
      <w:sz w:val="20"/>
    </w:rPr>
  </w:style>
  <w:style w:type="paragraph" w:customStyle="1" w:styleId="MarginIcons">
    <w:name w:val="Margin Icons"/>
    <w:basedOn w:val="BodyText"/>
    <w:rsid w:val="00A65C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5CDE"/>
    <w:rPr>
      <w:rFonts w:ascii="Courier New" w:hAnsi="Courier New"/>
    </w:rPr>
  </w:style>
  <w:style w:type="paragraph" w:customStyle="1" w:styleId="NoteBullet">
    <w:name w:val="Note Bullet"/>
    <w:basedOn w:val="Note"/>
    <w:rsid w:val="00A65CDE"/>
    <w:pPr>
      <w:tabs>
        <w:tab w:val="clear" w:pos="680"/>
      </w:tabs>
      <w:spacing w:before="60" w:after="60"/>
    </w:pPr>
  </w:style>
  <w:style w:type="paragraph" w:customStyle="1" w:styleId="SubHeading2">
    <w:name w:val="SubHeading2"/>
    <w:basedOn w:val="HeadingBase"/>
    <w:rsid w:val="00A65CDE"/>
    <w:pPr>
      <w:spacing w:before="240" w:after="60"/>
    </w:pPr>
    <w:rPr>
      <w:sz w:val="20"/>
    </w:rPr>
  </w:style>
  <w:style w:type="paragraph" w:customStyle="1" w:styleId="SubHeading1">
    <w:name w:val="SubHeading1"/>
    <w:basedOn w:val="HeadingBase"/>
    <w:rsid w:val="00A65CDE"/>
    <w:pPr>
      <w:spacing w:before="240" w:after="60"/>
    </w:pPr>
    <w:rPr>
      <w:color w:val="918585"/>
      <w:sz w:val="22"/>
    </w:rPr>
  </w:style>
  <w:style w:type="paragraph" w:customStyle="1" w:styleId="SideHeading">
    <w:name w:val="Side Heading"/>
    <w:basedOn w:val="HeadingBase"/>
    <w:rsid w:val="00A65C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5CDE"/>
    <w:pPr>
      <w:numPr>
        <w:numId w:val="9"/>
      </w:numPr>
    </w:pPr>
  </w:style>
  <w:style w:type="paragraph" w:styleId="PlainText">
    <w:name w:val="Plain Text"/>
    <w:basedOn w:val="Normal"/>
    <w:link w:val="PlainTextChar"/>
    <w:rsid w:val="00A65CDE"/>
    <w:rPr>
      <w:sz w:val="20"/>
    </w:rPr>
  </w:style>
  <w:style w:type="character" w:customStyle="1" w:styleId="PlainTextChar">
    <w:name w:val="Plain Text Char"/>
    <w:basedOn w:val="DefaultParagraphFont"/>
    <w:link w:val="PlainText"/>
    <w:rsid w:val="00A65CDE"/>
    <w:rPr>
      <w:rFonts w:ascii="Courier New" w:eastAsia="Times New Roman" w:hAnsi="Courier New" w:cs="Times New Roman"/>
      <w:sz w:val="20"/>
      <w:szCs w:val="20"/>
      <w:lang w:eastAsia="en-US"/>
    </w:rPr>
  </w:style>
  <w:style w:type="character" w:customStyle="1" w:styleId="MenuOption">
    <w:name w:val="Menu Option"/>
    <w:basedOn w:val="DefaultParagraphFont"/>
    <w:rsid w:val="00A65CDE"/>
    <w:rPr>
      <w:b/>
      <w:smallCaps/>
    </w:rPr>
  </w:style>
  <w:style w:type="paragraph" w:customStyle="1" w:styleId="TableListNumber">
    <w:name w:val="Table List Number"/>
    <w:basedOn w:val="ListNumber"/>
    <w:rsid w:val="00A65CDE"/>
    <w:pPr>
      <w:numPr>
        <w:numId w:val="0"/>
      </w:numPr>
    </w:pPr>
  </w:style>
  <w:style w:type="paragraph" w:styleId="TOC4">
    <w:name w:val="toc 4"/>
    <w:basedOn w:val="TOCBase"/>
    <w:next w:val="Normal"/>
    <w:semiHidden/>
    <w:rsid w:val="00A65CDE"/>
    <w:pPr>
      <w:tabs>
        <w:tab w:val="right" w:leader="dot" w:pos="9071"/>
      </w:tabs>
      <w:ind w:left="1701"/>
    </w:pPr>
  </w:style>
  <w:style w:type="paragraph" w:customStyle="1" w:styleId="ListAlpha">
    <w:name w:val="List Alpha"/>
    <w:basedOn w:val="List"/>
    <w:rsid w:val="00A65CDE"/>
    <w:pPr>
      <w:numPr>
        <w:numId w:val="7"/>
      </w:numPr>
    </w:pPr>
  </w:style>
  <w:style w:type="paragraph" w:customStyle="1" w:styleId="ListAlpha2">
    <w:name w:val="List Alpha 2"/>
    <w:basedOn w:val="List2"/>
    <w:rsid w:val="00A65CDE"/>
    <w:pPr>
      <w:numPr>
        <w:numId w:val="6"/>
      </w:numPr>
    </w:pPr>
  </w:style>
  <w:style w:type="paragraph" w:styleId="List2">
    <w:name w:val="List 2"/>
    <w:basedOn w:val="BodyText"/>
    <w:rsid w:val="00A65CDE"/>
    <w:pPr>
      <w:tabs>
        <w:tab w:val="left" w:pos="680"/>
      </w:tabs>
      <w:spacing w:before="60" w:after="60"/>
      <w:ind w:left="680" w:hanging="340"/>
    </w:pPr>
  </w:style>
  <w:style w:type="paragraph" w:styleId="List3">
    <w:name w:val="List 3"/>
    <w:basedOn w:val="BodyText"/>
    <w:rsid w:val="00A65CDE"/>
    <w:pPr>
      <w:tabs>
        <w:tab w:val="left" w:pos="1021"/>
      </w:tabs>
      <w:spacing w:before="60" w:after="60"/>
      <w:ind w:left="1020" w:hanging="340"/>
    </w:pPr>
  </w:style>
  <w:style w:type="paragraph" w:styleId="List4">
    <w:name w:val="List 4"/>
    <w:basedOn w:val="BodyText"/>
    <w:rsid w:val="00A65CDE"/>
    <w:pPr>
      <w:tabs>
        <w:tab w:val="left" w:pos="1361"/>
      </w:tabs>
      <w:spacing w:before="60" w:after="60"/>
      <w:ind w:left="1361" w:hanging="340"/>
    </w:pPr>
  </w:style>
  <w:style w:type="paragraph" w:styleId="List5">
    <w:name w:val="List 5"/>
    <w:basedOn w:val="BodyText"/>
    <w:rsid w:val="00A65CDE"/>
    <w:pPr>
      <w:tabs>
        <w:tab w:val="left" w:pos="1701"/>
      </w:tabs>
      <w:spacing w:before="60" w:after="60"/>
      <w:ind w:left="1701" w:hanging="340"/>
    </w:pPr>
  </w:style>
  <w:style w:type="paragraph" w:styleId="ListBullet3">
    <w:name w:val="List Bullet 3"/>
    <w:basedOn w:val="List3"/>
    <w:rsid w:val="00A65CDE"/>
    <w:pPr>
      <w:numPr>
        <w:numId w:val="12"/>
      </w:numPr>
      <w:tabs>
        <w:tab w:val="clear" w:pos="1021"/>
      </w:tabs>
      <w:ind w:left="1037" w:hanging="357"/>
    </w:pPr>
  </w:style>
  <w:style w:type="paragraph" w:styleId="ListBullet4">
    <w:name w:val="List Bullet 4"/>
    <w:basedOn w:val="List4"/>
    <w:rsid w:val="00A65CDE"/>
    <w:pPr>
      <w:numPr>
        <w:numId w:val="1"/>
      </w:numPr>
      <w:tabs>
        <w:tab w:val="clear" w:pos="1361"/>
      </w:tabs>
    </w:pPr>
  </w:style>
  <w:style w:type="paragraph" w:styleId="ListBullet5">
    <w:name w:val="List Bullet 5"/>
    <w:basedOn w:val="List5"/>
    <w:rsid w:val="00A65CDE"/>
    <w:pPr>
      <w:numPr>
        <w:numId w:val="2"/>
      </w:numPr>
    </w:pPr>
  </w:style>
  <w:style w:type="paragraph" w:styleId="ListContinue2">
    <w:name w:val="List Continue 2"/>
    <w:basedOn w:val="List2"/>
    <w:rsid w:val="00A65CDE"/>
    <w:pPr>
      <w:ind w:firstLine="0"/>
    </w:pPr>
  </w:style>
  <w:style w:type="paragraph" w:styleId="ListContinue3">
    <w:name w:val="List Continue 3"/>
    <w:basedOn w:val="List3"/>
    <w:rsid w:val="00A65CDE"/>
    <w:pPr>
      <w:ind w:left="1021" w:firstLine="0"/>
    </w:pPr>
  </w:style>
  <w:style w:type="paragraph" w:styleId="ListContinue4">
    <w:name w:val="List Continue 4"/>
    <w:basedOn w:val="List4"/>
    <w:rsid w:val="00A65CDE"/>
    <w:pPr>
      <w:ind w:firstLine="0"/>
    </w:pPr>
  </w:style>
  <w:style w:type="paragraph" w:styleId="ListContinue5">
    <w:name w:val="List Continue 5"/>
    <w:basedOn w:val="List5"/>
    <w:rsid w:val="00A65CDE"/>
    <w:pPr>
      <w:ind w:firstLine="0"/>
    </w:pPr>
  </w:style>
  <w:style w:type="paragraph" w:styleId="ListNumber3">
    <w:name w:val="List Number 3"/>
    <w:basedOn w:val="List3"/>
    <w:rsid w:val="00A65CDE"/>
    <w:pPr>
      <w:numPr>
        <w:numId w:val="3"/>
      </w:numPr>
    </w:pPr>
  </w:style>
  <w:style w:type="paragraph" w:styleId="ListNumber4">
    <w:name w:val="List Number 4"/>
    <w:basedOn w:val="List4"/>
    <w:rsid w:val="00A65CDE"/>
    <w:pPr>
      <w:numPr>
        <w:numId w:val="4"/>
      </w:numPr>
    </w:pPr>
  </w:style>
  <w:style w:type="paragraph" w:styleId="ListNumber5">
    <w:name w:val="List Number 5"/>
    <w:basedOn w:val="List5"/>
    <w:rsid w:val="00A65CDE"/>
    <w:pPr>
      <w:numPr>
        <w:numId w:val="5"/>
      </w:numPr>
    </w:pPr>
  </w:style>
  <w:style w:type="paragraph" w:styleId="BlockText">
    <w:name w:val="Block Text"/>
    <w:basedOn w:val="Normal"/>
    <w:rsid w:val="00A65CDE"/>
    <w:pPr>
      <w:spacing w:after="120"/>
      <w:ind w:left="1440" w:right="1440"/>
    </w:pPr>
  </w:style>
  <w:style w:type="character" w:customStyle="1" w:styleId="Subscript">
    <w:name w:val="Subscript"/>
    <w:basedOn w:val="DefaultParagraphFont"/>
    <w:rsid w:val="00A65CDE"/>
    <w:rPr>
      <w:sz w:val="16"/>
      <w:vertAlign w:val="subscript"/>
    </w:rPr>
  </w:style>
  <w:style w:type="character" w:customStyle="1" w:styleId="Superscript">
    <w:name w:val="Superscript"/>
    <w:basedOn w:val="DefaultParagraphFont"/>
    <w:rsid w:val="00A65CDE"/>
    <w:rPr>
      <w:sz w:val="16"/>
      <w:vertAlign w:val="superscript"/>
    </w:rPr>
  </w:style>
  <w:style w:type="character" w:customStyle="1" w:styleId="Symbols">
    <w:name w:val="Symbols"/>
    <w:basedOn w:val="DefaultParagraphFont"/>
    <w:rsid w:val="00A65CDE"/>
    <w:rPr>
      <w:rFonts w:ascii="Symbol" w:hAnsi="Symbol"/>
    </w:rPr>
  </w:style>
  <w:style w:type="character" w:customStyle="1" w:styleId="MenuOptions">
    <w:name w:val="Menu Options"/>
    <w:basedOn w:val="DefaultParagraphFont"/>
    <w:rsid w:val="00A65CDE"/>
    <w:rPr>
      <w:rFonts w:ascii="Arial Narrow" w:hAnsi="Arial Narrow"/>
      <w:smallCaps/>
    </w:rPr>
  </w:style>
  <w:style w:type="character" w:customStyle="1" w:styleId="Buttons">
    <w:name w:val="Buttons"/>
    <w:basedOn w:val="DefaultParagraphFont"/>
    <w:rsid w:val="00A65CDE"/>
    <w:rPr>
      <w:b/>
    </w:rPr>
  </w:style>
  <w:style w:type="character" w:customStyle="1" w:styleId="Underlined">
    <w:name w:val="Underlined"/>
    <w:basedOn w:val="DefaultParagraphFont"/>
    <w:rsid w:val="00A65CDE"/>
    <w:rPr>
      <w:u w:val="single"/>
    </w:rPr>
  </w:style>
  <w:style w:type="paragraph" w:customStyle="1" w:styleId="TableBodyTextRight">
    <w:name w:val="Table Body Text Right"/>
    <w:basedOn w:val="TableBodyText"/>
    <w:rsid w:val="00A65CDE"/>
    <w:pPr>
      <w:widowControl w:val="0"/>
      <w:autoSpaceDE w:val="0"/>
      <w:autoSpaceDN w:val="0"/>
      <w:adjustRightInd w:val="0"/>
      <w:jc w:val="right"/>
    </w:pPr>
    <w:rPr>
      <w:rFonts w:cs="Arial"/>
      <w:szCs w:val="18"/>
    </w:rPr>
  </w:style>
  <w:style w:type="paragraph" w:customStyle="1" w:styleId="CopyrightText">
    <w:name w:val="Copyright Text"/>
    <w:basedOn w:val="BodyText"/>
    <w:rsid w:val="00A65CDE"/>
    <w:rPr>
      <w:sz w:val="18"/>
    </w:rPr>
  </w:style>
  <w:style w:type="paragraph" w:customStyle="1" w:styleId="BodySmallRight">
    <w:name w:val="Body Small Right"/>
    <w:basedOn w:val="BodyTextRight"/>
    <w:rsid w:val="00A65CDE"/>
    <w:rPr>
      <w:sz w:val="18"/>
      <w:szCs w:val="18"/>
    </w:rPr>
  </w:style>
  <w:style w:type="paragraph" w:customStyle="1" w:styleId="MarginEdition">
    <w:name w:val="Margin Edition"/>
    <w:basedOn w:val="MarginNote"/>
    <w:rsid w:val="00A65CDE"/>
    <w:pPr>
      <w:spacing w:before="0" w:after="0"/>
    </w:pPr>
    <w:rPr>
      <w:rFonts w:ascii="Times New Roman" w:hAnsi="Times New Roman"/>
      <w:color w:val="999999"/>
    </w:rPr>
  </w:style>
  <w:style w:type="paragraph" w:customStyle="1" w:styleId="Spacer">
    <w:name w:val="Spacer"/>
    <w:basedOn w:val="Normal"/>
    <w:rsid w:val="00A65CDE"/>
    <w:rPr>
      <w:sz w:val="2"/>
      <w:szCs w:val="2"/>
    </w:rPr>
  </w:style>
  <w:style w:type="character" w:customStyle="1" w:styleId="Small">
    <w:name w:val="Small"/>
    <w:basedOn w:val="DefaultParagraphFont"/>
    <w:rsid w:val="00A65CDE"/>
    <w:rPr>
      <w:sz w:val="16"/>
    </w:rPr>
  </w:style>
  <w:style w:type="paragraph" w:customStyle="1" w:styleId="WideTable">
    <w:name w:val="Wide Table"/>
    <w:basedOn w:val="Normal"/>
    <w:rsid w:val="00A65CDE"/>
    <w:pPr>
      <w:ind w:left="-1418"/>
    </w:pPr>
    <w:rPr>
      <w:sz w:val="2"/>
      <w:szCs w:val="2"/>
    </w:rPr>
  </w:style>
  <w:style w:type="character" w:styleId="PageNumber">
    <w:name w:val="page number"/>
    <w:basedOn w:val="DefaultParagraphFont"/>
    <w:rsid w:val="00A65CDE"/>
  </w:style>
  <w:style w:type="paragraph" w:styleId="Quote">
    <w:name w:val="Quote"/>
    <w:basedOn w:val="Heading1"/>
    <w:link w:val="QuoteChar"/>
    <w:qFormat/>
    <w:rsid w:val="00A65CDE"/>
    <w:rPr>
      <w:b w:val="0"/>
      <w:sz w:val="72"/>
      <w:szCs w:val="72"/>
      <w:lang w:val="en-NZ"/>
    </w:rPr>
  </w:style>
  <w:style w:type="character" w:customStyle="1" w:styleId="QuoteChar">
    <w:name w:val="Quote Char"/>
    <w:basedOn w:val="DefaultParagraphFont"/>
    <w:link w:val="Quote"/>
    <w:rsid w:val="00A65C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5CDE"/>
    <w:pPr>
      <w:pageBreakBefore/>
    </w:pPr>
  </w:style>
  <w:style w:type="paragraph" w:customStyle="1" w:styleId="Border">
    <w:name w:val="Border"/>
    <w:basedOn w:val="Normal"/>
    <w:qFormat/>
    <w:rsid w:val="00A65C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5CDE"/>
    <w:rPr>
      <w:b/>
      <w:bCs/>
      <w:i/>
      <w:iCs/>
      <w:color w:val="auto"/>
    </w:rPr>
  </w:style>
  <w:style w:type="paragraph" w:styleId="IntenseQuote">
    <w:name w:val="Intense Quote"/>
    <w:basedOn w:val="Normal"/>
    <w:next w:val="Normal"/>
    <w:link w:val="IntenseQuoteChar"/>
    <w:uiPriority w:val="30"/>
    <w:qFormat/>
    <w:rsid w:val="00A65C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5C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5CDE"/>
    <w:rPr>
      <w:smallCaps/>
      <w:color w:val="auto"/>
      <w:u w:val="single"/>
    </w:rPr>
  </w:style>
  <w:style w:type="character" w:styleId="IntenseReference">
    <w:name w:val="Intense Reference"/>
    <w:basedOn w:val="DefaultParagraphFont"/>
    <w:uiPriority w:val="32"/>
    <w:qFormat/>
    <w:rsid w:val="00A65CDE"/>
    <w:rPr>
      <w:b/>
      <w:bCs/>
      <w:smallCaps/>
      <w:color w:val="auto"/>
      <w:spacing w:val="5"/>
      <w:u w:val="single"/>
    </w:rPr>
  </w:style>
  <w:style w:type="paragraph" w:customStyle="1" w:styleId="2ColumnHeading">
    <w:name w:val="2Column Heading"/>
    <w:basedOn w:val="BodyText"/>
    <w:qFormat/>
    <w:rsid w:val="00A65CDE"/>
    <w:pPr>
      <w:spacing w:after="60"/>
      <w:ind w:left="-2268"/>
    </w:pPr>
    <w:rPr>
      <w:b/>
    </w:rPr>
  </w:style>
  <w:style w:type="paragraph" w:customStyle="1" w:styleId="Heading1TOC">
    <w:name w:val="Heading1 TOC"/>
    <w:basedOn w:val="Normal"/>
    <w:qFormat/>
    <w:rsid w:val="00A65CDE"/>
    <w:pPr>
      <w:spacing w:before="240" w:after="120"/>
    </w:pPr>
    <w:rPr>
      <w:rFonts w:ascii="Times New Roman" w:hAnsi="Times New Roman"/>
      <w:b/>
      <w:sz w:val="32"/>
    </w:rPr>
  </w:style>
  <w:style w:type="paragraph" w:customStyle="1" w:styleId="Heading2TOC">
    <w:name w:val="Heading2 TOC"/>
    <w:basedOn w:val="Normal"/>
    <w:qFormat/>
    <w:rsid w:val="00A65CDE"/>
    <w:pPr>
      <w:spacing w:before="240" w:after="60"/>
    </w:pPr>
    <w:rPr>
      <w:rFonts w:ascii="Times New Roman" w:hAnsi="Times New Roman"/>
      <w:b/>
      <w:sz w:val="28"/>
    </w:rPr>
  </w:style>
  <w:style w:type="character" w:customStyle="1" w:styleId="Underline">
    <w:name w:val="Underline"/>
    <w:basedOn w:val="DefaultParagraphFont"/>
    <w:qFormat/>
    <w:rsid w:val="00A65CDE"/>
    <w:rPr>
      <w:u w:val="single"/>
    </w:rPr>
  </w:style>
  <w:style w:type="character" w:customStyle="1" w:styleId="BoldandItalics">
    <w:name w:val="Bold and Italics"/>
    <w:qFormat/>
    <w:rsid w:val="00A65CDE"/>
    <w:rPr>
      <w:b/>
      <w:i/>
      <w:u w:val="none"/>
    </w:rPr>
  </w:style>
  <w:style w:type="paragraph" w:styleId="BalloonText">
    <w:name w:val="Balloon Text"/>
    <w:basedOn w:val="Normal"/>
    <w:link w:val="BalloonTextChar"/>
    <w:rsid w:val="00A65CDE"/>
    <w:rPr>
      <w:rFonts w:ascii="Tahoma" w:hAnsi="Tahoma" w:cs="Tahoma"/>
      <w:sz w:val="16"/>
      <w:szCs w:val="16"/>
    </w:rPr>
  </w:style>
  <w:style w:type="character" w:customStyle="1" w:styleId="BalloonTextChar">
    <w:name w:val="Balloon Text Char"/>
    <w:basedOn w:val="DefaultParagraphFont"/>
    <w:link w:val="BalloonText"/>
    <w:rsid w:val="00A65C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5C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5C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5CDE"/>
    <w:rPr>
      <w:b/>
      <w:color w:val="660033"/>
      <w:spacing w:val="0"/>
    </w:rPr>
  </w:style>
  <w:style w:type="paragraph" w:customStyle="1" w:styleId="Nameditemlist">
    <w:name w:val="Named item list"/>
    <w:basedOn w:val="BodyText"/>
    <w:qFormat/>
    <w:rsid w:val="00A65CDE"/>
    <w:pPr>
      <w:tabs>
        <w:tab w:val="left" w:pos="2835"/>
      </w:tabs>
      <w:ind w:left="2835" w:hanging="2835"/>
    </w:pPr>
  </w:style>
  <w:style w:type="paragraph" w:customStyle="1" w:styleId="BodyTextnopadding">
    <w:name w:val="Body Text no padding"/>
    <w:basedOn w:val="BodyText"/>
    <w:qFormat/>
    <w:rsid w:val="00A65CDE"/>
    <w:pPr>
      <w:spacing w:before="0" w:after="0"/>
    </w:pPr>
  </w:style>
  <w:style w:type="paragraph" w:customStyle="1" w:styleId="BodyTextBold">
    <w:name w:val="Body Text Bold"/>
    <w:basedOn w:val="BodyText"/>
    <w:qFormat/>
    <w:rsid w:val="00A65CDE"/>
    <w:rPr>
      <w:b/>
    </w:rPr>
  </w:style>
  <w:style w:type="character" w:styleId="Hyperlink">
    <w:name w:val="Hyperlink"/>
    <w:basedOn w:val="DefaultParagraphFont"/>
    <w:uiPriority w:val="99"/>
    <w:unhideWhenUsed/>
    <w:rsid w:val="00CC5A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621</Words>
  <Characters>4081</Characters>
  <Application>Microsoft Office Word</Application>
  <DocSecurity>0</DocSecurity>
  <Lines>185</Lines>
  <Paragraphs>95</Paragraphs>
  <ScaleCrop>false</ScaleCrop>
  <Company>Author-it Software Corporation Ltd.</Company>
  <LinksUpToDate>false</LinksUpToDate>
  <CharactersWithSpaces>4607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PUAECL001 Evaluate societal threats, uncertainty and surprise</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2022-12-16T01:10:00Z</dcterms:created>
  <dcterms:modified xsi:type="dcterms:W3CDTF">2022-12-16T01:10:00Z</dcterms:modified>
</cp:coreProperties>
</file>