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C0E" w:rsidP="005C0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PUABIO001 Conduct planning in a biosecurity emergency response</w:t>
      </w:r>
      <w:r>
        <w:fldChar w:fldCharType="end"/>
      </w:r>
    </w:p>
    <w:p w:rsidR="005C0C0E" w:rsidP="005C0C0E">
      <w:pPr>
        <w:pStyle w:val="Version"/>
        <w:sectPr w:rsidSect="00EB4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3DC" w:rsidP="00EB43DC">
      <w:pPr>
        <w:pStyle w:val="SuperHeading"/>
      </w:pPr>
      <w:r w:rsidRPr="00EB43DC">
        <w:t>Assessment Requirements for PUABIO001 Conduct planning in a biosecurity emergency response</w:t>
      </w:r>
    </w:p>
    <w:p w:rsidR="00000000" w:rsidRPr="00EB43DC" w:rsidP="00EB43DC">
      <w:pPr>
        <w:pStyle w:val="Heading1"/>
      </w:pPr>
      <w:bookmarkStart w:id="1" w:name="O_1023566"/>
      <w:bookmarkEnd w:id="1"/>
      <w:r w:rsidRPr="00EB43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DC" w:rsidP="00EB43DC">
            <w:pPr>
              <w:pStyle w:val="BodyText"/>
            </w:pPr>
            <w:r w:rsidRPr="00EB43DC">
              <w:rPr>
                <w:rStyle w:val="SpecialBold"/>
              </w:rPr>
              <w:t>Release 1.</w:t>
            </w:r>
            <w:r w:rsidRPr="00EB43DC">
              <w:t xml:space="preserve"> This is the first release of this unit of competency in the PUA Public Safety Training Package.</w:t>
            </w:r>
          </w:p>
        </w:tc>
      </w:tr>
    </w:tbl>
    <w:p w:rsidR="00000000" w:rsidRPr="00EB43DC" w:rsidP="00EB43DC">
      <w:pPr>
        <w:pStyle w:val="NoPaddingFontSize1"/>
      </w:pPr>
    </w:p>
    <w:p w:rsidR="00000000" w:rsidRPr="00EB43DC" w:rsidP="00EB43DC">
      <w:pPr>
        <w:pStyle w:val="AllowPageBreak"/>
      </w:pPr>
    </w:p>
    <w:p w:rsidR="00000000" w:rsidRPr="00EB43DC" w:rsidP="00EB43DC">
      <w:pPr>
        <w:pStyle w:val="Heading1"/>
      </w:pPr>
      <w:bookmarkStart w:id="2" w:name="O_1023567"/>
      <w:bookmarkEnd w:id="2"/>
      <w:r w:rsidRPr="00EB43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DC">
            <w:pPr>
              <w:pStyle w:val="BodyText"/>
              <w:rPr>
                <w:lang w:val="en-NZ"/>
              </w:rPr>
            </w:pPr>
            <w:r w:rsidRPr="00EB43DC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EB4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DC" w:rsidP="00EB43DC">
            <w:pPr>
              <w:pStyle w:val="ListBullet"/>
            </w:pPr>
            <w:r w:rsidRPr="00EB43DC">
              <w:t>applying Work, Health and Safety (W</w:t>
            </w:r>
            <w:r w:rsidRPr="00EB43DC">
              <w:t xml:space="preserve">HS)/Occupational Health and Safety (OHS) guidelines </w:t>
            </w:r>
          </w:p>
          <w:p w:rsidR="00000000" w:rsidRPr="00EB43DC" w:rsidP="00EB43DC">
            <w:pPr>
              <w:pStyle w:val="ListBullet"/>
            </w:pPr>
            <w:r w:rsidRPr="00EB43DC">
              <w:t>developing collection plans</w:t>
            </w:r>
          </w:p>
          <w:p w:rsidR="00000000" w:rsidRPr="00EB43DC" w:rsidP="00EB43DC">
            <w:pPr>
              <w:pStyle w:val="ListBullet"/>
            </w:pPr>
            <w:r w:rsidRPr="00EB43DC">
              <w:t>finding and using sources of biosecurity emergency response functional area information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identifying biosecurity emergency response roles and responsibilities </w:t>
            </w:r>
          </w:p>
          <w:p w:rsidR="00000000" w:rsidRPr="00EB43DC" w:rsidP="00EB43DC">
            <w:pPr>
              <w:pStyle w:val="ListBullet"/>
            </w:pPr>
            <w:r w:rsidRPr="00EB43DC">
              <w:t>meeting legislat</w:t>
            </w:r>
            <w:r w:rsidRPr="00EB43DC">
              <w:t>ion, industry standards, codes of practice and regulation requirements</w:t>
            </w:r>
          </w:p>
          <w:p w:rsidR="00000000" w:rsidRPr="00EB43DC" w:rsidP="00EB43DC">
            <w:pPr>
              <w:pStyle w:val="ListBullet"/>
            </w:pPr>
            <w:r w:rsidRPr="00EB43DC">
              <w:t>planning task outputs for biosecurity emergency response are produced within identified timelines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producing inputs and outputs that meet identified functional area requirements 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using organisational documentation </w:t>
            </w:r>
          </w:p>
          <w:p w:rsidR="00000000" w:rsidRPr="00EB43DC" w:rsidP="00EB43DC">
            <w:pPr>
              <w:pStyle w:val="ListBullet"/>
            </w:pPr>
            <w:r w:rsidRPr="00EB43DC">
              <w:t>working with incident management systems including tools and templates</w:t>
            </w:r>
          </w:p>
        </w:tc>
      </w:tr>
    </w:tbl>
    <w:p w:rsidR="00000000" w:rsidRPr="00EB43DC" w:rsidP="00EB43DC">
      <w:pPr>
        <w:pStyle w:val="NoPaddingFontSize1"/>
      </w:pPr>
    </w:p>
    <w:p w:rsidR="00000000" w:rsidRPr="00EB43DC" w:rsidP="00EB43DC">
      <w:pPr>
        <w:pStyle w:val="AllowPageBreak"/>
      </w:pPr>
    </w:p>
    <w:p w:rsidR="00000000" w:rsidRPr="00EB43DC" w:rsidP="00EB43DC">
      <w:pPr>
        <w:pStyle w:val="Heading1"/>
      </w:pPr>
      <w:bookmarkStart w:id="3" w:name="O_1023568"/>
      <w:bookmarkEnd w:id="3"/>
      <w:r w:rsidRPr="00EB43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DC">
            <w:pPr>
              <w:pStyle w:val="BodyText"/>
              <w:rPr>
                <w:lang w:val="en-NZ"/>
              </w:rPr>
            </w:pPr>
            <w:r w:rsidRPr="00EB43DC">
              <w:t>Evidence required to demonstrate competence in this unit must be relevant to and satisfy all the requirements</w:t>
            </w:r>
            <w:r w:rsidRPr="00EB43DC">
              <w:t xml:space="preserve"> of the elements and performance criteria and includes knowledge of</w:t>
            </w:r>
          </w:p>
        </w:tc>
      </w:tr>
      <w:tr w:rsidTr="00EB4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DC" w:rsidP="00EB43DC">
            <w:pPr>
              <w:pStyle w:val="ListBullet"/>
            </w:pPr>
            <w:r w:rsidRPr="00EB43DC">
              <w:t>biosecurity emergency response planning inputs and outputs for the functional area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biosecurity emergency response planning processes for relevant functional area </w:t>
            </w:r>
          </w:p>
          <w:p w:rsidR="00000000" w:rsidRPr="00EB43DC" w:rsidP="00EB43DC">
            <w:pPr>
              <w:pStyle w:val="ListBullet"/>
            </w:pPr>
            <w:r w:rsidRPr="00EB43DC">
              <w:t>biosecurity emergency r</w:t>
            </w:r>
            <w:r w:rsidRPr="00EB43DC">
              <w:t xml:space="preserve">esponse planning timelines 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biosecurity emergency response roles and responsibilities </w:t>
            </w:r>
          </w:p>
          <w:p w:rsidR="00000000" w:rsidRPr="00EB43DC" w:rsidP="00EB43DC">
            <w:pPr>
              <w:pStyle w:val="ListBullet"/>
            </w:pPr>
            <w:r w:rsidRPr="00EB43DC">
              <w:t>collection plans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difference between levels of biosecurity emergency response planning tasks – strategic, tactical and operational </w:t>
            </w:r>
          </w:p>
          <w:p w:rsidR="00000000" w:rsidRPr="00EB43DC" w:rsidP="00EB43DC">
            <w:pPr>
              <w:pStyle w:val="ListBullet"/>
            </w:pPr>
            <w:r w:rsidRPr="00EB43DC">
              <w:t>dissemination of information using briefing and debriefing processes</w:t>
            </w:r>
          </w:p>
          <w:p w:rsidR="00000000" w:rsidRPr="00EB43DC" w:rsidP="00EB43DC">
            <w:pPr>
              <w:pStyle w:val="ListBullet"/>
            </w:pPr>
            <w:r w:rsidRPr="00EB43DC">
              <w:t>documentation and reporting requirements</w:t>
            </w:r>
          </w:p>
          <w:p w:rsidR="00000000" w:rsidRPr="00EB43DC" w:rsidP="00EB43DC">
            <w:pPr>
              <w:pStyle w:val="ListBullet"/>
            </w:pPr>
            <w:r w:rsidRPr="00EB43DC">
              <w:t>incident management systems including response planning guides and templates</w:t>
            </w:r>
          </w:p>
          <w:p w:rsidR="00000000" w:rsidRPr="00EB43DC" w:rsidP="00EB43DC">
            <w:pPr>
              <w:pStyle w:val="ListBullet"/>
            </w:pPr>
            <w:r w:rsidRPr="00EB43DC">
              <w:t>legislation, industry standards, codes of practice and regulations</w:t>
            </w:r>
          </w:p>
          <w:p w:rsidR="00000000" w:rsidRPr="00EB43DC" w:rsidP="00EB43DC">
            <w:pPr>
              <w:pStyle w:val="ListBullet"/>
            </w:pPr>
            <w:r w:rsidRPr="00EB43DC">
              <w:t>or</w:t>
            </w:r>
            <w:r w:rsidRPr="00EB43DC">
              <w:t xml:space="preserve">ganisational documentation </w:t>
            </w:r>
          </w:p>
          <w:p w:rsidR="00000000" w:rsidRPr="00EB43DC" w:rsidP="00EB43DC">
            <w:pPr>
              <w:pStyle w:val="ListBullet"/>
            </w:pPr>
            <w:r w:rsidRPr="00EB43DC">
              <w:t>organisational policies and procedures</w:t>
            </w:r>
          </w:p>
          <w:p w:rsidR="00000000" w:rsidRPr="00EB43DC" w:rsidP="00EB43DC">
            <w:pPr>
              <w:pStyle w:val="ListBullet"/>
            </w:pPr>
            <w:r w:rsidRPr="00EB43DC">
              <w:t>sources of biosecurity emergency response functional area information</w:t>
            </w:r>
          </w:p>
          <w:p w:rsidR="00000000" w:rsidRPr="00EB43DC" w:rsidP="00EB43DC">
            <w:pPr>
              <w:pStyle w:val="ListBullet"/>
            </w:pPr>
            <w:r w:rsidRPr="00EB43DC">
              <w:t>types of visual displays</w:t>
            </w:r>
          </w:p>
          <w:p w:rsidR="00000000" w:rsidRPr="00EB43DC" w:rsidP="00EB43DC">
            <w:pPr>
              <w:pStyle w:val="ListBullet"/>
            </w:pPr>
            <w:r w:rsidRPr="00EB43DC">
              <w:t xml:space="preserve">Work, Health and Safety (WHS)/Occupational Health and Safety (OHS) requirements </w:t>
            </w:r>
          </w:p>
        </w:tc>
      </w:tr>
    </w:tbl>
    <w:p w:rsidR="00000000" w:rsidRPr="00EB43DC" w:rsidP="00EB43DC">
      <w:pPr>
        <w:pStyle w:val="NoPaddingFontSize1"/>
      </w:pPr>
    </w:p>
    <w:p w:rsidR="00000000" w:rsidRPr="00EB43DC" w:rsidP="00EB43DC">
      <w:pPr>
        <w:pStyle w:val="AllowPageBreak"/>
      </w:pPr>
    </w:p>
    <w:p w:rsidR="00000000" w:rsidRPr="00EB43DC" w:rsidP="00EB43DC">
      <w:pPr>
        <w:pStyle w:val="Heading1"/>
      </w:pPr>
      <w:bookmarkStart w:id="4" w:name="O_1023569"/>
      <w:bookmarkEnd w:id="4"/>
      <w:r w:rsidRPr="00EB43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DC" w:rsidP="00EB43DC">
            <w:pPr>
              <w:pStyle w:val="BodyText"/>
            </w:pPr>
            <w:r w:rsidRPr="00EB43D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B43DC" w:rsidP="00EB43DC">
            <w:pPr>
              <w:pStyle w:val="BodyText"/>
            </w:pPr>
            <w:r w:rsidRPr="00EB43DC">
              <w:t>As a minimum, assessment must satis</w:t>
            </w:r>
            <w:r w:rsidRPr="00EB43DC">
              <w:t>fy applicable regulatory requirements, which include requirements in the Standards for Registered Training Organisations current at the time of assessment.</w:t>
            </w:r>
          </w:p>
          <w:p w:rsidR="00000000" w:rsidRPr="00EB43DC" w:rsidP="00EB43DC">
            <w:pPr>
              <w:pStyle w:val="BodyText"/>
            </w:pPr>
            <w:r w:rsidRPr="00EB43D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B43DC" w:rsidP="00EB43DC">
            <w:pPr>
              <w:pStyle w:val="BodyText"/>
            </w:pPr>
            <w:r w:rsidRPr="00EB43DC">
              <w:t>Assessment must occur in workplace operational situations. Where this is not appropriate</w:t>
            </w:r>
            <w:r w:rsidRPr="00EB43DC">
              <w:t>, assessment must occur in industry approved simulated workplace operational situations that reflect workplace conditions.</w:t>
            </w:r>
          </w:p>
          <w:p w:rsidR="00000000" w:rsidRPr="00EB43DC" w:rsidP="00EB43DC">
            <w:pPr>
              <w:pStyle w:val="BodyText"/>
            </w:pPr>
            <w:r w:rsidRPr="00EB43DC">
              <w:t>Resources for assessment must include access to</w:t>
            </w:r>
          </w:p>
          <w:p w:rsidR="00000000" w:rsidRPr="00EB43DC" w:rsidP="00EB43DC">
            <w:pPr>
              <w:pStyle w:val="ListBullet"/>
            </w:pPr>
            <w:r w:rsidRPr="00EB43DC">
              <w:t>a range of relevant exercises, case studies and/or simulations</w:t>
            </w:r>
          </w:p>
          <w:p w:rsidR="00000000" w:rsidRPr="00EB43DC" w:rsidP="00EB43DC">
            <w:pPr>
              <w:pStyle w:val="ListBullet"/>
            </w:pPr>
            <w:r w:rsidRPr="00EB43DC">
              <w:t>relevant and appropri</w:t>
            </w:r>
            <w:r w:rsidRPr="00EB43DC">
              <w:t>ate materials, equipment, tools and personal protective clothing and equipment currently used in industry</w:t>
            </w:r>
          </w:p>
          <w:p w:rsidR="00000000" w:rsidRPr="00EB43DC" w:rsidP="00EB43DC">
            <w:pPr>
              <w:pStyle w:val="ListBullet"/>
            </w:pPr>
            <w:r w:rsidRPr="00EB43DC">
              <w:t>applicable documentation including organisational procedures, industry standards, equipment specifications, regulations, codes of practice and operati</w:t>
            </w:r>
            <w:r w:rsidRPr="00EB43DC">
              <w:t>on manuals.</w:t>
            </w:r>
          </w:p>
        </w:tc>
      </w:tr>
    </w:tbl>
    <w:p w:rsidR="00000000" w:rsidRPr="00EB43DC" w:rsidP="00EB43DC">
      <w:pPr>
        <w:pStyle w:val="NoPaddingFontSize1"/>
      </w:pPr>
    </w:p>
    <w:p w:rsidR="00000000" w:rsidRPr="00EB43DC" w:rsidP="00EB43DC">
      <w:pPr>
        <w:pStyle w:val="AllowPageBreak"/>
      </w:pPr>
    </w:p>
    <w:p w:rsidR="00000000" w:rsidRPr="00EB43DC" w:rsidP="00EB43DC">
      <w:pPr>
        <w:pStyle w:val="Heading1"/>
      </w:pPr>
      <w:bookmarkStart w:id="5" w:name="O_1023572"/>
      <w:bookmarkEnd w:id="5"/>
      <w:r w:rsidRPr="00EB43DC">
        <w:t>Links</w:t>
      </w:r>
    </w:p>
    <w:p w:rsidR="00000000" w:rsidRPr="00EB43DC" w:rsidP="005C0C0E">
      <w:pPr>
        <w:pStyle w:val="BodyText"/>
      </w:pPr>
      <w:r w:rsidRPr="00EB43D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F61D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B43DC" w:rsidP="00EB43DC"/>
    <w:sectPr w:rsidSect="00EB43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DC" w:rsidRPr="005C0C0E" w:rsidP="005C0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0E" w:rsidP="00EB4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C0E" w:rsidP="00EB4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0C0E" w:rsidP="00EB4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3DC" w:rsidRPr="005C0C0E" w:rsidP="005C0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0E" w:rsidRPr="002D2AF8" w:rsidP="00EB4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PUABIO001 Conduct planning in a biosecurity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C0C0E" w:rsidP="00EB4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47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106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3DC"/>
  </w:style>
  <w:style w:type="character" w:customStyle="1" w:styleId="Heading1Char">
    <w:name w:val="Heading 1 Char"/>
    <w:basedOn w:val="DefaultParagraphFont"/>
    <w:link w:val="Heading1"/>
    <w:rsid w:val="00EB4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3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3DC"/>
    <w:rPr>
      <w:b/>
      <w:spacing w:val="0"/>
    </w:rPr>
  </w:style>
  <w:style w:type="paragraph" w:customStyle="1" w:styleId="SuperHeading">
    <w:name w:val="SuperHeading"/>
    <w:basedOn w:val="Normal"/>
    <w:rsid w:val="00EB4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4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3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3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3DC"/>
    <w:rPr>
      <w:i/>
    </w:rPr>
  </w:style>
  <w:style w:type="paragraph" w:styleId="Caption">
    <w:name w:val="caption"/>
    <w:basedOn w:val="BodyText"/>
    <w:next w:val="Normal"/>
    <w:qFormat/>
    <w:rsid w:val="00EB4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3DC"/>
  </w:style>
  <w:style w:type="paragraph" w:styleId="TableofFigures">
    <w:name w:val="table of figures"/>
    <w:basedOn w:val="Normal"/>
    <w:next w:val="Normal"/>
    <w:semiHidden/>
    <w:rsid w:val="00EB4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3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3DC"/>
    <w:rPr>
      <w:rFonts w:ascii="Wingdings" w:hAnsi="Wingdings"/>
    </w:rPr>
  </w:style>
  <w:style w:type="paragraph" w:customStyle="1" w:styleId="TableHeading">
    <w:name w:val="Table Heading"/>
    <w:basedOn w:val="HeadingBase"/>
    <w:rsid w:val="00EB4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3DC"/>
    <w:rPr>
      <w:color w:val="0033CC"/>
      <w:u w:val="none"/>
    </w:rPr>
  </w:style>
  <w:style w:type="paragraph" w:customStyle="1" w:styleId="BodyTextRight">
    <w:name w:val="Body Text Right"/>
    <w:basedOn w:val="BodyText"/>
    <w:rsid w:val="00EB4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3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3DC"/>
    <w:rPr>
      <w:sz w:val="32"/>
    </w:rPr>
  </w:style>
  <w:style w:type="paragraph" w:customStyle="1" w:styleId="HeadingProcedure">
    <w:name w:val="Heading Procedure"/>
    <w:basedOn w:val="HeadingBase"/>
    <w:next w:val="Normal"/>
    <w:rsid w:val="00EB4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3DC"/>
    <w:pPr>
      <w:spacing w:before="60" w:after="60"/>
    </w:pPr>
  </w:style>
  <w:style w:type="paragraph" w:styleId="ListContinue">
    <w:name w:val="List Continue"/>
    <w:basedOn w:val="List"/>
    <w:rsid w:val="00EB43DC"/>
    <w:pPr>
      <w:ind w:firstLine="0"/>
    </w:pPr>
  </w:style>
  <w:style w:type="paragraph" w:customStyle="1" w:styleId="ListNote">
    <w:name w:val="List Note"/>
    <w:basedOn w:val="List"/>
    <w:rsid w:val="00EB4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3DC"/>
    <w:rPr>
      <w:rFonts w:ascii="Courier New" w:hAnsi="Courier New"/>
    </w:rPr>
  </w:style>
  <w:style w:type="paragraph" w:customStyle="1" w:styleId="NoteBullet">
    <w:name w:val="Note Bullet"/>
    <w:basedOn w:val="Note"/>
    <w:rsid w:val="00EB4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3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3DC"/>
    <w:rPr>
      <w:b/>
      <w:smallCaps/>
    </w:rPr>
  </w:style>
  <w:style w:type="paragraph" w:customStyle="1" w:styleId="TableListNumber">
    <w:name w:val="Table List Number"/>
    <w:basedOn w:val="ListNumber"/>
    <w:rsid w:val="00EB4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3DC"/>
    <w:pPr>
      <w:numPr>
        <w:numId w:val="8"/>
      </w:numPr>
    </w:pPr>
  </w:style>
  <w:style w:type="paragraph" w:customStyle="1" w:styleId="ListAlpha2">
    <w:name w:val="List Alpha 2"/>
    <w:basedOn w:val="List2"/>
    <w:rsid w:val="00EB43DC"/>
    <w:pPr>
      <w:numPr>
        <w:numId w:val="7"/>
      </w:numPr>
    </w:pPr>
  </w:style>
  <w:style w:type="paragraph" w:styleId="List2">
    <w:name w:val="List 2"/>
    <w:basedOn w:val="BodyText"/>
    <w:rsid w:val="00EB4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3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3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3DC"/>
    <w:pPr>
      <w:numPr>
        <w:numId w:val="3"/>
      </w:numPr>
    </w:pPr>
  </w:style>
  <w:style w:type="paragraph" w:styleId="ListContinue2">
    <w:name w:val="List Continue 2"/>
    <w:basedOn w:val="List2"/>
    <w:rsid w:val="00EB43DC"/>
    <w:pPr>
      <w:ind w:firstLine="0"/>
    </w:pPr>
  </w:style>
  <w:style w:type="paragraph" w:styleId="ListContinue3">
    <w:name w:val="List Continue 3"/>
    <w:basedOn w:val="List3"/>
    <w:rsid w:val="00EB43DC"/>
    <w:pPr>
      <w:ind w:left="1021" w:firstLine="0"/>
    </w:pPr>
  </w:style>
  <w:style w:type="paragraph" w:styleId="ListContinue4">
    <w:name w:val="List Continue 4"/>
    <w:basedOn w:val="List4"/>
    <w:rsid w:val="00EB43DC"/>
    <w:pPr>
      <w:ind w:firstLine="0"/>
    </w:pPr>
  </w:style>
  <w:style w:type="paragraph" w:styleId="ListContinue5">
    <w:name w:val="List Continue 5"/>
    <w:basedOn w:val="List5"/>
    <w:rsid w:val="00EB43DC"/>
    <w:pPr>
      <w:ind w:firstLine="0"/>
    </w:pPr>
  </w:style>
  <w:style w:type="paragraph" w:styleId="ListNumber3">
    <w:name w:val="List Number 3"/>
    <w:basedOn w:val="List3"/>
    <w:rsid w:val="00EB43DC"/>
    <w:pPr>
      <w:numPr>
        <w:numId w:val="4"/>
      </w:numPr>
    </w:pPr>
  </w:style>
  <w:style w:type="paragraph" w:styleId="ListNumber4">
    <w:name w:val="List Number 4"/>
    <w:basedOn w:val="List4"/>
    <w:rsid w:val="00EB43DC"/>
    <w:pPr>
      <w:numPr>
        <w:numId w:val="5"/>
      </w:numPr>
    </w:pPr>
  </w:style>
  <w:style w:type="paragraph" w:styleId="ListNumber5">
    <w:name w:val="List Number 5"/>
    <w:basedOn w:val="List5"/>
    <w:rsid w:val="00EB43DC"/>
    <w:pPr>
      <w:numPr>
        <w:numId w:val="6"/>
      </w:numPr>
    </w:pPr>
  </w:style>
  <w:style w:type="paragraph" w:styleId="BlockText">
    <w:name w:val="Block Text"/>
    <w:basedOn w:val="Normal"/>
    <w:rsid w:val="00EB4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3DC"/>
    <w:rPr>
      <w:sz w:val="16"/>
      <w:vertAlign w:val="superscript"/>
    </w:rPr>
  </w:style>
  <w:style w:type="character" w:customStyle="1" w:styleId="Symbols">
    <w:name w:val="Symbols"/>
    <w:basedOn w:val="DefaultParagraphFont"/>
    <w:rsid w:val="00EB43DC"/>
    <w:rPr>
      <w:rFonts w:ascii="Symbol" w:hAnsi="Symbol"/>
    </w:rPr>
  </w:style>
  <w:style w:type="character" w:customStyle="1" w:styleId="MenuOptions">
    <w:name w:val="Menu Options"/>
    <w:basedOn w:val="DefaultParagraphFont"/>
    <w:rsid w:val="00EB4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3DC"/>
    <w:rPr>
      <w:b/>
    </w:rPr>
  </w:style>
  <w:style w:type="character" w:customStyle="1" w:styleId="Underlined">
    <w:name w:val="Underlined"/>
    <w:basedOn w:val="DefaultParagraphFont"/>
    <w:rsid w:val="00EB43DC"/>
    <w:rPr>
      <w:u w:val="single"/>
    </w:rPr>
  </w:style>
  <w:style w:type="paragraph" w:customStyle="1" w:styleId="TableBodyTextRight">
    <w:name w:val="Table Body Text Right"/>
    <w:basedOn w:val="TableBodyText"/>
    <w:rsid w:val="00EB4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3DC"/>
    <w:rPr>
      <w:sz w:val="18"/>
    </w:rPr>
  </w:style>
  <w:style w:type="paragraph" w:customStyle="1" w:styleId="BodySmallRight">
    <w:name w:val="Body Small Right"/>
    <w:basedOn w:val="BodyTextRight"/>
    <w:rsid w:val="00EB43DC"/>
    <w:rPr>
      <w:sz w:val="18"/>
      <w:szCs w:val="18"/>
    </w:rPr>
  </w:style>
  <w:style w:type="paragraph" w:customStyle="1" w:styleId="MarginEdition">
    <w:name w:val="Margin Edition"/>
    <w:basedOn w:val="MarginNote"/>
    <w:rsid w:val="00EB4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3DC"/>
    <w:rPr>
      <w:sz w:val="2"/>
      <w:szCs w:val="2"/>
    </w:rPr>
  </w:style>
  <w:style w:type="character" w:customStyle="1" w:styleId="Small">
    <w:name w:val="Small"/>
    <w:basedOn w:val="DefaultParagraphFont"/>
    <w:rsid w:val="00EB43DC"/>
    <w:rPr>
      <w:sz w:val="16"/>
    </w:rPr>
  </w:style>
  <w:style w:type="paragraph" w:customStyle="1" w:styleId="WideTable">
    <w:name w:val="Wide Table"/>
    <w:basedOn w:val="Normal"/>
    <w:rsid w:val="00EB4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3DC"/>
  </w:style>
  <w:style w:type="paragraph" w:styleId="Quote">
    <w:name w:val="Quote"/>
    <w:basedOn w:val="Heading1"/>
    <w:link w:val="QuoteChar"/>
    <w:qFormat/>
    <w:rsid w:val="00EB4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3DC"/>
    <w:pPr>
      <w:pageBreakBefore/>
    </w:pPr>
  </w:style>
  <w:style w:type="paragraph" w:customStyle="1" w:styleId="Border">
    <w:name w:val="Border"/>
    <w:basedOn w:val="Normal"/>
    <w:qFormat/>
    <w:rsid w:val="00EB4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3DC"/>
    <w:rPr>
      <w:u w:val="single"/>
    </w:rPr>
  </w:style>
  <w:style w:type="character" w:customStyle="1" w:styleId="BoldandItalics">
    <w:name w:val="Bold and Italics"/>
    <w:qFormat/>
    <w:rsid w:val="00EB43DC"/>
    <w:rPr>
      <w:b/>
      <w:i/>
      <w:u w:val="none"/>
    </w:rPr>
  </w:style>
  <w:style w:type="paragraph" w:styleId="BalloonText">
    <w:name w:val="Balloon Text"/>
    <w:basedOn w:val="Normal"/>
    <w:link w:val="BalloonTextChar"/>
    <w:rsid w:val="00EB4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3DC"/>
    <w:pPr>
      <w:spacing w:before="0" w:after="0"/>
    </w:pPr>
  </w:style>
  <w:style w:type="paragraph" w:customStyle="1" w:styleId="BodyTextBold">
    <w:name w:val="Body Text Bold"/>
    <w:basedOn w:val="BodyText"/>
    <w:qFormat/>
    <w:rsid w:val="00EB43DC"/>
    <w:rPr>
      <w:b/>
    </w:rPr>
  </w:style>
  <w:style w:type="character" w:styleId="Hyperlink">
    <w:name w:val="Hyperlink"/>
    <w:basedOn w:val="DefaultParagraphFont"/>
    <w:uiPriority w:val="99"/>
    <w:unhideWhenUsed/>
    <w:rsid w:val="005C0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3345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PUABIO001 Conduct planning in a biosecurity emergency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2022-12-16T01:02:00Z</dcterms:created>
  <dcterms:modified xsi:type="dcterms:W3CDTF">2022-12-16T01:02:00Z</dcterms:modified>
</cp:coreProperties>
</file>