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3036" w:rsidP="00633036">
      <w:pPr>
        <w:pStyle w:val="Title"/>
      </w:pPr>
      <w:r>
        <w:fldChar w:fldCharType="begin"/>
      </w:r>
      <w:r>
        <w:instrText xml:space="preserve"> TITLE   \* MERGEFORMAT </w:instrText>
      </w:r>
      <w:r>
        <w:fldChar w:fldCharType="separate"/>
      </w:r>
      <w:r>
        <w:t>PSPPROC602A Direct the management of contracts</w:t>
      </w:r>
      <w:r>
        <w:fldChar w:fldCharType="end"/>
      </w:r>
    </w:p>
    <w:p w:rsidR="00633036" w:rsidP="00633036">
      <w:pPr>
        <w:pStyle w:val="Version"/>
        <w:sectPr w:rsidSect="0024653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653D" w:rsidP="0024653D">
      <w:pPr>
        <w:pStyle w:val="SuperHeading"/>
      </w:pPr>
      <w:r w:rsidRPr="0024653D">
        <w:t>PSPPROC602A Direct the management of contracts</w:t>
      </w:r>
    </w:p>
    <w:p w:rsidR="00000000" w:rsidRPr="0024653D" w:rsidP="0024653D">
      <w:pPr>
        <w:pStyle w:val="Heading1"/>
      </w:pPr>
      <w:bookmarkStart w:id="1" w:name="O_325408"/>
      <w:bookmarkEnd w:id="1"/>
      <w:r w:rsidRPr="0024653D">
        <w:t>Modification History</w:t>
      </w:r>
    </w:p>
    <w:p w:rsidR="00000000" w:rsidRPr="0024653D" w:rsidP="0024653D">
      <w:pPr>
        <w:pStyle w:val="BodyText"/>
      </w:pPr>
      <w:r w:rsidRPr="0024653D">
        <w:t>Not applicable.</w:t>
      </w:r>
    </w:p>
    <w:p w:rsidR="00000000" w:rsidRPr="0024653D" w:rsidP="0024653D">
      <w:pPr>
        <w:pStyle w:val="AllowPageBreak"/>
      </w:pPr>
    </w:p>
    <w:p w:rsidR="00000000" w:rsidRPr="0024653D" w:rsidP="0024653D">
      <w:pPr>
        <w:pStyle w:val="Heading1"/>
      </w:pPr>
      <w:bookmarkStart w:id="2" w:name="O_325407"/>
      <w:bookmarkEnd w:id="2"/>
      <w:r w:rsidRPr="0024653D">
        <w:t>Unit Descriptor</w:t>
      </w:r>
    </w:p>
    <w:p w:rsidR="00000000" w:rsidRPr="0024653D" w:rsidP="0024653D">
      <w:pPr>
        <w:pStyle w:val="BodyText"/>
      </w:pPr>
      <w:r w:rsidRPr="0024653D">
        <w:t xml:space="preserve">This unit covers strategic management of contracts to effectively minimise risks and achieve value for money to meet an </w:t>
      </w:r>
      <w:r w:rsidRPr="0024653D">
        <w:t>organisation's core objectives.</w:t>
      </w:r>
    </w:p>
    <w:p w:rsidR="00000000" w:rsidRPr="0024653D" w:rsidP="0024653D">
      <w:pPr>
        <w:pStyle w:val="BodyText"/>
      </w:pPr>
      <w:r w:rsidRPr="0024653D">
        <w:t>This unit covers strategic management of contracts to effectively minimise risks and achieve value for money to meet an organisation's core objectives</w:t>
      </w:r>
    </w:p>
    <w:p w:rsidR="00000000" w:rsidRPr="0024653D" w:rsidP="0024653D">
      <w:pPr>
        <w:pStyle w:val="AllowPageBreak"/>
      </w:pPr>
    </w:p>
    <w:p w:rsidR="00000000" w:rsidRPr="0024653D" w:rsidP="0024653D">
      <w:pPr>
        <w:pStyle w:val="Heading1"/>
      </w:pPr>
      <w:bookmarkStart w:id="3" w:name="O_325406"/>
      <w:bookmarkEnd w:id="3"/>
      <w:r w:rsidRPr="0024653D">
        <w:t>Application of the Unit</w:t>
      </w:r>
    </w:p>
    <w:p w:rsidR="00000000" w:rsidRPr="0024653D" w:rsidP="0024653D">
      <w:pPr>
        <w:pStyle w:val="BodyText"/>
      </w:pPr>
      <w:r w:rsidRPr="0024653D">
        <w:t>Not applicable.</w:t>
      </w:r>
    </w:p>
    <w:p w:rsidR="00000000" w:rsidRPr="0024653D" w:rsidP="0024653D">
      <w:pPr>
        <w:pStyle w:val="AllowPageBreak"/>
      </w:pPr>
    </w:p>
    <w:p w:rsidR="00000000" w:rsidRPr="0024653D" w:rsidP="0024653D">
      <w:pPr>
        <w:pStyle w:val="Heading1"/>
      </w:pPr>
      <w:bookmarkStart w:id="4" w:name="O_325405"/>
      <w:bookmarkEnd w:id="4"/>
      <w:r w:rsidRPr="0024653D">
        <w:t>Licensing/Regulatory Information</w:t>
      </w:r>
    </w:p>
    <w:p w:rsidR="00000000" w:rsidRPr="0024653D" w:rsidP="0024653D">
      <w:pPr>
        <w:pStyle w:val="BodyText"/>
      </w:pPr>
      <w:r w:rsidRPr="0024653D">
        <w:t>Not applicable.</w:t>
      </w:r>
    </w:p>
    <w:p w:rsidR="00000000" w:rsidRPr="0024653D" w:rsidP="0024653D">
      <w:pPr>
        <w:pStyle w:val="AllowPageBreak"/>
      </w:pPr>
    </w:p>
    <w:p w:rsidR="00000000" w:rsidRPr="0024653D" w:rsidP="0024653D">
      <w:pPr>
        <w:pStyle w:val="Heading1"/>
      </w:pPr>
      <w:bookmarkStart w:id="5" w:name="O_325404"/>
      <w:bookmarkEnd w:id="5"/>
      <w:r w:rsidRPr="0024653D">
        <w:t>Pre-Requisites</w:t>
      </w:r>
    </w:p>
    <w:p w:rsidR="00000000" w:rsidRPr="0024653D" w:rsidP="0024653D">
      <w:pPr>
        <w:pStyle w:val="BodyText"/>
      </w:pPr>
      <w:r w:rsidRPr="0024653D">
        <w:t>Not applicable.</w:t>
      </w:r>
    </w:p>
    <w:p w:rsidR="00000000" w:rsidRPr="0024653D" w:rsidP="0024653D">
      <w:pPr>
        <w:pStyle w:val="AllowPageBreak"/>
      </w:pPr>
    </w:p>
    <w:p w:rsidR="00000000" w:rsidRPr="0024653D" w:rsidP="0024653D">
      <w:pPr>
        <w:pStyle w:val="Heading1"/>
      </w:pPr>
      <w:bookmarkStart w:id="6" w:name="O_325398"/>
      <w:bookmarkEnd w:id="6"/>
      <w:r w:rsidRPr="0024653D">
        <w:t>Employability Skills Information</w:t>
      </w:r>
    </w:p>
    <w:p w:rsidR="00000000" w:rsidRPr="0024653D" w:rsidP="0024653D">
      <w:pPr>
        <w:pStyle w:val="BodyText"/>
      </w:pPr>
      <w:r w:rsidRPr="0024653D">
        <w:t>Not applicable.</w:t>
      </w:r>
    </w:p>
    <w:p w:rsidR="00000000" w:rsidRPr="0024653D" w:rsidP="0024653D">
      <w:pPr>
        <w:pStyle w:val="AllowPageBreak"/>
      </w:pPr>
    </w:p>
    <w:p w:rsidR="00000000" w:rsidRPr="0024653D" w:rsidP="0024653D">
      <w:pPr>
        <w:pStyle w:val="Heading1"/>
      </w:pPr>
      <w:bookmarkStart w:id="7" w:name="O_325403"/>
      <w:bookmarkEnd w:id="7"/>
      <w:r w:rsidRPr="0024653D">
        <w:t>Elements and Performance Criteria Pre-Content</w:t>
      </w:r>
    </w:p>
    <w:p w:rsidR="00000000" w:rsidRPr="0024653D" w:rsidP="0024653D">
      <w:pPr>
        <w:pStyle w:val="BodyText"/>
      </w:pPr>
      <w:r w:rsidRPr="0024653D">
        <w:t>Not applicable.</w:t>
      </w:r>
    </w:p>
    <w:p w:rsidR="00000000" w:rsidRPr="0024653D" w:rsidP="0024653D">
      <w:pPr>
        <w:pStyle w:val="AllowPageBreak"/>
      </w:pPr>
    </w:p>
    <w:p w:rsidR="00000000" w:rsidRPr="0024653D" w:rsidP="0024653D">
      <w:pPr>
        <w:pStyle w:val="Heading1"/>
      </w:pPr>
      <w:bookmarkStart w:id="8" w:name="O_325409"/>
      <w:bookmarkEnd w:id="8"/>
      <w:r w:rsidRPr="0024653D">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633036">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24653D">
            <w:pPr>
              <w:pStyle w:val="BodyText"/>
              <w:rPr>
                <w:lang w:val="en-NZ"/>
              </w:rPr>
            </w:pPr>
            <w:r w:rsidRPr="0024653D">
              <w:rPr>
                <w:rStyle w:val="SpecialBold"/>
              </w:rPr>
              <w:t>Elements and Performance Criteria</w:t>
            </w:r>
          </w:p>
        </w:tc>
      </w:tr>
      <w:tr w:rsidTr="00633036">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24653D" w:rsidP="0024653D">
            <w:pPr>
              <w:pStyle w:val="BodyText"/>
            </w:pPr>
            <w:r w:rsidRPr="0024653D">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24653D">
            <w:pPr>
              <w:pStyle w:val="BodyText"/>
              <w:rPr>
                <w:lang w:val="en-NZ"/>
              </w:rPr>
            </w:pPr>
            <w:r w:rsidRPr="0024653D">
              <w:rPr>
                <w:rStyle w:val="SpecialBold"/>
              </w:rPr>
              <w:t>Performance Criteria</w:t>
            </w:r>
          </w:p>
        </w:tc>
      </w:tr>
      <w:tr w:rsidTr="0063303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4653D">
            <w:pPr>
              <w:pStyle w:val="BodyText"/>
              <w:rPr>
                <w:lang w:val="en-NZ"/>
              </w:rPr>
            </w:pPr>
            <w:r w:rsidRPr="0024653D">
              <w:t>1</w:t>
            </w:r>
          </w:p>
        </w:tc>
        <w:tc>
          <w:tcPr>
            <w:tcW w:w="3000" w:type="dxa"/>
            <w:vMerge w:val="restart"/>
            <w:tcBorders>
              <w:top w:val="nil"/>
              <w:left w:val="nil"/>
              <w:bottom w:val="nil"/>
              <w:right w:val="nil"/>
            </w:tcBorders>
            <w:tcMar>
              <w:top w:w="0" w:type="dxa"/>
              <w:left w:w="62" w:type="dxa"/>
              <w:bottom w:w="0" w:type="dxa"/>
              <w:right w:w="62" w:type="dxa"/>
            </w:tcMar>
          </w:tcPr>
          <w:p w:rsidR="00000000" w:rsidP="0024653D">
            <w:pPr>
              <w:pStyle w:val="BodyText"/>
              <w:rPr>
                <w:lang w:val="en-NZ"/>
              </w:rPr>
            </w:pPr>
            <w:r w:rsidRPr="0024653D">
              <w:t>Manage the transition to a new contract</w:t>
            </w:r>
          </w:p>
        </w:tc>
        <w:tc>
          <w:tcPr>
            <w:tcW w:w="500" w:type="dxa"/>
            <w:tcBorders>
              <w:top w:val="nil"/>
              <w:left w:val="nil"/>
              <w:bottom w:val="nil"/>
              <w:right w:val="nil"/>
            </w:tcBorders>
            <w:tcMar>
              <w:top w:w="0" w:type="dxa"/>
              <w:left w:w="62" w:type="dxa"/>
              <w:bottom w:w="0" w:type="dxa"/>
              <w:right w:w="62" w:type="dxa"/>
            </w:tcMar>
          </w:tcPr>
          <w:p w:rsidR="00000000" w:rsidP="0024653D">
            <w:pPr>
              <w:pStyle w:val="BodyText"/>
              <w:rPr>
                <w:lang w:val="en-NZ"/>
              </w:rPr>
            </w:pPr>
            <w:r w:rsidRPr="0024653D">
              <w:t>1.1</w:t>
            </w:r>
          </w:p>
        </w:tc>
        <w:tc>
          <w:tcPr>
            <w:tcW w:w="5100" w:type="dxa"/>
            <w:tcBorders>
              <w:top w:val="nil"/>
              <w:left w:val="nil"/>
              <w:bottom w:val="nil"/>
              <w:right w:val="nil"/>
            </w:tcBorders>
            <w:tcMar>
              <w:top w:w="0" w:type="dxa"/>
              <w:left w:w="62" w:type="dxa"/>
              <w:bottom w:w="0" w:type="dxa"/>
              <w:right w:w="62" w:type="dxa"/>
            </w:tcMar>
          </w:tcPr>
          <w:p w:rsidR="00000000" w:rsidP="0024653D">
            <w:pPr>
              <w:pStyle w:val="BodyText"/>
              <w:rPr>
                <w:lang w:val="en-NZ"/>
              </w:rPr>
            </w:pPr>
            <w:r w:rsidRPr="0024653D">
              <w:t xml:space="preserve">The requirements of the contract are discussed, clarified, and agreed by all parties </w:t>
            </w:r>
          </w:p>
        </w:tc>
      </w:tr>
      <w:tr w:rsidTr="0063303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4653D">
            <w:pPr>
              <w:pStyle w:val="BodyText"/>
              <w:rPr>
                <w:lang w:val="en-NZ"/>
              </w:rPr>
            </w:pPr>
            <w:r w:rsidRPr="0024653D">
              <w:t>1.2</w:t>
            </w:r>
          </w:p>
        </w:tc>
        <w:tc>
          <w:tcPr>
            <w:tcW w:w="5100" w:type="dxa"/>
            <w:tcBorders>
              <w:top w:val="nil"/>
              <w:left w:val="nil"/>
              <w:bottom w:val="nil"/>
              <w:right w:val="nil"/>
            </w:tcBorders>
            <w:tcMar>
              <w:top w:w="0" w:type="dxa"/>
              <w:left w:w="62" w:type="dxa"/>
              <w:bottom w:w="0" w:type="dxa"/>
              <w:right w:w="62" w:type="dxa"/>
            </w:tcMar>
          </w:tcPr>
          <w:p w:rsidR="00000000" w:rsidP="0024653D">
            <w:pPr>
              <w:pStyle w:val="BodyText"/>
              <w:rPr>
                <w:lang w:val="en-NZ"/>
              </w:rPr>
            </w:pPr>
            <w:r w:rsidRPr="0024653D">
              <w:t xml:space="preserve">Responsibilities for establishing and carrying out </w:t>
            </w:r>
            <w:r w:rsidRPr="0024653D">
              <w:t xml:space="preserve">procedures are assigned to achieve contract outcomes </w:t>
            </w:r>
          </w:p>
        </w:tc>
      </w:tr>
      <w:tr w:rsidTr="0063303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4653D">
            <w:pPr>
              <w:pStyle w:val="BodyText"/>
              <w:rPr>
                <w:lang w:val="en-NZ"/>
              </w:rPr>
            </w:pPr>
            <w:r w:rsidRPr="0024653D">
              <w:t>1.3</w:t>
            </w:r>
          </w:p>
        </w:tc>
        <w:tc>
          <w:tcPr>
            <w:tcW w:w="5100" w:type="dxa"/>
            <w:tcBorders>
              <w:top w:val="nil"/>
              <w:left w:val="nil"/>
              <w:bottom w:val="nil"/>
              <w:right w:val="nil"/>
            </w:tcBorders>
            <w:tcMar>
              <w:top w:w="0" w:type="dxa"/>
              <w:left w:w="62" w:type="dxa"/>
              <w:bottom w:w="0" w:type="dxa"/>
              <w:right w:w="62" w:type="dxa"/>
            </w:tcMar>
          </w:tcPr>
          <w:p w:rsidR="00000000" w:rsidP="0024653D">
            <w:pPr>
              <w:pStyle w:val="BodyText"/>
              <w:rPr>
                <w:lang w:val="en-NZ"/>
              </w:rPr>
            </w:pPr>
            <w:r w:rsidRPr="0024653D">
              <w:t xml:space="preserve">Transition arrangements are confirmed and implemented </w:t>
            </w:r>
          </w:p>
        </w:tc>
      </w:tr>
      <w:tr w:rsidTr="0063303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4653D">
            <w:pPr>
              <w:pStyle w:val="BodyText"/>
              <w:rPr>
                <w:lang w:val="en-NZ"/>
              </w:rPr>
            </w:pPr>
            <w:r w:rsidRPr="0024653D">
              <w:t>1.4</w:t>
            </w:r>
          </w:p>
        </w:tc>
        <w:tc>
          <w:tcPr>
            <w:tcW w:w="5100" w:type="dxa"/>
            <w:tcBorders>
              <w:top w:val="nil"/>
              <w:left w:val="nil"/>
              <w:bottom w:val="nil"/>
              <w:right w:val="nil"/>
            </w:tcBorders>
            <w:tcMar>
              <w:top w:w="0" w:type="dxa"/>
              <w:left w:w="62" w:type="dxa"/>
              <w:bottom w:w="0" w:type="dxa"/>
              <w:right w:w="62" w:type="dxa"/>
            </w:tcMar>
          </w:tcPr>
          <w:p w:rsidR="00000000" w:rsidP="0024653D">
            <w:pPr>
              <w:pStyle w:val="BodyText"/>
              <w:rPr>
                <w:lang w:val="en-NZ"/>
              </w:rPr>
            </w:pPr>
            <w:r w:rsidRPr="0024653D">
              <w:t>Effective communicati</w:t>
            </w:r>
            <w:r w:rsidRPr="0024653D">
              <w:t xml:space="preserve">on strategies and processes are established and implemented to assist ongoing communication between stakeholders and suppliers </w:t>
            </w:r>
          </w:p>
        </w:tc>
      </w:tr>
      <w:tr w:rsidTr="0063303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4653D">
            <w:pPr>
              <w:pStyle w:val="BodyText"/>
              <w:rPr>
                <w:lang w:val="en-NZ"/>
              </w:rPr>
            </w:pPr>
            <w:r w:rsidRPr="0024653D">
              <w:t>1.5</w:t>
            </w:r>
          </w:p>
        </w:tc>
        <w:tc>
          <w:tcPr>
            <w:tcW w:w="5100" w:type="dxa"/>
            <w:tcBorders>
              <w:top w:val="nil"/>
              <w:left w:val="nil"/>
              <w:bottom w:val="nil"/>
              <w:right w:val="nil"/>
            </w:tcBorders>
            <w:tcMar>
              <w:top w:w="0" w:type="dxa"/>
              <w:left w:w="62" w:type="dxa"/>
              <w:bottom w:w="0" w:type="dxa"/>
              <w:right w:w="62" w:type="dxa"/>
            </w:tcMar>
          </w:tcPr>
          <w:p w:rsidR="00000000" w:rsidP="0024653D">
            <w:pPr>
              <w:pStyle w:val="BodyText"/>
              <w:rPr>
                <w:lang w:val="en-NZ"/>
              </w:rPr>
            </w:pPr>
            <w:r w:rsidRPr="0024653D">
              <w:t xml:space="preserve">Effective performance measures are established </w:t>
            </w:r>
          </w:p>
        </w:tc>
      </w:tr>
      <w:tr w:rsidTr="0063303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4653D">
            <w:pPr>
              <w:pStyle w:val="BodyText"/>
              <w:rPr>
                <w:lang w:val="en-NZ"/>
              </w:rPr>
            </w:pPr>
            <w:r w:rsidRPr="0024653D">
              <w:t>1.6</w:t>
            </w:r>
          </w:p>
        </w:tc>
        <w:tc>
          <w:tcPr>
            <w:tcW w:w="5100" w:type="dxa"/>
            <w:tcBorders>
              <w:top w:val="nil"/>
              <w:left w:val="nil"/>
              <w:bottom w:val="nil"/>
              <w:right w:val="nil"/>
            </w:tcBorders>
            <w:tcMar>
              <w:top w:w="0" w:type="dxa"/>
              <w:left w:w="62" w:type="dxa"/>
              <w:bottom w:w="0" w:type="dxa"/>
              <w:right w:w="62" w:type="dxa"/>
            </w:tcMar>
          </w:tcPr>
          <w:p w:rsidR="00000000" w:rsidP="0024653D">
            <w:pPr>
              <w:pStyle w:val="BodyText"/>
              <w:rPr>
                <w:lang w:val="en-NZ"/>
              </w:rPr>
            </w:pPr>
            <w:r w:rsidRPr="0024653D">
              <w:t xml:space="preserve">Risk management plan is updated in accordance with organisational </w:t>
            </w:r>
            <w:r w:rsidRPr="0024653D">
              <w:t xml:space="preserve">policy and procedures </w:t>
            </w:r>
          </w:p>
        </w:tc>
      </w:tr>
      <w:tr w:rsidTr="0063303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4653D">
            <w:pPr>
              <w:pStyle w:val="BodyText"/>
              <w:rPr>
                <w:lang w:val="en-NZ"/>
              </w:rPr>
            </w:pPr>
            <w:r w:rsidRPr="0024653D">
              <w:t>2</w:t>
            </w:r>
          </w:p>
        </w:tc>
        <w:tc>
          <w:tcPr>
            <w:tcW w:w="3000" w:type="dxa"/>
            <w:vMerge w:val="restart"/>
            <w:tcBorders>
              <w:top w:val="nil"/>
              <w:left w:val="nil"/>
              <w:bottom w:val="nil"/>
              <w:right w:val="nil"/>
            </w:tcBorders>
            <w:tcMar>
              <w:top w:w="0" w:type="dxa"/>
              <w:left w:w="62" w:type="dxa"/>
              <w:bottom w:w="0" w:type="dxa"/>
              <w:right w:w="62" w:type="dxa"/>
            </w:tcMar>
          </w:tcPr>
          <w:p w:rsidR="00000000" w:rsidP="0024653D">
            <w:pPr>
              <w:pStyle w:val="BodyText"/>
              <w:rPr>
                <w:lang w:val="en-NZ"/>
              </w:rPr>
            </w:pPr>
            <w:r w:rsidRPr="0024653D">
              <w:t>Manage the performance of the contract</w:t>
            </w:r>
          </w:p>
        </w:tc>
        <w:tc>
          <w:tcPr>
            <w:tcW w:w="500" w:type="dxa"/>
            <w:tcBorders>
              <w:top w:val="nil"/>
              <w:left w:val="nil"/>
              <w:bottom w:val="nil"/>
              <w:right w:val="nil"/>
            </w:tcBorders>
            <w:tcMar>
              <w:top w:w="0" w:type="dxa"/>
              <w:left w:w="62" w:type="dxa"/>
              <w:bottom w:w="0" w:type="dxa"/>
              <w:right w:w="62" w:type="dxa"/>
            </w:tcMar>
          </w:tcPr>
          <w:p w:rsidR="00000000" w:rsidP="0024653D">
            <w:pPr>
              <w:pStyle w:val="BodyText"/>
              <w:rPr>
                <w:lang w:val="en-NZ"/>
              </w:rPr>
            </w:pPr>
            <w:r w:rsidRPr="0024653D">
              <w:t>2.1</w:t>
            </w:r>
          </w:p>
        </w:tc>
        <w:tc>
          <w:tcPr>
            <w:tcW w:w="5100" w:type="dxa"/>
            <w:tcBorders>
              <w:top w:val="nil"/>
              <w:left w:val="nil"/>
              <w:bottom w:val="nil"/>
              <w:right w:val="nil"/>
            </w:tcBorders>
            <w:tcMar>
              <w:top w:w="0" w:type="dxa"/>
              <w:left w:w="62" w:type="dxa"/>
              <w:bottom w:w="0" w:type="dxa"/>
              <w:right w:w="62" w:type="dxa"/>
            </w:tcMar>
          </w:tcPr>
          <w:p w:rsidR="00000000" w:rsidP="0024653D">
            <w:pPr>
              <w:pStyle w:val="BodyText"/>
              <w:rPr>
                <w:lang w:val="en-NZ"/>
              </w:rPr>
            </w:pPr>
            <w:r w:rsidRPr="0024653D">
              <w:t xml:space="preserve">Progress of the contract is monitored against set targets and performance measures to ensure success of the procurement activity </w:t>
            </w:r>
          </w:p>
        </w:tc>
      </w:tr>
      <w:tr w:rsidTr="0063303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4653D">
            <w:pPr>
              <w:pStyle w:val="BodyText"/>
              <w:rPr>
                <w:lang w:val="en-NZ"/>
              </w:rPr>
            </w:pPr>
            <w:r w:rsidRPr="0024653D">
              <w:t>2.2</w:t>
            </w:r>
          </w:p>
        </w:tc>
        <w:tc>
          <w:tcPr>
            <w:tcW w:w="5100" w:type="dxa"/>
            <w:tcBorders>
              <w:top w:val="nil"/>
              <w:left w:val="nil"/>
              <w:bottom w:val="nil"/>
              <w:right w:val="nil"/>
            </w:tcBorders>
            <w:tcMar>
              <w:top w:w="0" w:type="dxa"/>
              <w:left w:w="62" w:type="dxa"/>
              <w:bottom w:w="0" w:type="dxa"/>
              <w:right w:w="62" w:type="dxa"/>
            </w:tcMar>
          </w:tcPr>
          <w:p w:rsidR="00000000" w:rsidP="0024653D">
            <w:pPr>
              <w:pStyle w:val="BodyText"/>
              <w:rPr>
                <w:lang w:val="en-NZ"/>
              </w:rPr>
            </w:pPr>
            <w:r w:rsidRPr="0024653D">
              <w:t xml:space="preserve">Should monitoring find that set targets and performance measures are not being met, action is taken to rectify performance in a timely manner </w:t>
            </w:r>
          </w:p>
        </w:tc>
      </w:tr>
      <w:tr w:rsidTr="0063303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4653D">
            <w:pPr>
              <w:pStyle w:val="BodyText"/>
              <w:rPr>
                <w:lang w:val="en-NZ"/>
              </w:rPr>
            </w:pPr>
            <w:r w:rsidRPr="0024653D">
              <w:t>2.3</w:t>
            </w:r>
          </w:p>
        </w:tc>
        <w:tc>
          <w:tcPr>
            <w:tcW w:w="5100" w:type="dxa"/>
            <w:tcBorders>
              <w:top w:val="nil"/>
              <w:left w:val="nil"/>
              <w:bottom w:val="nil"/>
              <w:right w:val="nil"/>
            </w:tcBorders>
            <w:tcMar>
              <w:top w:w="0" w:type="dxa"/>
              <w:left w:w="62" w:type="dxa"/>
              <w:bottom w:w="0" w:type="dxa"/>
              <w:right w:w="62" w:type="dxa"/>
            </w:tcMar>
          </w:tcPr>
          <w:p w:rsidR="00000000" w:rsidP="0024653D">
            <w:pPr>
              <w:pStyle w:val="BodyText"/>
              <w:rPr>
                <w:lang w:val="en-NZ"/>
              </w:rPr>
            </w:pPr>
            <w:r w:rsidRPr="0024653D">
              <w:t xml:space="preserve">Advice and support are provided to solve problems, make improvements and maintain progress </w:t>
            </w:r>
          </w:p>
        </w:tc>
      </w:tr>
      <w:tr w:rsidTr="0063303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4653D">
            <w:pPr>
              <w:pStyle w:val="BodyText"/>
              <w:rPr>
                <w:lang w:val="en-NZ"/>
              </w:rPr>
            </w:pPr>
            <w:r w:rsidRPr="0024653D">
              <w:t>2.4</w:t>
            </w:r>
          </w:p>
        </w:tc>
        <w:tc>
          <w:tcPr>
            <w:tcW w:w="5100" w:type="dxa"/>
            <w:tcBorders>
              <w:top w:val="nil"/>
              <w:left w:val="nil"/>
              <w:bottom w:val="nil"/>
              <w:right w:val="nil"/>
            </w:tcBorders>
            <w:tcMar>
              <w:top w:w="0" w:type="dxa"/>
              <w:left w:w="62" w:type="dxa"/>
              <w:bottom w:w="0" w:type="dxa"/>
              <w:right w:w="62" w:type="dxa"/>
            </w:tcMar>
          </w:tcPr>
          <w:p w:rsidR="00000000" w:rsidP="0024653D">
            <w:pPr>
              <w:pStyle w:val="BodyText"/>
              <w:rPr>
                <w:lang w:val="en-NZ"/>
              </w:rPr>
            </w:pPr>
            <w:r w:rsidRPr="0024653D">
              <w:t xml:space="preserve">Opportunities to improve procurement outcomes are sought and negotiated with suppliers </w:t>
            </w:r>
          </w:p>
        </w:tc>
      </w:tr>
      <w:tr w:rsidTr="0063303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4653D">
            <w:pPr>
              <w:pStyle w:val="BodyText"/>
              <w:rPr>
                <w:lang w:val="en-NZ"/>
              </w:rPr>
            </w:pPr>
            <w:r w:rsidRPr="0024653D">
              <w:t>2.5</w:t>
            </w:r>
          </w:p>
        </w:tc>
        <w:tc>
          <w:tcPr>
            <w:tcW w:w="5100" w:type="dxa"/>
            <w:tcBorders>
              <w:top w:val="nil"/>
              <w:left w:val="nil"/>
              <w:bottom w:val="nil"/>
              <w:right w:val="nil"/>
            </w:tcBorders>
            <w:tcMar>
              <w:top w:w="0" w:type="dxa"/>
              <w:left w:w="62" w:type="dxa"/>
              <w:bottom w:w="0" w:type="dxa"/>
              <w:right w:w="62" w:type="dxa"/>
            </w:tcMar>
          </w:tcPr>
          <w:p w:rsidR="00000000" w:rsidP="0024653D">
            <w:pPr>
              <w:pStyle w:val="BodyText"/>
              <w:rPr>
                <w:lang w:val="en-NZ"/>
              </w:rPr>
            </w:pPr>
            <w:r w:rsidRPr="0024653D">
              <w:t xml:space="preserve">Any contract variation is negotiated in accordance with the terms of the contract and organisational policy and procedures </w:t>
            </w:r>
          </w:p>
        </w:tc>
      </w:tr>
      <w:tr w:rsidTr="0063303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4653D">
            <w:pPr>
              <w:pStyle w:val="BodyText"/>
              <w:rPr>
                <w:lang w:val="en-NZ"/>
              </w:rPr>
            </w:pPr>
            <w:r w:rsidRPr="0024653D">
              <w:t>2.6</w:t>
            </w:r>
          </w:p>
        </w:tc>
        <w:tc>
          <w:tcPr>
            <w:tcW w:w="5100" w:type="dxa"/>
            <w:tcBorders>
              <w:top w:val="nil"/>
              <w:left w:val="nil"/>
              <w:bottom w:val="nil"/>
              <w:right w:val="nil"/>
            </w:tcBorders>
            <w:tcMar>
              <w:top w:w="0" w:type="dxa"/>
              <w:left w:w="62" w:type="dxa"/>
              <w:bottom w:w="0" w:type="dxa"/>
              <w:right w:w="62" w:type="dxa"/>
            </w:tcMar>
          </w:tcPr>
          <w:p w:rsidR="00000000" w:rsidP="0024653D">
            <w:pPr>
              <w:pStyle w:val="BodyText"/>
              <w:rPr>
                <w:lang w:val="en-NZ"/>
              </w:rPr>
            </w:pPr>
            <w:r w:rsidRPr="0024653D">
              <w:t>Contract variations agreed bet</w:t>
            </w:r>
            <w:r w:rsidRPr="0024653D">
              <w:t xml:space="preserve">ween the parties are documented and approvals gained </w:t>
            </w:r>
          </w:p>
        </w:tc>
      </w:tr>
      <w:tr w:rsidTr="0063303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4653D">
            <w:pPr>
              <w:pStyle w:val="BodyText"/>
              <w:rPr>
                <w:lang w:val="en-NZ"/>
              </w:rPr>
            </w:pPr>
            <w:r w:rsidRPr="0024653D">
              <w:t>2.7</w:t>
            </w:r>
          </w:p>
        </w:tc>
        <w:tc>
          <w:tcPr>
            <w:tcW w:w="5100" w:type="dxa"/>
            <w:tcBorders>
              <w:top w:val="nil"/>
              <w:left w:val="nil"/>
              <w:bottom w:val="nil"/>
              <w:right w:val="nil"/>
            </w:tcBorders>
            <w:tcMar>
              <w:top w:w="0" w:type="dxa"/>
              <w:left w:w="62" w:type="dxa"/>
              <w:bottom w:w="0" w:type="dxa"/>
              <w:right w:w="62" w:type="dxa"/>
            </w:tcMar>
          </w:tcPr>
          <w:p w:rsidR="00000000" w:rsidP="0024653D">
            <w:pPr>
              <w:pStyle w:val="BodyText"/>
              <w:rPr>
                <w:lang w:val="en-NZ"/>
              </w:rPr>
            </w:pPr>
            <w:r w:rsidRPr="0024653D">
              <w:t xml:space="preserve">Opportunities are provided for stakeholders and suppliers to have input to and receive feedback on progress during the performance of the contract </w:t>
            </w:r>
          </w:p>
        </w:tc>
      </w:tr>
      <w:tr w:rsidTr="0063303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4653D">
            <w:pPr>
              <w:pStyle w:val="BodyText"/>
              <w:rPr>
                <w:lang w:val="en-NZ"/>
              </w:rPr>
            </w:pPr>
            <w:r w:rsidRPr="0024653D">
              <w:t>3</w:t>
            </w:r>
          </w:p>
        </w:tc>
        <w:tc>
          <w:tcPr>
            <w:tcW w:w="3000" w:type="dxa"/>
            <w:vMerge w:val="restart"/>
            <w:tcBorders>
              <w:top w:val="nil"/>
              <w:left w:val="nil"/>
              <w:bottom w:val="nil"/>
              <w:right w:val="nil"/>
            </w:tcBorders>
            <w:tcMar>
              <w:top w:w="0" w:type="dxa"/>
              <w:left w:w="62" w:type="dxa"/>
              <w:bottom w:w="0" w:type="dxa"/>
              <w:right w:w="62" w:type="dxa"/>
            </w:tcMar>
          </w:tcPr>
          <w:p w:rsidR="00000000" w:rsidP="0024653D">
            <w:pPr>
              <w:pStyle w:val="BodyText"/>
              <w:rPr>
                <w:lang w:val="en-NZ"/>
              </w:rPr>
            </w:pPr>
            <w:r w:rsidRPr="0024653D">
              <w:t>Manage the evaluation of the contract</w:t>
            </w:r>
          </w:p>
        </w:tc>
        <w:tc>
          <w:tcPr>
            <w:tcW w:w="500" w:type="dxa"/>
            <w:tcBorders>
              <w:top w:val="nil"/>
              <w:left w:val="nil"/>
              <w:bottom w:val="nil"/>
              <w:right w:val="nil"/>
            </w:tcBorders>
            <w:tcMar>
              <w:top w:w="0" w:type="dxa"/>
              <w:left w:w="62" w:type="dxa"/>
              <w:bottom w:w="0" w:type="dxa"/>
              <w:right w:w="62" w:type="dxa"/>
            </w:tcMar>
          </w:tcPr>
          <w:p w:rsidR="00000000" w:rsidP="0024653D">
            <w:pPr>
              <w:pStyle w:val="BodyText"/>
              <w:rPr>
                <w:lang w:val="en-NZ"/>
              </w:rPr>
            </w:pPr>
            <w:r w:rsidRPr="0024653D">
              <w:t>3.1</w:t>
            </w:r>
          </w:p>
        </w:tc>
        <w:tc>
          <w:tcPr>
            <w:tcW w:w="5100" w:type="dxa"/>
            <w:tcBorders>
              <w:top w:val="nil"/>
              <w:left w:val="nil"/>
              <w:bottom w:val="nil"/>
              <w:right w:val="nil"/>
            </w:tcBorders>
            <w:tcMar>
              <w:top w:w="0" w:type="dxa"/>
              <w:left w:w="62" w:type="dxa"/>
              <w:bottom w:w="0" w:type="dxa"/>
              <w:right w:w="62" w:type="dxa"/>
            </w:tcMar>
          </w:tcPr>
          <w:p w:rsidR="00000000" w:rsidP="0024653D">
            <w:pPr>
              <w:pStyle w:val="BodyText"/>
              <w:rPr>
                <w:lang w:val="en-NZ"/>
              </w:rPr>
            </w:pPr>
            <w:r w:rsidRPr="0024653D">
              <w:t xml:space="preserve">Evaluation of contract performance is undertaken relative to planned performance measures and in consultation with stakeholders and suppliers </w:t>
            </w:r>
          </w:p>
        </w:tc>
      </w:tr>
      <w:tr w:rsidTr="0063303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4653D">
            <w:pPr>
              <w:pStyle w:val="BodyText"/>
              <w:rPr>
                <w:lang w:val="en-NZ"/>
              </w:rPr>
            </w:pPr>
            <w:r w:rsidRPr="0024653D">
              <w:t>3.2</w:t>
            </w:r>
          </w:p>
        </w:tc>
        <w:tc>
          <w:tcPr>
            <w:tcW w:w="5100" w:type="dxa"/>
            <w:tcBorders>
              <w:top w:val="nil"/>
              <w:left w:val="nil"/>
              <w:bottom w:val="nil"/>
              <w:right w:val="nil"/>
            </w:tcBorders>
            <w:tcMar>
              <w:top w:w="0" w:type="dxa"/>
              <w:left w:w="62" w:type="dxa"/>
              <w:bottom w:w="0" w:type="dxa"/>
              <w:right w:w="62" w:type="dxa"/>
            </w:tcMar>
          </w:tcPr>
          <w:p w:rsidR="00000000" w:rsidP="0024653D">
            <w:pPr>
              <w:pStyle w:val="BodyText"/>
              <w:rPr>
                <w:lang w:val="en-NZ"/>
              </w:rPr>
            </w:pPr>
            <w:r w:rsidRPr="0024653D">
              <w:t>Conclusions are detailed against agreed criteria and provide a complete picture of performance of the supp</w:t>
            </w:r>
            <w:r w:rsidRPr="0024653D">
              <w:t xml:space="preserve">lier, the organisation's procurement processes and value for money </w:t>
            </w:r>
          </w:p>
        </w:tc>
      </w:tr>
      <w:tr w:rsidTr="0063303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4653D">
            <w:pPr>
              <w:pStyle w:val="BodyText"/>
              <w:rPr>
                <w:lang w:val="en-NZ"/>
              </w:rPr>
            </w:pPr>
            <w:r w:rsidRPr="0024653D">
              <w:t>3.3</w:t>
            </w:r>
          </w:p>
        </w:tc>
        <w:tc>
          <w:tcPr>
            <w:tcW w:w="5100" w:type="dxa"/>
            <w:tcBorders>
              <w:top w:val="nil"/>
              <w:left w:val="nil"/>
              <w:bottom w:val="nil"/>
              <w:right w:val="nil"/>
            </w:tcBorders>
            <w:tcMar>
              <w:top w:w="0" w:type="dxa"/>
              <w:left w:w="62" w:type="dxa"/>
              <w:bottom w:w="0" w:type="dxa"/>
              <w:right w:w="62" w:type="dxa"/>
            </w:tcMar>
          </w:tcPr>
          <w:p w:rsidR="00000000" w:rsidP="0024653D">
            <w:pPr>
              <w:pStyle w:val="BodyText"/>
              <w:rPr>
                <w:lang w:val="en-NZ"/>
              </w:rPr>
            </w:pPr>
            <w:r w:rsidRPr="0024653D">
              <w:t xml:space="preserve">Evaluation outcomes are documented in </w:t>
            </w:r>
            <w:r w:rsidRPr="0024653D">
              <w:t xml:space="preserve">accordance with organisational requirements to assist improvement in future procurement activities </w:t>
            </w:r>
          </w:p>
        </w:tc>
      </w:tr>
      <w:tr w:rsidTr="0063303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4653D">
            <w:pPr>
              <w:pStyle w:val="BodyText"/>
              <w:rPr>
                <w:lang w:val="en-NZ"/>
              </w:rPr>
            </w:pPr>
            <w:r w:rsidRPr="0024653D">
              <w:t>3.4</w:t>
            </w:r>
          </w:p>
        </w:tc>
        <w:tc>
          <w:tcPr>
            <w:tcW w:w="5100" w:type="dxa"/>
            <w:tcBorders>
              <w:top w:val="nil"/>
              <w:left w:val="nil"/>
              <w:bottom w:val="nil"/>
              <w:right w:val="nil"/>
            </w:tcBorders>
            <w:tcMar>
              <w:top w:w="0" w:type="dxa"/>
              <w:left w:w="62" w:type="dxa"/>
              <w:bottom w:w="0" w:type="dxa"/>
              <w:right w:w="62" w:type="dxa"/>
            </w:tcMar>
          </w:tcPr>
          <w:p w:rsidR="00000000" w:rsidRPr="0024653D" w:rsidP="0024653D">
            <w:pPr>
              <w:pStyle w:val="BodyText"/>
            </w:pPr>
            <w:r w:rsidRPr="0024653D">
              <w:t xml:space="preserve">Suppliers and stakeholders are advised of evaluation outcomes in a timely manner in accordance with organisational guidelines </w:t>
            </w:r>
          </w:p>
        </w:tc>
      </w:tr>
    </w:tbl>
    <w:p w:rsidR="00000000" w:rsidRPr="0024653D" w:rsidP="0024653D">
      <w:pPr>
        <w:pStyle w:val="BodyText"/>
      </w:pPr>
    </w:p>
    <w:p w:rsidR="00000000" w:rsidRPr="0024653D" w:rsidP="0024653D">
      <w:pPr>
        <w:pStyle w:val="AllowPageBreak"/>
      </w:pPr>
    </w:p>
    <w:p w:rsidR="00000000" w:rsidRPr="0024653D" w:rsidP="0024653D">
      <w:pPr>
        <w:pStyle w:val="Heading1"/>
      </w:pPr>
      <w:bookmarkStart w:id="9" w:name="O_325402"/>
      <w:bookmarkEnd w:id="9"/>
      <w:r w:rsidRPr="0024653D">
        <w:t>Required Skills and Knowledge</w:t>
      </w:r>
    </w:p>
    <w:p w:rsidR="00000000" w:rsidRPr="0024653D" w:rsidP="0024653D">
      <w:pPr>
        <w:pStyle w:val="BodyText"/>
      </w:pPr>
      <w:r w:rsidRPr="0024653D">
        <w:t>Not applicable.</w:t>
      </w:r>
    </w:p>
    <w:p w:rsidR="00000000" w:rsidRPr="0024653D" w:rsidP="0024653D">
      <w:pPr>
        <w:pStyle w:val="AllowPageBreak"/>
      </w:pPr>
    </w:p>
    <w:p w:rsidR="00000000" w:rsidRPr="0024653D" w:rsidP="0024653D">
      <w:pPr>
        <w:pStyle w:val="Heading1"/>
      </w:pPr>
      <w:bookmarkStart w:id="10" w:name="O_325401"/>
      <w:bookmarkEnd w:id="10"/>
      <w:r w:rsidRPr="0024653D">
        <w:t>Evidence Guide</w:t>
      </w:r>
    </w:p>
    <w:p w:rsidR="00000000" w:rsidRPr="0024653D" w:rsidP="0024653D">
      <w:pPr>
        <w:pStyle w:val="BodyText"/>
      </w:pPr>
      <w:r w:rsidRPr="0024653D">
        <w:t>This Evidence Guide must be read</w:t>
      </w:r>
      <w:r w:rsidRPr="0024653D">
        <w:t xml:space="preserve"> in conjunction with the Assessment Guidelines for the National Public Services Training Package.</w:t>
      </w:r>
    </w:p>
    <w:p w:rsidR="00000000" w:rsidRPr="0024653D" w:rsidP="0024653D">
      <w:pPr>
        <w:pStyle w:val="BodyText"/>
      </w:pPr>
      <w:r w:rsidRPr="0024653D">
        <w:rPr>
          <w:rStyle w:val="SpecialBold"/>
        </w:rPr>
        <w:t>Critical aspects of evidence</w:t>
      </w:r>
    </w:p>
    <w:p w:rsidR="00000000" w:rsidRPr="0024653D" w:rsidP="0024653D">
      <w:pPr>
        <w:pStyle w:val="BodyText"/>
      </w:pPr>
      <w:r w:rsidRPr="0024653D">
        <w:t xml:space="preserve">integrated demonstration of all elements and their related performance criteria; and </w:t>
      </w:r>
    </w:p>
    <w:p w:rsidR="00000000" w:rsidRPr="0024653D" w:rsidP="0024653D">
      <w:pPr>
        <w:pStyle w:val="BodyText"/>
      </w:pPr>
      <w:r w:rsidRPr="0024653D">
        <w:t>transition, performance and evaluation of c</w:t>
      </w:r>
      <w:r w:rsidRPr="0024653D">
        <w:t xml:space="preserve">ontracts </w:t>
      </w:r>
    </w:p>
    <w:p w:rsidR="00000000" w:rsidRPr="0024653D" w:rsidP="0024653D">
      <w:pPr>
        <w:pStyle w:val="BodyText"/>
      </w:pPr>
      <w:r w:rsidRPr="0024653D">
        <w:t>relevant legislation and procedures applied to the procurement process</w:t>
      </w:r>
    </w:p>
    <w:p w:rsidR="00000000" w:rsidRPr="0024653D" w:rsidP="0024653D">
      <w:pPr>
        <w:pStyle w:val="BodyText"/>
      </w:pPr>
      <w:r w:rsidRPr="0024653D">
        <w:rPr>
          <w:rStyle w:val="SpecialBold"/>
        </w:rPr>
        <w:t>Interdependent assessment of units</w:t>
      </w:r>
    </w:p>
    <w:p w:rsidR="00000000" w:rsidRPr="0024653D" w:rsidP="0024653D">
      <w:pPr>
        <w:pStyle w:val="BodyText"/>
      </w:pPr>
      <w:r w:rsidRPr="0024653D">
        <w:rPr>
          <w:rStyle w:val="SpecialBold"/>
        </w:rPr>
        <w:t>Pre</w:t>
      </w:r>
      <w:r w:rsidRPr="0024653D">
        <w:t>-</w:t>
      </w:r>
      <w:r w:rsidRPr="0024653D">
        <w:rPr>
          <w:rStyle w:val="SpecialBold"/>
        </w:rPr>
        <w:t>requisite units</w:t>
      </w:r>
      <w:r w:rsidRPr="0024653D">
        <w:t>: Nil</w:t>
      </w:r>
    </w:p>
    <w:p w:rsidR="00000000" w:rsidRPr="0024653D" w:rsidP="0024653D">
      <w:pPr>
        <w:pStyle w:val="BodyText"/>
      </w:pPr>
      <w:r w:rsidRPr="0024653D">
        <w:rPr>
          <w:rStyle w:val="SpecialBold"/>
        </w:rPr>
        <w:t>Co</w:t>
      </w:r>
      <w:r w:rsidRPr="0024653D">
        <w:t>-</w:t>
      </w:r>
      <w:r w:rsidRPr="0024653D">
        <w:rPr>
          <w:rStyle w:val="SpecialBold"/>
        </w:rPr>
        <w:t>requisite units</w:t>
      </w:r>
      <w:r w:rsidRPr="0024653D">
        <w:t>: Nil</w:t>
      </w:r>
    </w:p>
    <w:p w:rsidR="00000000" w:rsidRPr="0024653D" w:rsidP="0024653D">
      <w:pPr>
        <w:pStyle w:val="BodyText"/>
      </w:pPr>
      <w:r w:rsidRPr="0024653D">
        <w:rPr>
          <w:rStyle w:val="SpecialBold"/>
        </w:rPr>
        <w:t>Co</w:t>
      </w:r>
      <w:r w:rsidRPr="0024653D">
        <w:t>-</w:t>
      </w:r>
      <w:r w:rsidRPr="0024653D">
        <w:rPr>
          <w:rStyle w:val="SpecialBold"/>
        </w:rPr>
        <w:t>assessed units</w:t>
      </w:r>
      <w:r w:rsidRPr="0024653D">
        <w:t>: This unit may be co-assessed with any of the generalist public sector sp</w:t>
      </w:r>
      <w:r w:rsidRPr="0024653D">
        <w:t>ecific units at Diploma level or above. It is recommended that co-assessment occurs with some or all of the following units: PSPETHC501A Promote the Values and Ethos of Public Service; PSPLEGN501A Promote Compliance with Legislation in the Public Sector; P</w:t>
      </w:r>
      <w:r w:rsidRPr="0024653D">
        <w:t>SPPOLI501A Manage Policy Implementation; PSPGOV501A Apply Knowledge of Government Systems; and PSPMNGT605A Manage Diversity</w:t>
      </w:r>
    </w:p>
    <w:p w:rsidR="00000000" w:rsidRPr="0024653D" w:rsidP="0024653D">
      <w:pPr>
        <w:pStyle w:val="BodyText"/>
      </w:pPr>
      <w:r w:rsidRPr="0024653D">
        <w:rPr>
          <w:rStyle w:val="SpecialBold"/>
        </w:rPr>
        <w:t>Underpinning knowledge</w:t>
      </w:r>
    </w:p>
    <w:p w:rsidR="00000000" w:rsidRPr="0024653D" w:rsidP="0024653D">
      <w:pPr>
        <w:pStyle w:val="BodyText"/>
      </w:pPr>
      <w:r w:rsidRPr="0024653D">
        <w:t xml:space="preserve">Commonwealth, State/Territory, Local Government procurement guidelines </w:t>
      </w:r>
    </w:p>
    <w:p w:rsidR="00000000" w:rsidRPr="0024653D" w:rsidP="0024653D">
      <w:pPr>
        <w:pStyle w:val="BodyText"/>
      </w:pPr>
      <w:r w:rsidRPr="0024653D">
        <w:t xml:space="preserve">procurement policies and practices </w:t>
      </w:r>
    </w:p>
    <w:p w:rsidR="00000000" w:rsidRPr="0024653D" w:rsidP="0024653D">
      <w:pPr>
        <w:pStyle w:val="BodyText"/>
      </w:pPr>
      <w:r w:rsidRPr="0024653D">
        <w:t xml:space="preserve">government procurement environment </w:t>
      </w:r>
    </w:p>
    <w:p w:rsidR="00000000" w:rsidRPr="0024653D" w:rsidP="0024653D">
      <w:pPr>
        <w:pStyle w:val="BodyText"/>
      </w:pPr>
      <w:r w:rsidRPr="0024653D">
        <w:t xml:space="preserve">financial rules and regulation requirements </w:t>
      </w:r>
    </w:p>
    <w:p w:rsidR="00000000" w:rsidRPr="0024653D" w:rsidP="0024653D">
      <w:pPr>
        <w:pStyle w:val="BodyText"/>
      </w:pPr>
      <w:r w:rsidRPr="0024653D">
        <w:t xml:space="preserve">legal requirements of government contracting </w:t>
      </w:r>
    </w:p>
    <w:p w:rsidR="00000000" w:rsidRPr="0024653D" w:rsidP="0024653D">
      <w:pPr>
        <w:pStyle w:val="BodyText"/>
      </w:pPr>
      <w:r w:rsidRPr="0024653D">
        <w:t xml:space="preserve">implications of particular contracting agreements </w:t>
      </w:r>
    </w:p>
    <w:p w:rsidR="00000000" w:rsidRPr="0024653D" w:rsidP="0024653D">
      <w:pPr>
        <w:pStyle w:val="BodyText"/>
      </w:pPr>
      <w:r w:rsidRPr="0024653D">
        <w:t xml:space="preserve">whole-of-life considerations </w:t>
      </w:r>
    </w:p>
    <w:p w:rsidR="00000000" w:rsidRPr="0024653D" w:rsidP="0024653D">
      <w:pPr>
        <w:pStyle w:val="BodyText"/>
      </w:pPr>
      <w:r w:rsidRPr="0024653D">
        <w:t xml:space="preserve">disposals considerations </w:t>
      </w:r>
    </w:p>
    <w:p w:rsidR="00000000" w:rsidRPr="0024653D" w:rsidP="0024653D">
      <w:pPr>
        <w:pStyle w:val="BodyText"/>
      </w:pPr>
      <w:r w:rsidRPr="0024653D">
        <w:t>procurement approval p</w:t>
      </w:r>
      <w:r w:rsidRPr="0024653D">
        <w:t xml:space="preserve">rocesses </w:t>
      </w:r>
    </w:p>
    <w:p w:rsidR="00000000" w:rsidRPr="0024653D" w:rsidP="0024653D">
      <w:pPr>
        <w:pStyle w:val="BodyText"/>
      </w:pPr>
      <w:r w:rsidRPr="0024653D">
        <w:t xml:space="preserve">strategic planning processes </w:t>
      </w:r>
    </w:p>
    <w:p w:rsidR="00000000" w:rsidRPr="0024653D" w:rsidP="0024653D">
      <w:pPr>
        <w:pStyle w:val="BodyText"/>
      </w:pPr>
      <w:r w:rsidRPr="0024653D">
        <w:t xml:space="preserve">procurement management processes </w:t>
      </w:r>
    </w:p>
    <w:p w:rsidR="00000000" w:rsidRPr="0024653D" w:rsidP="0024653D">
      <w:pPr>
        <w:pStyle w:val="BodyText"/>
      </w:pPr>
      <w:r w:rsidRPr="0024653D">
        <w:t xml:space="preserve">Law of contract </w:t>
      </w:r>
    </w:p>
    <w:p w:rsidR="00000000" w:rsidRPr="0024653D" w:rsidP="0024653D">
      <w:pPr>
        <w:pStyle w:val="BodyText"/>
      </w:pPr>
      <w:r w:rsidRPr="0024653D">
        <w:t xml:space="preserve">Trade practices law </w:t>
      </w:r>
    </w:p>
    <w:p w:rsidR="00000000" w:rsidRPr="0024653D" w:rsidP="0024653D">
      <w:pPr>
        <w:pStyle w:val="BodyText"/>
      </w:pPr>
      <w:r w:rsidRPr="0024653D">
        <w:t xml:space="preserve">Commercial law and relevant legislation </w:t>
      </w:r>
    </w:p>
    <w:p w:rsidR="00000000" w:rsidRPr="0024653D" w:rsidP="0024653D">
      <w:pPr>
        <w:pStyle w:val="BodyText"/>
      </w:pPr>
      <w:r w:rsidRPr="0024653D">
        <w:t xml:space="preserve">equal employment opportunity, equity and diversity principles </w:t>
      </w:r>
    </w:p>
    <w:p w:rsidR="00000000" w:rsidRPr="0024653D" w:rsidP="0024653D">
      <w:pPr>
        <w:pStyle w:val="BodyText"/>
      </w:pPr>
      <w:r w:rsidRPr="0024653D">
        <w:t>financial and accounting issues relevant</w:t>
      </w:r>
      <w:r w:rsidRPr="0024653D">
        <w:t xml:space="preserve"> to the contract</w:t>
      </w:r>
    </w:p>
    <w:p w:rsidR="00000000" w:rsidRPr="0024653D" w:rsidP="0024653D">
      <w:pPr>
        <w:pStyle w:val="BodyText"/>
      </w:pPr>
      <w:r w:rsidRPr="0024653D">
        <w:rPr>
          <w:rStyle w:val="SpecialBold"/>
        </w:rPr>
        <w:t>Underpinning skills</w:t>
      </w:r>
    </w:p>
    <w:p w:rsidR="00000000" w:rsidRPr="0024653D" w:rsidP="0024653D">
      <w:pPr>
        <w:pStyle w:val="BodyText"/>
      </w:pPr>
      <w:r w:rsidRPr="0024653D">
        <w:t xml:space="preserve">project management skills </w:t>
      </w:r>
    </w:p>
    <w:p w:rsidR="00000000" w:rsidRPr="0024653D" w:rsidP="0024653D">
      <w:pPr>
        <w:pStyle w:val="BodyText"/>
      </w:pPr>
      <w:r w:rsidRPr="0024653D">
        <w:t xml:space="preserve">financial and other resources management skills </w:t>
      </w:r>
    </w:p>
    <w:p w:rsidR="00000000" w:rsidRPr="0024653D" w:rsidP="0024653D">
      <w:pPr>
        <w:pStyle w:val="BodyText"/>
      </w:pPr>
      <w:r w:rsidRPr="0024653D">
        <w:t xml:space="preserve">communication skills, orally and in writing </w:t>
      </w:r>
    </w:p>
    <w:p w:rsidR="00000000" w:rsidRPr="0024653D" w:rsidP="0024653D">
      <w:pPr>
        <w:pStyle w:val="BodyText"/>
      </w:pPr>
      <w:r w:rsidRPr="0024653D">
        <w:t xml:space="preserve">cross-cultural competency, including gender and disability </w:t>
      </w:r>
    </w:p>
    <w:p w:rsidR="00000000" w:rsidRPr="0024653D" w:rsidP="0024653D">
      <w:pPr>
        <w:pStyle w:val="BodyText"/>
      </w:pPr>
      <w:r w:rsidRPr="0024653D">
        <w:t xml:space="preserve">research skills </w:t>
      </w:r>
    </w:p>
    <w:p w:rsidR="00000000" w:rsidRPr="0024653D" w:rsidP="0024653D">
      <w:pPr>
        <w:pStyle w:val="BodyText"/>
      </w:pPr>
      <w:r w:rsidRPr="0024653D">
        <w:t xml:space="preserve">analytical skills </w:t>
      </w:r>
    </w:p>
    <w:p w:rsidR="00000000" w:rsidRPr="0024653D" w:rsidP="0024653D">
      <w:pPr>
        <w:pStyle w:val="BodyText"/>
      </w:pPr>
      <w:r w:rsidRPr="0024653D">
        <w:t>pr</w:t>
      </w:r>
      <w:r w:rsidRPr="0024653D">
        <w:t xml:space="preserve">oblem solving using conceptual and reasoning skills </w:t>
      </w:r>
    </w:p>
    <w:p w:rsidR="00000000" w:rsidRPr="0024653D" w:rsidP="0024653D">
      <w:pPr>
        <w:pStyle w:val="BodyText"/>
      </w:pPr>
      <w:r w:rsidRPr="0024653D">
        <w:t>networking skills with clients, suppliers, stakeholders and end users</w:t>
      </w:r>
    </w:p>
    <w:p w:rsidR="00000000" w:rsidRPr="0024653D" w:rsidP="0024653D">
      <w:pPr>
        <w:pStyle w:val="BodyText"/>
      </w:pPr>
      <w:r w:rsidRPr="0024653D">
        <w:rPr>
          <w:rStyle w:val="SpecialBold"/>
        </w:rPr>
        <w:t>Resource implications</w:t>
      </w:r>
    </w:p>
    <w:p w:rsidR="00000000" w:rsidRPr="0024653D" w:rsidP="0024653D">
      <w:pPr>
        <w:pStyle w:val="BodyText"/>
      </w:pPr>
      <w:r w:rsidRPr="0024653D">
        <w:t xml:space="preserve">assessment may involve reports from supervisors and/or managers, reports from team members and references from </w:t>
      </w:r>
      <w:r w:rsidRPr="0024653D">
        <w:t>clients</w:t>
      </w:r>
    </w:p>
    <w:p w:rsidR="00000000" w:rsidRPr="0024653D" w:rsidP="0024653D">
      <w:pPr>
        <w:pStyle w:val="BodyText"/>
      </w:pPr>
      <w:r w:rsidRPr="0024653D">
        <w:rPr>
          <w:rStyle w:val="SpecialBold"/>
        </w:rPr>
        <w:t>Consistency of performance</w:t>
      </w:r>
    </w:p>
    <w:p w:rsidR="00000000" w:rsidRPr="0024653D" w:rsidP="0024653D">
      <w:pPr>
        <w:pStyle w:val="BodyText"/>
      </w:pPr>
      <w:r w:rsidRPr="0024653D">
        <w:t>evidence to be gathered over time across a range of variables</w:t>
      </w:r>
    </w:p>
    <w:p w:rsidR="00000000" w:rsidRPr="0024653D" w:rsidP="0024653D">
      <w:pPr>
        <w:pStyle w:val="BodyText"/>
      </w:pPr>
      <w:r w:rsidRPr="0024653D">
        <w:rPr>
          <w:rStyle w:val="SpecialBold"/>
        </w:rPr>
        <w:t>Context</w:t>
      </w:r>
      <w:r w:rsidRPr="0024653D">
        <w:t>/</w:t>
      </w:r>
      <w:r w:rsidRPr="0024653D">
        <w:rPr>
          <w:rStyle w:val="SpecialBold"/>
        </w:rPr>
        <w:t>s of assessment</w:t>
      </w:r>
    </w:p>
    <w:p w:rsidR="00000000" w:rsidRPr="0024653D" w:rsidP="0024653D">
      <w:pPr>
        <w:pStyle w:val="BodyText"/>
      </w:pPr>
      <w:r w:rsidRPr="0024653D">
        <w:t>this competency may be assessed on-the-job or in a simulated work environment; holistic assessment; assessment by way of documented information and/or examples of personal work</w:t>
      </w:r>
    </w:p>
    <w:p w:rsidR="00000000" w:rsidRPr="0024653D" w:rsidP="0024653D">
      <w:pPr>
        <w:pStyle w:val="BodyText"/>
      </w:pPr>
      <w:r w:rsidRPr="0024653D">
        <w:t xml:space="preserve">This Evidence Guide must be read in conjunction with the Assessment Guidelines </w:t>
      </w:r>
      <w:r w:rsidRPr="0024653D">
        <w:t>for the National Public Services Training Package.</w:t>
      </w:r>
    </w:p>
    <w:p w:rsidR="00000000" w:rsidRPr="0024653D" w:rsidP="0024653D">
      <w:pPr>
        <w:pStyle w:val="BodyText"/>
      </w:pPr>
      <w:r w:rsidRPr="0024653D">
        <w:rPr>
          <w:rStyle w:val="SpecialBold"/>
        </w:rPr>
        <w:t>Critical aspects of evidence</w:t>
      </w:r>
    </w:p>
    <w:p w:rsidR="00000000" w:rsidRPr="0024653D" w:rsidP="0024653D">
      <w:pPr>
        <w:pStyle w:val="BodyText"/>
      </w:pPr>
      <w:r w:rsidRPr="0024653D">
        <w:t xml:space="preserve">integrated demonstration of all elements and their related performance criteria; and </w:t>
      </w:r>
    </w:p>
    <w:p w:rsidR="00000000" w:rsidRPr="0024653D" w:rsidP="0024653D">
      <w:pPr>
        <w:pStyle w:val="BodyText"/>
      </w:pPr>
      <w:r w:rsidRPr="0024653D">
        <w:t xml:space="preserve">transition, performance and evaluation of contracts </w:t>
      </w:r>
    </w:p>
    <w:p w:rsidR="00000000" w:rsidRPr="0024653D" w:rsidP="0024653D">
      <w:pPr>
        <w:pStyle w:val="BodyText"/>
      </w:pPr>
      <w:r w:rsidRPr="0024653D">
        <w:t>relevant legislation and procedures a</w:t>
      </w:r>
      <w:r w:rsidRPr="0024653D">
        <w:t>pplied to the procurement process</w:t>
      </w:r>
    </w:p>
    <w:p w:rsidR="00000000" w:rsidRPr="0024653D" w:rsidP="0024653D">
      <w:pPr>
        <w:pStyle w:val="BodyText"/>
      </w:pPr>
      <w:r w:rsidRPr="0024653D">
        <w:rPr>
          <w:rStyle w:val="SpecialBold"/>
        </w:rPr>
        <w:t>Interdependent assessment of units</w:t>
      </w:r>
    </w:p>
    <w:p w:rsidR="00000000" w:rsidRPr="0024653D" w:rsidP="0024653D">
      <w:pPr>
        <w:pStyle w:val="BodyText"/>
      </w:pPr>
      <w:r w:rsidRPr="0024653D">
        <w:rPr>
          <w:rStyle w:val="SpecialBold"/>
        </w:rPr>
        <w:t>Pre</w:t>
      </w:r>
      <w:r w:rsidRPr="0024653D">
        <w:t>-</w:t>
      </w:r>
      <w:r w:rsidRPr="0024653D">
        <w:rPr>
          <w:rStyle w:val="SpecialBold"/>
        </w:rPr>
        <w:t>requisite units</w:t>
      </w:r>
      <w:r w:rsidRPr="0024653D">
        <w:t>: Nil</w:t>
      </w:r>
    </w:p>
    <w:p w:rsidR="00000000" w:rsidRPr="0024653D" w:rsidP="0024653D">
      <w:pPr>
        <w:pStyle w:val="BodyText"/>
      </w:pPr>
      <w:r w:rsidRPr="0024653D">
        <w:rPr>
          <w:rStyle w:val="SpecialBold"/>
        </w:rPr>
        <w:t>Co</w:t>
      </w:r>
      <w:r w:rsidRPr="0024653D">
        <w:t>-</w:t>
      </w:r>
      <w:r w:rsidRPr="0024653D">
        <w:rPr>
          <w:rStyle w:val="SpecialBold"/>
        </w:rPr>
        <w:t>requisite units</w:t>
      </w:r>
      <w:r w:rsidRPr="0024653D">
        <w:t>: Nil</w:t>
      </w:r>
    </w:p>
    <w:p w:rsidR="00000000" w:rsidRPr="0024653D" w:rsidP="0024653D">
      <w:pPr>
        <w:pStyle w:val="BodyText"/>
      </w:pPr>
      <w:r w:rsidRPr="0024653D">
        <w:rPr>
          <w:rStyle w:val="SpecialBold"/>
        </w:rPr>
        <w:t>Co</w:t>
      </w:r>
      <w:r w:rsidRPr="0024653D">
        <w:t>-</w:t>
      </w:r>
      <w:r w:rsidRPr="0024653D">
        <w:rPr>
          <w:rStyle w:val="SpecialBold"/>
        </w:rPr>
        <w:t>assessed units</w:t>
      </w:r>
      <w:r w:rsidRPr="0024653D">
        <w:t>: This unit may be co-assessed with any of the generalist public sector specific units at Diploma level or above. It is r</w:t>
      </w:r>
      <w:r w:rsidRPr="0024653D">
        <w:t>ecommended that co-assessment occurs with some or all of the following units: PSPETHC501A Promote the Values and Ethos of Public Service; PSPLEGN501A Promote Compliance with Legislation in the Public Sector; PSPPOLI501A Manage Policy Implementation; PSPGOV</w:t>
      </w:r>
      <w:r w:rsidRPr="0024653D">
        <w:t>501A Apply Knowledge of Government Systems; and PSPMNGT605A Manage Diversity</w:t>
      </w:r>
    </w:p>
    <w:p w:rsidR="00000000" w:rsidRPr="0024653D" w:rsidP="0024653D">
      <w:pPr>
        <w:pStyle w:val="BodyText"/>
      </w:pPr>
      <w:r w:rsidRPr="0024653D">
        <w:rPr>
          <w:rStyle w:val="SpecialBold"/>
        </w:rPr>
        <w:t>Underpinning knowledge</w:t>
      </w:r>
    </w:p>
    <w:p w:rsidR="00000000" w:rsidRPr="0024653D" w:rsidP="0024653D">
      <w:pPr>
        <w:pStyle w:val="BodyText"/>
      </w:pPr>
      <w:r w:rsidRPr="0024653D">
        <w:t xml:space="preserve">Commonwealth, State/Territory, Local Government procurement guidelines </w:t>
      </w:r>
    </w:p>
    <w:p w:rsidR="00000000" w:rsidRPr="0024653D" w:rsidP="0024653D">
      <w:pPr>
        <w:pStyle w:val="BodyText"/>
      </w:pPr>
      <w:r w:rsidRPr="0024653D">
        <w:t xml:space="preserve">procurement policies and practices </w:t>
      </w:r>
    </w:p>
    <w:p w:rsidR="00000000" w:rsidRPr="0024653D" w:rsidP="0024653D">
      <w:pPr>
        <w:pStyle w:val="BodyText"/>
      </w:pPr>
      <w:r w:rsidRPr="0024653D">
        <w:t xml:space="preserve">government procurement environment </w:t>
      </w:r>
    </w:p>
    <w:p w:rsidR="00000000" w:rsidRPr="0024653D" w:rsidP="0024653D">
      <w:pPr>
        <w:pStyle w:val="BodyText"/>
      </w:pPr>
      <w:r w:rsidRPr="0024653D">
        <w:t>financial ru</w:t>
      </w:r>
      <w:r w:rsidRPr="0024653D">
        <w:t xml:space="preserve">les and regulation requirements </w:t>
      </w:r>
    </w:p>
    <w:p w:rsidR="00000000" w:rsidRPr="0024653D" w:rsidP="0024653D">
      <w:pPr>
        <w:pStyle w:val="BodyText"/>
      </w:pPr>
      <w:r w:rsidRPr="0024653D">
        <w:t xml:space="preserve">legal requirements of government contracting </w:t>
      </w:r>
    </w:p>
    <w:p w:rsidR="00000000" w:rsidRPr="0024653D" w:rsidP="0024653D">
      <w:pPr>
        <w:pStyle w:val="BodyText"/>
      </w:pPr>
      <w:r w:rsidRPr="0024653D">
        <w:t xml:space="preserve">implications of particular contracting agreements </w:t>
      </w:r>
    </w:p>
    <w:p w:rsidR="00000000" w:rsidRPr="0024653D" w:rsidP="0024653D">
      <w:pPr>
        <w:pStyle w:val="BodyText"/>
      </w:pPr>
      <w:r w:rsidRPr="0024653D">
        <w:t xml:space="preserve">whole-of-life considerations </w:t>
      </w:r>
    </w:p>
    <w:p w:rsidR="00000000" w:rsidRPr="0024653D" w:rsidP="0024653D">
      <w:pPr>
        <w:pStyle w:val="BodyText"/>
      </w:pPr>
      <w:r w:rsidRPr="0024653D">
        <w:t xml:space="preserve">disposals considerations </w:t>
      </w:r>
    </w:p>
    <w:p w:rsidR="00000000" w:rsidRPr="0024653D" w:rsidP="0024653D">
      <w:pPr>
        <w:pStyle w:val="BodyText"/>
      </w:pPr>
      <w:r w:rsidRPr="0024653D">
        <w:t xml:space="preserve">procurement approval processes </w:t>
      </w:r>
    </w:p>
    <w:p w:rsidR="00000000" w:rsidRPr="0024653D" w:rsidP="0024653D">
      <w:pPr>
        <w:pStyle w:val="BodyText"/>
      </w:pPr>
      <w:r w:rsidRPr="0024653D">
        <w:t xml:space="preserve">strategic planning processes </w:t>
      </w:r>
    </w:p>
    <w:p w:rsidR="00000000" w:rsidRPr="0024653D" w:rsidP="0024653D">
      <w:pPr>
        <w:pStyle w:val="BodyText"/>
      </w:pPr>
      <w:r w:rsidRPr="0024653D">
        <w:t>procurem</w:t>
      </w:r>
      <w:r w:rsidRPr="0024653D">
        <w:t xml:space="preserve">ent management processes </w:t>
      </w:r>
    </w:p>
    <w:p w:rsidR="00000000" w:rsidRPr="0024653D" w:rsidP="0024653D">
      <w:pPr>
        <w:pStyle w:val="BodyText"/>
      </w:pPr>
      <w:r w:rsidRPr="0024653D">
        <w:t xml:space="preserve">Law of contract </w:t>
      </w:r>
    </w:p>
    <w:p w:rsidR="00000000" w:rsidRPr="0024653D" w:rsidP="0024653D">
      <w:pPr>
        <w:pStyle w:val="BodyText"/>
      </w:pPr>
      <w:r w:rsidRPr="0024653D">
        <w:t xml:space="preserve">Trade practices law </w:t>
      </w:r>
    </w:p>
    <w:p w:rsidR="00000000" w:rsidRPr="0024653D" w:rsidP="0024653D">
      <w:pPr>
        <w:pStyle w:val="BodyText"/>
      </w:pPr>
      <w:r w:rsidRPr="0024653D">
        <w:t xml:space="preserve">Commercial law and relevant legislation </w:t>
      </w:r>
    </w:p>
    <w:p w:rsidR="00000000" w:rsidRPr="0024653D" w:rsidP="0024653D">
      <w:pPr>
        <w:pStyle w:val="BodyText"/>
      </w:pPr>
      <w:r w:rsidRPr="0024653D">
        <w:t xml:space="preserve">equal employment opportunity, equity and diversity principles </w:t>
      </w:r>
    </w:p>
    <w:p w:rsidR="00000000" w:rsidRPr="0024653D" w:rsidP="0024653D">
      <w:pPr>
        <w:pStyle w:val="BodyText"/>
      </w:pPr>
      <w:r w:rsidRPr="0024653D">
        <w:t>financial and accounting issues relevant to the contract</w:t>
      </w:r>
    </w:p>
    <w:p w:rsidR="00000000" w:rsidRPr="0024653D" w:rsidP="0024653D">
      <w:pPr>
        <w:pStyle w:val="BodyText"/>
      </w:pPr>
      <w:r w:rsidRPr="0024653D">
        <w:rPr>
          <w:rStyle w:val="SpecialBold"/>
        </w:rPr>
        <w:t>Underpinning skills</w:t>
      </w:r>
    </w:p>
    <w:p w:rsidR="00000000" w:rsidRPr="0024653D" w:rsidP="0024653D">
      <w:pPr>
        <w:pStyle w:val="BodyText"/>
      </w:pPr>
      <w:r w:rsidRPr="0024653D">
        <w:t xml:space="preserve">project management skills </w:t>
      </w:r>
    </w:p>
    <w:p w:rsidR="00000000" w:rsidRPr="0024653D" w:rsidP="0024653D">
      <w:pPr>
        <w:pStyle w:val="BodyText"/>
      </w:pPr>
      <w:r w:rsidRPr="0024653D">
        <w:t xml:space="preserve">financial and other resources management skills </w:t>
      </w:r>
    </w:p>
    <w:p w:rsidR="00000000" w:rsidRPr="0024653D" w:rsidP="0024653D">
      <w:pPr>
        <w:pStyle w:val="BodyText"/>
      </w:pPr>
      <w:r w:rsidRPr="0024653D">
        <w:t xml:space="preserve">communication skills, orally and in writing </w:t>
      </w:r>
    </w:p>
    <w:p w:rsidR="00000000" w:rsidRPr="0024653D" w:rsidP="0024653D">
      <w:pPr>
        <w:pStyle w:val="BodyText"/>
      </w:pPr>
      <w:r w:rsidRPr="0024653D">
        <w:t xml:space="preserve">cross-cultural competency, including gender and disability </w:t>
      </w:r>
    </w:p>
    <w:p w:rsidR="00000000" w:rsidRPr="0024653D" w:rsidP="0024653D">
      <w:pPr>
        <w:pStyle w:val="BodyText"/>
      </w:pPr>
      <w:r w:rsidRPr="0024653D">
        <w:t xml:space="preserve">research skills </w:t>
      </w:r>
    </w:p>
    <w:p w:rsidR="00000000" w:rsidRPr="0024653D" w:rsidP="0024653D">
      <w:pPr>
        <w:pStyle w:val="BodyText"/>
      </w:pPr>
      <w:r w:rsidRPr="0024653D">
        <w:t xml:space="preserve">analytical skills </w:t>
      </w:r>
    </w:p>
    <w:p w:rsidR="00000000" w:rsidRPr="0024653D" w:rsidP="0024653D">
      <w:pPr>
        <w:pStyle w:val="BodyText"/>
      </w:pPr>
      <w:r w:rsidRPr="0024653D">
        <w:t>problem solving using conceptual and re</w:t>
      </w:r>
      <w:r w:rsidRPr="0024653D">
        <w:t xml:space="preserve">asoning skills </w:t>
      </w:r>
    </w:p>
    <w:p w:rsidR="00000000" w:rsidRPr="0024653D" w:rsidP="0024653D">
      <w:pPr>
        <w:pStyle w:val="BodyText"/>
      </w:pPr>
      <w:r w:rsidRPr="0024653D">
        <w:t>networking skills with clients, suppliers, stakeholders and end users</w:t>
      </w:r>
    </w:p>
    <w:p w:rsidR="00000000" w:rsidRPr="0024653D" w:rsidP="0024653D">
      <w:pPr>
        <w:pStyle w:val="BodyText"/>
      </w:pPr>
      <w:r w:rsidRPr="0024653D">
        <w:rPr>
          <w:rStyle w:val="SpecialBold"/>
        </w:rPr>
        <w:t>Resource implications</w:t>
      </w:r>
    </w:p>
    <w:p w:rsidR="00000000" w:rsidRPr="0024653D" w:rsidP="0024653D">
      <w:pPr>
        <w:pStyle w:val="BodyText"/>
      </w:pPr>
      <w:r w:rsidRPr="0024653D">
        <w:t>assessment may involve reports from supervisors and/or managers, reports from team members and references from clients</w:t>
      </w:r>
    </w:p>
    <w:p w:rsidR="00000000" w:rsidRPr="0024653D" w:rsidP="0024653D">
      <w:pPr>
        <w:pStyle w:val="BodyText"/>
      </w:pPr>
      <w:r w:rsidRPr="0024653D">
        <w:rPr>
          <w:rStyle w:val="SpecialBold"/>
        </w:rPr>
        <w:t>Consistency of performance</w:t>
      </w:r>
    </w:p>
    <w:p w:rsidR="00000000" w:rsidRPr="0024653D" w:rsidP="0024653D">
      <w:pPr>
        <w:pStyle w:val="BodyText"/>
      </w:pPr>
      <w:r w:rsidRPr="0024653D">
        <w:t>evidence to be gathered over time across a range of variables</w:t>
      </w:r>
    </w:p>
    <w:p w:rsidR="00000000" w:rsidRPr="0024653D" w:rsidP="0024653D">
      <w:pPr>
        <w:pStyle w:val="BodyText"/>
      </w:pPr>
      <w:r w:rsidRPr="0024653D">
        <w:rPr>
          <w:rStyle w:val="SpecialBold"/>
        </w:rPr>
        <w:t>Context</w:t>
      </w:r>
      <w:r w:rsidRPr="0024653D">
        <w:t>/</w:t>
      </w:r>
      <w:r w:rsidRPr="0024653D">
        <w:rPr>
          <w:rStyle w:val="SpecialBold"/>
        </w:rPr>
        <w:t>s of assessment</w:t>
      </w:r>
    </w:p>
    <w:p w:rsidR="00000000" w:rsidRPr="0024653D" w:rsidP="0024653D">
      <w:pPr>
        <w:pStyle w:val="BodyText"/>
      </w:pPr>
      <w:r w:rsidRPr="0024653D">
        <w:t>this competency may be assessed on-the-job or in a simulated work environment; holistic assessment; assessment by way of documented information and/or examples of persona</w:t>
      </w:r>
      <w:r w:rsidRPr="0024653D">
        <w:t>l work</w:t>
      </w:r>
    </w:p>
    <w:p w:rsidR="00000000" w:rsidRPr="0024653D" w:rsidP="0024653D">
      <w:pPr>
        <w:pStyle w:val="AllowPageBreak"/>
      </w:pPr>
    </w:p>
    <w:p w:rsidR="00000000" w:rsidRPr="0024653D" w:rsidP="0024653D">
      <w:pPr>
        <w:pStyle w:val="Heading1"/>
      </w:pPr>
      <w:bookmarkStart w:id="11" w:name="O_325400"/>
      <w:bookmarkEnd w:id="11"/>
      <w:r w:rsidRPr="0024653D">
        <w:t>Range Statement</w:t>
      </w:r>
    </w:p>
    <w:p w:rsidR="00000000" w:rsidRPr="0024653D" w:rsidP="0024653D">
      <w:pPr>
        <w:pStyle w:val="BodyText"/>
      </w:pPr>
      <w:r w:rsidRPr="0024653D">
        <w:t>The Range of Variables provides information about the context in which the unit of competency is carried out. It allows for differences between States and Territories and the Commonwealth, and between organisations a</w:t>
      </w:r>
      <w:r w:rsidRPr="0024653D">
        <w:t>nd workplaces. It allows for different work requirements, work practices, and knowledge. The Range of Variables also provides a focus for assessment and relates to the unit as a whole.</w:t>
      </w:r>
    </w:p>
    <w:p w:rsidR="00000000" w:rsidRPr="0024653D" w:rsidP="0024653D">
      <w:pPr>
        <w:pStyle w:val="BodyText"/>
      </w:pPr>
      <w:r w:rsidRPr="0024653D">
        <w:rPr>
          <w:rStyle w:val="SpecialBold"/>
        </w:rPr>
        <w:t>Stakeholders may include</w:t>
      </w:r>
      <w:r w:rsidRPr="0024653D">
        <w:t>:</w:t>
      </w:r>
    </w:p>
    <w:p w:rsidR="00000000" w:rsidRPr="0024653D" w:rsidP="0024653D">
      <w:pPr>
        <w:pStyle w:val="BodyText"/>
      </w:pPr>
      <w:r w:rsidRPr="0024653D">
        <w:t xml:space="preserve">end users, customers or clients and sponsors </w:t>
      </w:r>
    </w:p>
    <w:p w:rsidR="00000000" w:rsidRPr="0024653D" w:rsidP="0024653D">
      <w:pPr>
        <w:pStyle w:val="BodyText"/>
      </w:pPr>
      <w:r w:rsidRPr="0024653D">
        <w:t xml:space="preserve">potential providers or suppliers </w:t>
      </w:r>
    </w:p>
    <w:p w:rsidR="00000000" w:rsidRPr="0024653D" w:rsidP="0024653D">
      <w:pPr>
        <w:pStyle w:val="BodyText"/>
      </w:pPr>
      <w:r w:rsidRPr="0024653D">
        <w:t xml:space="preserve">current providers/suppliers </w:t>
      </w:r>
    </w:p>
    <w:p w:rsidR="00000000" w:rsidRPr="0024653D" w:rsidP="0024653D">
      <w:pPr>
        <w:pStyle w:val="BodyText"/>
      </w:pPr>
      <w:r w:rsidRPr="0024653D">
        <w:t xml:space="preserve">technical or functional experts or advisers </w:t>
      </w:r>
    </w:p>
    <w:p w:rsidR="00000000" w:rsidRPr="0024653D" w:rsidP="0024653D">
      <w:pPr>
        <w:pStyle w:val="BodyText"/>
      </w:pPr>
      <w:r w:rsidRPr="0024653D">
        <w:t xml:space="preserve">federal, state/territory and/or local government </w:t>
      </w:r>
    </w:p>
    <w:p w:rsidR="00000000" w:rsidRPr="0024653D" w:rsidP="0024653D">
      <w:pPr>
        <w:pStyle w:val="BodyText"/>
      </w:pPr>
      <w:r w:rsidRPr="0024653D">
        <w:t xml:space="preserve">the organisation </w:t>
      </w:r>
    </w:p>
    <w:p w:rsidR="00000000" w:rsidRPr="0024653D" w:rsidP="0024653D">
      <w:pPr>
        <w:pStyle w:val="BodyText"/>
      </w:pPr>
      <w:r w:rsidRPr="0024653D">
        <w:t xml:space="preserve">other public sector organisations </w:t>
      </w:r>
    </w:p>
    <w:p w:rsidR="00000000" w:rsidRPr="0024653D" w:rsidP="0024653D">
      <w:pPr>
        <w:pStyle w:val="BodyText"/>
      </w:pPr>
      <w:r w:rsidRPr="0024653D">
        <w:t xml:space="preserve">employees </w:t>
      </w:r>
    </w:p>
    <w:p w:rsidR="00000000" w:rsidRPr="0024653D" w:rsidP="0024653D">
      <w:pPr>
        <w:pStyle w:val="BodyText"/>
      </w:pPr>
      <w:r w:rsidRPr="0024653D">
        <w:t xml:space="preserve">unions or staff associations </w:t>
      </w:r>
    </w:p>
    <w:p w:rsidR="00000000" w:rsidRPr="0024653D" w:rsidP="0024653D">
      <w:pPr>
        <w:pStyle w:val="BodyText"/>
      </w:pPr>
      <w:r w:rsidRPr="0024653D">
        <w:t xml:space="preserve">industry bodies </w:t>
      </w:r>
    </w:p>
    <w:p w:rsidR="00000000" w:rsidRPr="0024653D" w:rsidP="0024653D">
      <w:pPr>
        <w:pStyle w:val="BodyText"/>
      </w:pPr>
      <w:r w:rsidRPr="0024653D">
        <w:t xml:space="preserve">local communities and society as a whole </w:t>
      </w:r>
    </w:p>
    <w:p w:rsidR="00000000" w:rsidRPr="0024653D" w:rsidP="0024653D">
      <w:pPr>
        <w:pStyle w:val="BodyText"/>
      </w:pPr>
      <w:r w:rsidRPr="0024653D">
        <w:t>lobby groups, special user groups</w:t>
      </w:r>
    </w:p>
    <w:p w:rsidR="00000000" w:rsidRPr="0024653D" w:rsidP="0024653D">
      <w:pPr>
        <w:pStyle w:val="BodyText"/>
      </w:pPr>
      <w:r w:rsidRPr="0024653D">
        <w:rPr>
          <w:rStyle w:val="SpecialBold"/>
        </w:rPr>
        <w:t>Monitoring may involve</w:t>
      </w:r>
      <w:r w:rsidRPr="0024653D">
        <w:t>:</w:t>
      </w:r>
    </w:p>
    <w:p w:rsidR="00000000" w:rsidRPr="0024653D" w:rsidP="0024653D">
      <w:pPr>
        <w:pStyle w:val="BodyText"/>
      </w:pPr>
      <w:r w:rsidRPr="0024653D">
        <w:t xml:space="preserve">progress meetings </w:t>
      </w:r>
    </w:p>
    <w:p w:rsidR="00000000" w:rsidRPr="0024653D" w:rsidP="0024653D">
      <w:pPr>
        <w:pStyle w:val="BodyText"/>
      </w:pPr>
      <w:r w:rsidRPr="0024653D">
        <w:t xml:space="preserve">visits to the supplier's premises </w:t>
      </w:r>
    </w:p>
    <w:p w:rsidR="00000000" w:rsidRPr="0024653D" w:rsidP="0024653D">
      <w:pPr>
        <w:pStyle w:val="BodyText"/>
      </w:pPr>
      <w:r w:rsidRPr="0024653D">
        <w:t xml:space="preserve">provision of samples </w:t>
      </w:r>
    </w:p>
    <w:p w:rsidR="00000000" w:rsidRPr="0024653D" w:rsidP="0024653D">
      <w:pPr>
        <w:pStyle w:val="BodyText"/>
      </w:pPr>
      <w:r w:rsidRPr="0024653D">
        <w:t xml:space="preserve">regular progress reports from the supplier </w:t>
      </w:r>
    </w:p>
    <w:p w:rsidR="00000000" w:rsidRPr="0024653D" w:rsidP="0024653D">
      <w:pPr>
        <w:pStyle w:val="BodyText"/>
      </w:pPr>
      <w:r w:rsidRPr="0024653D">
        <w:t xml:space="preserve">independent audit </w:t>
      </w:r>
    </w:p>
    <w:p w:rsidR="00000000" w:rsidRPr="0024653D" w:rsidP="0024653D">
      <w:pPr>
        <w:pStyle w:val="BodyText"/>
      </w:pPr>
      <w:r w:rsidRPr="0024653D">
        <w:t>end user feedback</w:t>
      </w:r>
    </w:p>
    <w:p w:rsidR="00000000" w:rsidRPr="0024653D" w:rsidP="0024653D">
      <w:pPr>
        <w:pStyle w:val="BodyText"/>
      </w:pPr>
      <w:r w:rsidRPr="0024653D">
        <w:rPr>
          <w:rStyle w:val="SpecialBold"/>
        </w:rPr>
        <w:t>Evaluation of supplier performance may include</w:t>
      </w:r>
      <w:r w:rsidRPr="0024653D">
        <w:t>:</w:t>
      </w:r>
    </w:p>
    <w:p w:rsidR="00000000" w:rsidRPr="0024653D" w:rsidP="0024653D">
      <w:pPr>
        <w:pStyle w:val="BodyText"/>
      </w:pPr>
      <w:r w:rsidRPr="0024653D">
        <w:t xml:space="preserve">strengths and weaknesses </w:t>
      </w:r>
    </w:p>
    <w:p w:rsidR="00000000" w:rsidRPr="0024653D" w:rsidP="0024653D">
      <w:pPr>
        <w:pStyle w:val="BodyText"/>
      </w:pPr>
      <w:r w:rsidRPr="0024653D">
        <w:t xml:space="preserve">client acceptance of service delivery (client satisfaction) </w:t>
      </w:r>
    </w:p>
    <w:p w:rsidR="00000000" w:rsidRPr="0024653D" w:rsidP="0024653D">
      <w:pPr>
        <w:pStyle w:val="BodyText"/>
      </w:pPr>
      <w:r w:rsidRPr="0024653D">
        <w:t xml:space="preserve">achievements in meeting delivery and completion dates </w:t>
      </w:r>
    </w:p>
    <w:p w:rsidR="00000000" w:rsidRPr="0024653D" w:rsidP="0024653D">
      <w:pPr>
        <w:pStyle w:val="BodyText"/>
      </w:pPr>
      <w:r w:rsidRPr="0024653D">
        <w:t xml:space="preserve">compliance with other contractual requirements </w:t>
      </w:r>
    </w:p>
    <w:p w:rsidR="00000000" w:rsidRPr="0024653D" w:rsidP="0024653D">
      <w:pPr>
        <w:pStyle w:val="BodyText"/>
      </w:pPr>
      <w:r w:rsidRPr="0024653D">
        <w:t xml:space="preserve">performance in relation to relevant policy objectives such as industry development, care for the environment, occupational health and safety, and affirmative action </w:t>
      </w:r>
    </w:p>
    <w:p w:rsidR="00000000" w:rsidRPr="0024653D" w:rsidP="0024653D">
      <w:pPr>
        <w:pStyle w:val="BodyText"/>
      </w:pPr>
      <w:r w:rsidRPr="0024653D">
        <w:t xml:space="preserve">achievement of the supplier in developing Australian and New Zealand supply networks </w:t>
      </w:r>
    </w:p>
    <w:p w:rsidR="00000000" w:rsidRPr="0024653D" w:rsidP="0024653D">
      <w:pPr>
        <w:pStyle w:val="BodyText"/>
      </w:pPr>
      <w:r w:rsidRPr="0024653D">
        <w:t>gene</w:t>
      </w:r>
      <w:r w:rsidRPr="0024653D">
        <w:t xml:space="preserve">ral relationships including effectiveness of communication at all levels </w:t>
      </w:r>
    </w:p>
    <w:p w:rsidR="00000000" w:rsidRPr="0024653D" w:rsidP="0024653D">
      <w:pPr>
        <w:pStyle w:val="BodyText"/>
      </w:pPr>
      <w:r w:rsidRPr="0024653D">
        <w:t xml:space="preserve">performance of key technical personnel </w:t>
      </w:r>
    </w:p>
    <w:p w:rsidR="00000000" w:rsidRPr="0024653D" w:rsidP="0024653D">
      <w:pPr>
        <w:pStyle w:val="BodyText"/>
      </w:pPr>
      <w:r w:rsidRPr="0024653D">
        <w:t xml:space="preserve">acceptability and cost of whole of life technical support including lead times and availability of spares and maintenance services </w:t>
      </w:r>
    </w:p>
    <w:p w:rsidR="00000000" w:rsidRPr="0024653D" w:rsidP="0024653D">
      <w:pPr>
        <w:pStyle w:val="BodyText"/>
      </w:pPr>
      <w:r w:rsidRPr="0024653D">
        <w:t>achievemen</w:t>
      </w:r>
      <w:r w:rsidRPr="0024653D">
        <w:t xml:space="preserve">ts in innovation and quality improvement programs </w:t>
      </w:r>
    </w:p>
    <w:p w:rsidR="00000000" w:rsidRPr="0024653D" w:rsidP="0024653D">
      <w:pPr>
        <w:pStyle w:val="BodyText"/>
      </w:pPr>
      <w:r w:rsidRPr="0024653D">
        <w:t>acceptability and suitability for future agreements including potential status as an approved supplier</w:t>
      </w:r>
    </w:p>
    <w:p w:rsidR="00000000" w:rsidRPr="0024653D" w:rsidP="0024653D">
      <w:pPr>
        <w:pStyle w:val="BodyText"/>
      </w:pPr>
      <w:r w:rsidRPr="0024653D">
        <w:rPr>
          <w:rStyle w:val="SpecialBold"/>
        </w:rPr>
        <w:t>Evaluation of the organisation</w:t>
      </w:r>
      <w:r w:rsidRPr="0024653D">
        <w:t>'</w:t>
      </w:r>
      <w:r w:rsidRPr="0024653D">
        <w:rPr>
          <w:rStyle w:val="SpecialBold"/>
        </w:rPr>
        <w:t>s procurement processes may focus on</w:t>
      </w:r>
      <w:r w:rsidRPr="0024653D">
        <w:t>:</w:t>
      </w:r>
    </w:p>
    <w:p w:rsidR="00000000" w:rsidRPr="0024653D" w:rsidP="0024653D">
      <w:pPr>
        <w:pStyle w:val="BodyText"/>
      </w:pPr>
      <w:r w:rsidRPr="0024653D">
        <w:t>effectiveness of project manageme</w:t>
      </w:r>
      <w:r w:rsidRPr="0024653D">
        <w:t xml:space="preserve">nt including the project plan and the responsibilities and accountabilities set out in it </w:t>
      </w:r>
    </w:p>
    <w:p w:rsidR="00000000" w:rsidRPr="0024653D" w:rsidP="0024653D">
      <w:pPr>
        <w:pStyle w:val="BodyText"/>
      </w:pPr>
      <w:r w:rsidRPr="0024653D">
        <w:t xml:space="preserve">quality of the business case, as indicated by the achievement of planned outcome and the contribution to program objectives </w:t>
      </w:r>
    </w:p>
    <w:p w:rsidR="00000000" w:rsidRPr="0024653D" w:rsidP="0024653D">
      <w:pPr>
        <w:pStyle w:val="BodyText"/>
      </w:pPr>
      <w:r w:rsidRPr="0024653D">
        <w:t xml:space="preserve">effectiveness of supplier qualification </w:t>
      </w:r>
      <w:r w:rsidRPr="0024653D">
        <w:t xml:space="preserve">processes </w:t>
      </w:r>
    </w:p>
    <w:p w:rsidR="00000000" w:rsidRPr="0024653D" w:rsidP="0024653D">
      <w:pPr>
        <w:pStyle w:val="BodyText"/>
      </w:pPr>
      <w:r w:rsidRPr="0024653D">
        <w:t xml:space="preserve">value obtained in bid clarification and post-tender negotiation </w:t>
      </w:r>
    </w:p>
    <w:p w:rsidR="00000000" w:rsidRPr="0024653D" w:rsidP="0024653D">
      <w:pPr>
        <w:pStyle w:val="BodyText"/>
      </w:pPr>
      <w:r w:rsidRPr="0024653D">
        <w:t xml:space="preserve">effectiveness of project management systems focusing particularly on management information </w:t>
      </w:r>
    </w:p>
    <w:p w:rsidR="00000000" w:rsidRPr="0024653D" w:rsidP="0024653D">
      <w:pPr>
        <w:pStyle w:val="BodyText"/>
      </w:pPr>
      <w:r w:rsidRPr="0024653D">
        <w:t xml:space="preserve">effectiveness of risk management </w:t>
      </w:r>
    </w:p>
    <w:p w:rsidR="00000000" w:rsidRPr="0024653D" w:rsidP="0024653D">
      <w:pPr>
        <w:pStyle w:val="BodyText"/>
      </w:pPr>
      <w:r w:rsidRPr="0024653D">
        <w:t xml:space="preserve">methods for controlling variations in cost, time, quality and performance from the initial planning to completion </w:t>
      </w:r>
    </w:p>
    <w:p w:rsidR="00000000" w:rsidRPr="0024653D" w:rsidP="0024653D">
      <w:pPr>
        <w:pStyle w:val="BodyText"/>
      </w:pPr>
      <w:r w:rsidRPr="0024653D">
        <w:t xml:space="preserve">adequacy of safeguards against fraud, error and impropriety </w:t>
      </w:r>
    </w:p>
    <w:p w:rsidR="00000000" w:rsidRPr="0024653D" w:rsidP="0024653D">
      <w:pPr>
        <w:pStyle w:val="BodyText"/>
      </w:pPr>
      <w:r w:rsidRPr="0024653D">
        <w:t xml:space="preserve">incidence of material losses due to waste or inefficiency </w:t>
      </w:r>
    </w:p>
    <w:p w:rsidR="00000000" w:rsidRPr="0024653D" w:rsidP="0024653D">
      <w:pPr>
        <w:pStyle w:val="BodyText"/>
      </w:pPr>
      <w:r w:rsidRPr="0024653D">
        <w:t>overall performance i</w:t>
      </w:r>
      <w:r w:rsidRPr="0024653D">
        <w:t>n terms of cost, time, service and quality</w:t>
      </w:r>
    </w:p>
    <w:p w:rsidR="00000000" w:rsidRPr="0024653D" w:rsidP="0024653D">
      <w:pPr>
        <w:pStyle w:val="BodyText"/>
      </w:pPr>
      <w:r w:rsidRPr="0024653D">
        <w:rPr>
          <w:rStyle w:val="SpecialBold"/>
        </w:rPr>
        <w:t>Contract variation may include</w:t>
      </w:r>
      <w:r w:rsidRPr="0024653D">
        <w:t>:</w:t>
      </w:r>
    </w:p>
    <w:p w:rsidR="00000000" w:rsidRPr="0024653D" w:rsidP="0024653D">
      <w:pPr>
        <w:pStyle w:val="BodyText"/>
      </w:pPr>
      <w:r w:rsidRPr="0024653D">
        <w:t>modification of targets, performance measures, procurement plans, resourcing, monitoring and evaluation processes</w:t>
      </w:r>
    </w:p>
    <w:p w:rsidR="00000000" w:rsidRPr="0024653D" w:rsidP="0024653D">
      <w:pPr>
        <w:pStyle w:val="BodyText"/>
      </w:pPr>
      <w:r w:rsidRPr="0024653D">
        <w:rPr>
          <w:rStyle w:val="SpecialBold"/>
        </w:rPr>
        <w:t>Value for money must reflect</w:t>
      </w:r>
      <w:r w:rsidRPr="0024653D">
        <w:t>:</w:t>
      </w:r>
    </w:p>
    <w:p w:rsidR="00000000" w:rsidRPr="0024653D" w:rsidP="0024653D">
      <w:pPr>
        <w:pStyle w:val="BodyText"/>
      </w:pPr>
      <w:r w:rsidRPr="0024653D">
        <w:t xml:space="preserve">whole of life program benefits </w:t>
      </w:r>
    </w:p>
    <w:p w:rsidR="00000000" w:rsidRPr="0024653D" w:rsidP="0024653D">
      <w:pPr>
        <w:pStyle w:val="BodyText"/>
      </w:pPr>
      <w:r w:rsidRPr="0024653D">
        <w:t>resid</w:t>
      </w:r>
      <w:r w:rsidRPr="0024653D">
        <w:t xml:space="preserve">ual values </w:t>
      </w:r>
    </w:p>
    <w:p w:rsidR="00000000" w:rsidRPr="0024653D" w:rsidP="0024653D">
      <w:pPr>
        <w:pStyle w:val="BodyText"/>
      </w:pPr>
      <w:r w:rsidRPr="0024653D">
        <w:t xml:space="preserve">costs of parts </w:t>
      </w:r>
    </w:p>
    <w:p w:rsidR="00000000" w:rsidRPr="0024653D" w:rsidP="0024653D">
      <w:pPr>
        <w:pStyle w:val="BodyText"/>
      </w:pPr>
      <w:r w:rsidRPr="0024653D">
        <w:t xml:space="preserve">servicing and maintenance </w:t>
      </w:r>
    </w:p>
    <w:p w:rsidR="00000000" w:rsidRPr="0024653D" w:rsidP="0024653D">
      <w:pPr>
        <w:pStyle w:val="BodyText"/>
      </w:pPr>
      <w:r w:rsidRPr="0024653D">
        <w:t>industry benchmarks</w:t>
      </w:r>
    </w:p>
    <w:p w:rsidR="00000000" w:rsidRPr="0024653D" w:rsidP="0024653D">
      <w:pPr>
        <w:pStyle w:val="BodyText"/>
      </w:pPr>
      <w:r w:rsidRPr="0024653D">
        <w:t>The Range of Variables provides information about the context in which the unit of competency is carried out. It allows for differences between States and Territories and the Common</w:t>
      </w:r>
      <w:r w:rsidRPr="0024653D">
        <w:t>wealth, and between organisations and workplaces. It allows for different work requirements, work practices, and knowledge. The Range of Variables also provides a focus for assessment and relates to the unit as a whole.</w:t>
      </w:r>
    </w:p>
    <w:p w:rsidR="00000000" w:rsidRPr="0024653D" w:rsidP="0024653D">
      <w:pPr>
        <w:pStyle w:val="BodyText"/>
      </w:pPr>
      <w:r w:rsidRPr="0024653D">
        <w:rPr>
          <w:rStyle w:val="SpecialBold"/>
        </w:rPr>
        <w:t>Stakeholders may include</w:t>
      </w:r>
      <w:r w:rsidRPr="0024653D">
        <w:t>:</w:t>
      </w:r>
    </w:p>
    <w:p w:rsidR="00000000" w:rsidRPr="0024653D" w:rsidP="0024653D">
      <w:pPr>
        <w:pStyle w:val="BodyText"/>
      </w:pPr>
      <w:r w:rsidRPr="0024653D">
        <w:t>end users,</w:t>
      </w:r>
      <w:r w:rsidRPr="0024653D">
        <w:t xml:space="preserve"> customers or clients and sponsors </w:t>
      </w:r>
    </w:p>
    <w:p w:rsidR="00000000" w:rsidRPr="0024653D" w:rsidP="0024653D">
      <w:pPr>
        <w:pStyle w:val="BodyText"/>
      </w:pPr>
      <w:r w:rsidRPr="0024653D">
        <w:t xml:space="preserve">potential providers or suppliers </w:t>
      </w:r>
    </w:p>
    <w:p w:rsidR="00000000" w:rsidRPr="0024653D" w:rsidP="0024653D">
      <w:pPr>
        <w:pStyle w:val="BodyText"/>
      </w:pPr>
      <w:r w:rsidRPr="0024653D">
        <w:t xml:space="preserve">current providers/suppliers </w:t>
      </w:r>
    </w:p>
    <w:p w:rsidR="00000000" w:rsidRPr="0024653D" w:rsidP="0024653D">
      <w:pPr>
        <w:pStyle w:val="BodyText"/>
      </w:pPr>
      <w:r w:rsidRPr="0024653D">
        <w:t xml:space="preserve">technical or functional experts or advisers </w:t>
      </w:r>
    </w:p>
    <w:p w:rsidR="00000000" w:rsidRPr="0024653D" w:rsidP="0024653D">
      <w:pPr>
        <w:pStyle w:val="BodyText"/>
      </w:pPr>
      <w:r w:rsidRPr="0024653D">
        <w:t xml:space="preserve">federal, state/territory and/or local government </w:t>
      </w:r>
    </w:p>
    <w:p w:rsidR="00000000" w:rsidRPr="0024653D" w:rsidP="0024653D">
      <w:pPr>
        <w:pStyle w:val="BodyText"/>
      </w:pPr>
      <w:r w:rsidRPr="0024653D">
        <w:t xml:space="preserve">the organisation </w:t>
      </w:r>
    </w:p>
    <w:p w:rsidR="00000000" w:rsidRPr="0024653D" w:rsidP="0024653D">
      <w:pPr>
        <w:pStyle w:val="BodyText"/>
      </w:pPr>
      <w:r w:rsidRPr="0024653D">
        <w:t xml:space="preserve">other public sector organisations </w:t>
      </w:r>
    </w:p>
    <w:p w:rsidR="00000000" w:rsidRPr="0024653D" w:rsidP="0024653D">
      <w:pPr>
        <w:pStyle w:val="BodyText"/>
      </w:pPr>
      <w:r w:rsidRPr="0024653D">
        <w:t>employees</w:t>
      </w:r>
      <w:r w:rsidRPr="0024653D">
        <w:t xml:space="preserve"> </w:t>
      </w:r>
    </w:p>
    <w:p w:rsidR="00000000" w:rsidRPr="0024653D" w:rsidP="0024653D">
      <w:pPr>
        <w:pStyle w:val="BodyText"/>
      </w:pPr>
      <w:r w:rsidRPr="0024653D">
        <w:t xml:space="preserve">unions or staff associations </w:t>
      </w:r>
    </w:p>
    <w:p w:rsidR="00000000" w:rsidRPr="0024653D" w:rsidP="0024653D">
      <w:pPr>
        <w:pStyle w:val="BodyText"/>
      </w:pPr>
      <w:r w:rsidRPr="0024653D">
        <w:t xml:space="preserve">industry bodies </w:t>
      </w:r>
    </w:p>
    <w:p w:rsidR="00000000" w:rsidRPr="0024653D" w:rsidP="0024653D">
      <w:pPr>
        <w:pStyle w:val="BodyText"/>
      </w:pPr>
      <w:r w:rsidRPr="0024653D">
        <w:t xml:space="preserve">local communities and society as a whole </w:t>
      </w:r>
    </w:p>
    <w:p w:rsidR="00000000" w:rsidRPr="0024653D" w:rsidP="0024653D">
      <w:pPr>
        <w:pStyle w:val="BodyText"/>
      </w:pPr>
      <w:r w:rsidRPr="0024653D">
        <w:t>lobby groups, special user groups</w:t>
      </w:r>
    </w:p>
    <w:p w:rsidR="00000000" w:rsidRPr="0024653D" w:rsidP="0024653D">
      <w:pPr>
        <w:pStyle w:val="BodyText"/>
      </w:pPr>
      <w:r w:rsidRPr="0024653D">
        <w:rPr>
          <w:rStyle w:val="SpecialBold"/>
        </w:rPr>
        <w:t>Monitoring may involve</w:t>
      </w:r>
      <w:r w:rsidRPr="0024653D">
        <w:t>:</w:t>
      </w:r>
    </w:p>
    <w:p w:rsidR="00000000" w:rsidRPr="0024653D" w:rsidP="0024653D">
      <w:pPr>
        <w:pStyle w:val="BodyText"/>
      </w:pPr>
      <w:r w:rsidRPr="0024653D">
        <w:t xml:space="preserve">progress meetings </w:t>
      </w:r>
    </w:p>
    <w:p w:rsidR="00000000" w:rsidRPr="0024653D" w:rsidP="0024653D">
      <w:pPr>
        <w:pStyle w:val="BodyText"/>
      </w:pPr>
      <w:r w:rsidRPr="0024653D">
        <w:t xml:space="preserve">visits to the supplier's premises </w:t>
      </w:r>
    </w:p>
    <w:p w:rsidR="00000000" w:rsidRPr="0024653D" w:rsidP="0024653D">
      <w:pPr>
        <w:pStyle w:val="BodyText"/>
      </w:pPr>
      <w:r w:rsidRPr="0024653D">
        <w:t xml:space="preserve">provision of samples </w:t>
      </w:r>
    </w:p>
    <w:p w:rsidR="00000000" w:rsidRPr="0024653D" w:rsidP="0024653D">
      <w:pPr>
        <w:pStyle w:val="BodyText"/>
      </w:pPr>
      <w:r w:rsidRPr="0024653D">
        <w:t xml:space="preserve">regular progress reports from the supplier </w:t>
      </w:r>
    </w:p>
    <w:p w:rsidR="00000000" w:rsidRPr="0024653D" w:rsidP="0024653D">
      <w:pPr>
        <w:pStyle w:val="BodyText"/>
      </w:pPr>
      <w:r w:rsidRPr="0024653D">
        <w:t xml:space="preserve">independent audit </w:t>
      </w:r>
    </w:p>
    <w:p w:rsidR="00000000" w:rsidRPr="0024653D" w:rsidP="0024653D">
      <w:pPr>
        <w:pStyle w:val="BodyText"/>
      </w:pPr>
      <w:r w:rsidRPr="0024653D">
        <w:t>end user feedback</w:t>
      </w:r>
    </w:p>
    <w:p w:rsidR="00000000" w:rsidRPr="0024653D" w:rsidP="0024653D">
      <w:pPr>
        <w:pStyle w:val="BodyText"/>
      </w:pPr>
      <w:r w:rsidRPr="0024653D">
        <w:rPr>
          <w:rStyle w:val="SpecialBold"/>
        </w:rPr>
        <w:t>Evaluation of supplier performance may include</w:t>
      </w:r>
      <w:r w:rsidRPr="0024653D">
        <w:t>:</w:t>
      </w:r>
    </w:p>
    <w:p w:rsidR="00000000" w:rsidRPr="0024653D" w:rsidP="0024653D">
      <w:pPr>
        <w:pStyle w:val="BodyText"/>
      </w:pPr>
      <w:r w:rsidRPr="0024653D">
        <w:t xml:space="preserve">strengths and weaknesses </w:t>
      </w:r>
    </w:p>
    <w:p w:rsidR="00000000" w:rsidRPr="0024653D" w:rsidP="0024653D">
      <w:pPr>
        <w:pStyle w:val="BodyText"/>
      </w:pPr>
      <w:r w:rsidRPr="0024653D">
        <w:t xml:space="preserve">client acceptance of service delivery (client satisfaction) </w:t>
      </w:r>
    </w:p>
    <w:p w:rsidR="00000000" w:rsidRPr="0024653D" w:rsidP="0024653D">
      <w:pPr>
        <w:pStyle w:val="BodyText"/>
      </w:pPr>
      <w:r w:rsidRPr="0024653D">
        <w:t>achievements in meeting delivery and com</w:t>
      </w:r>
      <w:r w:rsidRPr="0024653D">
        <w:t xml:space="preserve">pletion dates </w:t>
      </w:r>
    </w:p>
    <w:p w:rsidR="00000000" w:rsidRPr="0024653D" w:rsidP="0024653D">
      <w:pPr>
        <w:pStyle w:val="BodyText"/>
      </w:pPr>
      <w:r w:rsidRPr="0024653D">
        <w:t xml:space="preserve">compliance with other contractual requirements </w:t>
      </w:r>
    </w:p>
    <w:p w:rsidR="00000000" w:rsidRPr="0024653D" w:rsidP="0024653D">
      <w:pPr>
        <w:pStyle w:val="BodyText"/>
      </w:pPr>
      <w:r w:rsidRPr="0024653D">
        <w:t xml:space="preserve">performance in relation to relevant policy objectives such as industry development, care for the environment, occupational health and safety, and affirmative action </w:t>
      </w:r>
    </w:p>
    <w:p w:rsidR="00000000" w:rsidRPr="0024653D" w:rsidP="0024653D">
      <w:pPr>
        <w:pStyle w:val="BodyText"/>
      </w:pPr>
      <w:r w:rsidRPr="0024653D">
        <w:t>achievement of the supplier</w:t>
      </w:r>
      <w:r w:rsidRPr="0024653D">
        <w:t xml:space="preserve"> in developing Australian and New Zealand supply networks </w:t>
      </w:r>
    </w:p>
    <w:p w:rsidR="00000000" w:rsidRPr="0024653D" w:rsidP="0024653D">
      <w:pPr>
        <w:pStyle w:val="BodyText"/>
      </w:pPr>
      <w:r w:rsidRPr="0024653D">
        <w:t xml:space="preserve">general relationships including effectiveness of communication at all levels </w:t>
      </w:r>
    </w:p>
    <w:p w:rsidR="00000000" w:rsidRPr="0024653D" w:rsidP="0024653D">
      <w:pPr>
        <w:pStyle w:val="BodyText"/>
      </w:pPr>
      <w:r w:rsidRPr="0024653D">
        <w:t xml:space="preserve">performance of key technical personnel </w:t>
      </w:r>
    </w:p>
    <w:p w:rsidR="00000000" w:rsidRPr="0024653D" w:rsidP="0024653D">
      <w:pPr>
        <w:pStyle w:val="BodyText"/>
      </w:pPr>
      <w:r w:rsidRPr="0024653D">
        <w:t xml:space="preserve">acceptability and cost of whole of life technical support including lead times </w:t>
      </w:r>
      <w:r w:rsidRPr="0024653D">
        <w:t xml:space="preserve">and availability of spares and maintenance services </w:t>
      </w:r>
    </w:p>
    <w:p w:rsidR="00000000" w:rsidRPr="0024653D" w:rsidP="0024653D">
      <w:pPr>
        <w:pStyle w:val="BodyText"/>
      </w:pPr>
      <w:r w:rsidRPr="0024653D">
        <w:t xml:space="preserve">achievements in innovation and quality improvement programs </w:t>
      </w:r>
    </w:p>
    <w:p w:rsidR="00000000" w:rsidRPr="0024653D" w:rsidP="0024653D">
      <w:pPr>
        <w:pStyle w:val="BodyText"/>
      </w:pPr>
      <w:r w:rsidRPr="0024653D">
        <w:t>acceptability and suitability for future agreements including potential status as an approved supplier</w:t>
      </w:r>
    </w:p>
    <w:p w:rsidR="00000000" w:rsidRPr="0024653D" w:rsidP="0024653D">
      <w:pPr>
        <w:pStyle w:val="BodyText"/>
      </w:pPr>
      <w:r w:rsidRPr="0024653D">
        <w:rPr>
          <w:rStyle w:val="SpecialBold"/>
        </w:rPr>
        <w:t>Evaluation of the organisation</w:t>
      </w:r>
      <w:r w:rsidRPr="0024653D">
        <w:t>'</w:t>
      </w:r>
      <w:r w:rsidRPr="0024653D">
        <w:rPr>
          <w:rStyle w:val="SpecialBold"/>
        </w:rPr>
        <w:t>s procur</w:t>
      </w:r>
      <w:r w:rsidRPr="0024653D">
        <w:rPr>
          <w:rStyle w:val="SpecialBold"/>
        </w:rPr>
        <w:t>ement processes may focus on</w:t>
      </w:r>
      <w:r w:rsidRPr="0024653D">
        <w:t>:</w:t>
      </w:r>
    </w:p>
    <w:p w:rsidR="00000000" w:rsidRPr="0024653D" w:rsidP="0024653D">
      <w:pPr>
        <w:pStyle w:val="BodyText"/>
      </w:pPr>
      <w:r w:rsidRPr="0024653D">
        <w:t xml:space="preserve">effectiveness of project management including the project plan and the responsibilities and accountabilities set out in it </w:t>
      </w:r>
    </w:p>
    <w:p w:rsidR="00000000" w:rsidRPr="0024653D" w:rsidP="0024653D">
      <w:pPr>
        <w:pStyle w:val="BodyText"/>
      </w:pPr>
      <w:r w:rsidRPr="0024653D">
        <w:t xml:space="preserve">quality of the business case, as indicated by the achievement of planned outcome and the contribution </w:t>
      </w:r>
      <w:r w:rsidRPr="0024653D">
        <w:t xml:space="preserve">to program objectives </w:t>
      </w:r>
    </w:p>
    <w:p w:rsidR="00000000" w:rsidRPr="0024653D" w:rsidP="0024653D">
      <w:pPr>
        <w:pStyle w:val="BodyText"/>
      </w:pPr>
      <w:r w:rsidRPr="0024653D">
        <w:t xml:space="preserve">effectiveness of supplier qualification processes </w:t>
      </w:r>
    </w:p>
    <w:p w:rsidR="00000000" w:rsidRPr="0024653D" w:rsidP="0024653D">
      <w:pPr>
        <w:pStyle w:val="BodyText"/>
      </w:pPr>
      <w:r w:rsidRPr="0024653D">
        <w:t xml:space="preserve">value obtained in bid clarification and post-tender negotiation </w:t>
      </w:r>
    </w:p>
    <w:p w:rsidR="00000000" w:rsidRPr="0024653D" w:rsidP="0024653D">
      <w:pPr>
        <w:pStyle w:val="BodyText"/>
      </w:pPr>
      <w:r w:rsidRPr="0024653D">
        <w:t xml:space="preserve">effectiveness of project management systems focusing particularly on management information </w:t>
      </w:r>
    </w:p>
    <w:p w:rsidR="00000000" w:rsidRPr="0024653D" w:rsidP="0024653D">
      <w:pPr>
        <w:pStyle w:val="BodyText"/>
      </w:pPr>
      <w:r w:rsidRPr="0024653D">
        <w:t>effectiveness of risk ma</w:t>
      </w:r>
      <w:r w:rsidRPr="0024653D">
        <w:t xml:space="preserve">nagement </w:t>
      </w:r>
    </w:p>
    <w:p w:rsidR="00000000" w:rsidRPr="0024653D" w:rsidP="0024653D">
      <w:pPr>
        <w:pStyle w:val="BodyText"/>
      </w:pPr>
      <w:r w:rsidRPr="0024653D">
        <w:t xml:space="preserve">methods for controlling variations in cost, time, quality and performance from the initial planning to completion </w:t>
      </w:r>
    </w:p>
    <w:p w:rsidR="00000000" w:rsidRPr="0024653D" w:rsidP="0024653D">
      <w:pPr>
        <w:pStyle w:val="BodyText"/>
      </w:pPr>
      <w:r w:rsidRPr="0024653D">
        <w:t xml:space="preserve">adequacy of safeguards against fraud, error and impropriety </w:t>
      </w:r>
    </w:p>
    <w:p w:rsidR="00000000" w:rsidRPr="0024653D" w:rsidP="0024653D">
      <w:pPr>
        <w:pStyle w:val="BodyText"/>
      </w:pPr>
      <w:r w:rsidRPr="0024653D">
        <w:t xml:space="preserve">incidence of material losses due to waste or inefficiency </w:t>
      </w:r>
    </w:p>
    <w:p w:rsidR="00000000" w:rsidRPr="0024653D" w:rsidP="0024653D">
      <w:pPr>
        <w:pStyle w:val="BodyText"/>
      </w:pPr>
      <w:r w:rsidRPr="0024653D">
        <w:t>overall per</w:t>
      </w:r>
      <w:r w:rsidRPr="0024653D">
        <w:t>formance in terms of cost, time, service and quality</w:t>
      </w:r>
    </w:p>
    <w:p w:rsidR="00000000" w:rsidRPr="0024653D" w:rsidP="0024653D">
      <w:pPr>
        <w:pStyle w:val="BodyText"/>
      </w:pPr>
      <w:r w:rsidRPr="0024653D">
        <w:rPr>
          <w:rStyle w:val="SpecialBold"/>
        </w:rPr>
        <w:t>Contract variation may include</w:t>
      </w:r>
      <w:r w:rsidRPr="0024653D">
        <w:t>:</w:t>
      </w:r>
    </w:p>
    <w:p w:rsidR="00000000" w:rsidRPr="0024653D" w:rsidP="0024653D">
      <w:pPr>
        <w:pStyle w:val="BodyText"/>
      </w:pPr>
      <w:r w:rsidRPr="0024653D">
        <w:t>modification of targets, performance measures, procurement plans, resourcing, monitoring and evaluation processes</w:t>
      </w:r>
    </w:p>
    <w:p w:rsidR="00000000" w:rsidRPr="0024653D" w:rsidP="0024653D">
      <w:pPr>
        <w:pStyle w:val="BodyText"/>
      </w:pPr>
      <w:r w:rsidRPr="0024653D">
        <w:rPr>
          <w:rStyle w:val="SpecialBold"/>
        </w:rPr>
        <w:t>Value for money must reflect</w:t>
      </w:r>
      <w:r w:rsidRPr="0024653D">
        <w:t>:</w:t>
      </w:r>
    </w:p>
    <w:p w:rsidR="00000000" w:rsidRPr="0024653D" w:rsidP="0024653D">
      <w:pPr>
        <w:pStyle w:val="BodyText"/>
      </w:pPr>
      <w:r w:rsidRPr="0024653D">
        <w:t xml:space="preserve">whole of life program benefits </w:t>
      </w:r>
    </w:p>
    <w:p w:rsidR="00000000" w:rsidRPr="0024653D" w:rsidP="0024653D">
      <w:pPr>
        <w:pStyle w:val="BodyText"/>
      </w:pPr>
      <w:r w:rsidRPr="0024653D">
        <w:t xml:space="preserve">residual values </w:t>
      </w:r>
    </w:p>
    <w:p w:rsidR="00000000" w:rsidRPr="0024653D" w:rsidP="0024653D">
      <w:pPr>
        <w:pStyle w:val="BodyText"/>
      </w:pPr>
      <w:r w:rsidRPr="0024653D">
        <w:t xml:space="preserve">costs of parts </w:t>
      </w:r>
    </w:p>
    <w:p w:rsidR="00000000" w:rsidRPr="0024653D" w:rsidP="0024653D">
      <w:pPr>
        <w:pStyle w:val="BodyText"/>
      </w:pPr>
      <w:r w:rsidRPr="0024653D">
        <w:t xml:space="preserve">servicing and maintenance </w:t>
      </w:r>
    </w:p>
    <w:p w:rsidR="00000000" w:rsidRPr="0024653D" w:rsidP="0024653D">
      <w:pPr>
        <w:pStyle w:val="BodyText"/>
      </w:pPr>
      <w:r w:rsidRPr="0024653D">
        <w:t>industry benchmarks</w:t>
      </w:r>
    </w:p>
    <w:p w:rsidR="00000000" w:rsidRPr="0024653D" w:rsidP="0024653D">
      <w:pPr>
        <w:pStyle w:val="AllowPageBreak"/>
      </w:pPr>
    </w:p>
    <w:p w:rsidR="00000000" w:rsidRPr="0024653D" w:rsidP="0024653D">
      <w:pPr>
        <w:pStyle w:val="Heading1"/>
      </w:pPr>
      <w:bookmarkStart w:id="12" w:name="O_325399"/>
      <w:bookmarkEnd w:id="12"/>
      <w:r w:rsidRPr="0024653D">
        <w:t>Unit Sector(s)</w:t>
      </w:r>
    </w:p>
    <w:p w:rsidR="00000000" w:rsidRPr="0024653D" w:rsidP="0024653D">
      <w:pPr>
        <w:pStyle w:val="BodyText"/>
      </w:pPr>
      <w:r w:rsidRPr="0024653D">
        <w:t>Not applicable.</w:t>
      </w:r>
    </w:p>
    <w:p w:rsidR="00000000" w:rsidRPr="0024653D" w:rsidP="0024653D"/>
    <w:sectPr w:rsidSect="0024653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5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3036" w:rsidP="006330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5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036" w:rsidP="002465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33036" w:rsidP="0024653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633036" w:rsidP="0024653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5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3036" w:rsidP="0063303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5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036" w:rsidP="0024653D">
    <w:pPr>
      <w:pStyle w:val="Header"/>
      <w:framePr w:wrap="around"/>
    </w:pPr>
    <w:r>
      <w:fldChar w:fldCharType="begin"/>
    </w:r>
    <w:r>
      <w:instrText xml:space="preserve"> TITLE   \* MERGEFORMAT </w:instrText>
    </w:r>
    <w:r>
      <w:fldChar w:fldCharType="separate"/>
    </w:r>
    <w:r>
      <w:t>PSPPROC602A Direct the management of contracts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33036" w:rsidP="0024653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653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4653D"/>
    <w:pPr>
      <w:spacing w:before="360" w:after="60"/>
      <w:outlineLvl w:val="0"/>
    </w:pPr>
    <w:rPr>
      <w:sz w:val="32"/>
    </w:rPr>
  </w:style>
  <w:style w:type="paragraph" w:styleId="Heading2">
    <w:name w:val="heading 2"/>
    <w:basedOn w:val="HeadingBase"/>
    <w:next w:val="BodyText"/>
    <w:link w:val="Heading2Char"/>
    <w:qFormat/>
    <w:rsid w:val="0024653D"/>
    <w:pPr>
      <w:keepLines/>
      <w:spacing w:before="240" w:after="120"/>
      <w:outlineLvl w:val="1"/>
    </w:pPr>
    <w:rPr>
      <w:sz w:val="28"/>
      <w:szCs w:val="40"/>
    </w:rPr>
  </w:style>
  <w:style w:type="paragraph" w:styleId="Heading3">
    <w:name w:val="heading 3"/>
    <w:basedOn w:val="HeadingBase"/>
    <w:next w:val="BodyText"/>
    <w:link w:val="Heading3Char"/>
    <w:qFormat/>
    <w:rsid w:val="0024653D"/>
    <w:pPr>
      <w:spacing w:before="180" w:after="120"/>
      <w:outlineLvl w:val="2"/>
    </w:pPr>
    <w:rPr>
      <w:spacing w:val="-10"/>
      <w:kern w:val="32"/>
    </w:rPr>
  </w:style>
  <w:style w:type="paragraph" w:styleId="Heading4">
    <w:name w:val="heading 4"/>
    <w:basedOn w:val="HeadingBase"/>
    <w:next w:val="BodyText"/>
    <w:link w:val="Heading4Char"/>
    <w:qFormat/>
    <w:rsid w:val="0024653D"/>
    <w:pPr>
      <w:spacing w:before="160" w:after="120"/>
      <w:outlineLvl w:val="3"/>
    </w:pPr>
    <w:rPr>
      <w:sz w:val="22"/>
    </w:rPr>
  </w:style>
  <w:style w:type="paragraph" w:styleId="Heading5">
    <w:name w:val="heading 5"/>
    <w:basedOn w:val="HeadingBase"/>
    <w:next w:val="Normal"/>
    <w:link w:val="Heading5Char"/>
    <w:qFormat/>
    <w:rsid w:val="0024653D"/>
    <w:pPr>
      <w:spacing w:before="80"/>
      <w:outlineLvl w:val="4"/>
    </w:pPr>
    <w:rPr>
      <w:color w:val="918585"/>
      <w:sz w:val="20"/>
    </w:rPr>
  </w:style>
  <w:style w:type="paragraph" w:styleId="Heading6">
    <w:name w:val="heading 6"/>
    <w:basedOn w:val="HeadingBase"/>
    <w:next w:val="Normal"/>
    <w:link w:val="Heading6Char"/>
    <w:qFormat/>
    <w:rsid w:val="0024653D"/>
    <w:pPr>
      <w:spacing w:before="60"/>
      <w:outlineLvl w:val="5"/>
    </w:pPr>
    <w:rPr>
      <w:color w:val="918585"/>
      <w:sz w:val="20"/>
    </w:rPr>
  </w:style>
  <w:style w:type="paragraph" w:styleId="Heading7">
    <w:name w:val="heading 7"/>
    <w:basedOn w:val="Normal"/>
    <w:next w:val="Normal"/>
    <w:link w:val="Heading7Char"/>
    <w:qFormat/>
    <w:rsid w:val="0024653D"/>
    <w:pPr>
      <w:ind w:left="720"/>
      <w:outlineLvl w:val="6"/>
    </w:pPr>
    <w:rPr>
      <w:i/>
    </w:rPr>
  </w:style>
  <w:style w:type="paragraph" w:styleId="Heading8">
    <w:name w:val="heading 8"/>
    <w:basedOn w:val="Normal"/>
    <w:next w:val="Normal"/>
    <w:link w:val="Heading8Char"/>
    <w:qFormat/>
    <w:rsid w:val="0024653D"/>
    <w:pPr>
      <w:ind w:left="720"/>
      <w:outlineLvl w:val="7"/>
    </w:pPr>
    <w:rPr>
      <w:i/>
    </w:rPr>
  </w:style>
  <w:style w:type="paragraph" w:styleId="Heading9">
    <w:name w:val="heading 9"/>
    <w:basedOn w:val="Normal"/>
    <w:next w:val="Normal"/>
    <w:link w:val="Heading9Char"/>
    <w:qFormat/>
    <w:rsid w:val="0024653D"/>
    <w:pPr>
      <w:ind w:left="720"/>
      <w:outlineLvl w:val="8"/>
    </w:pPr>
    <w:rPr>
      <w:i/>
    </w:rPr>
  </w:style>
  <w:style w:type="character" w:default="1" w:styleId="DefaultParagraphFont">
    <w:name w:val="Default Paragraph Font"/>
    <w:uiPriority w:val="1"/>
    <w:unhideWhenUsed/>
    <w:rsid w:val="002465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653D"/>
  </w:style>
  <w:style w:type="character" w:customStyle="1" w:styleId="Heading1Char">
    <w:name w:val="Heading 1 Char"/>
    <w:basedOn w:val="DefaultParagraphFont"/>
    <w:link w:val="Heading1"/>
    <w:rsid w:val="0024653D"/>
    <w:rPr>
      <w:rFonts w:ascii="Times New Roman" w:eastAsia="Times New Roman" w:hAnsi="Times New Roman" w:cs="Times New Roman"/>
      <w:b/>
      <w:sz w:val="32"/>
      <w:szCs w:val="20"/>
      <w:lang w:eastAsia="en-US"/>
    </w:rPr>
  </w:style>
  <w:style w:type="paragraph" w:styleId="BodyText">
    <w:name w:val="Body Text"/>
    <w:basedOn w:val="Normal"/>
    <w:link w:val="BodyTextChar"/>
    <w:rsid w:val="0024653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4653D"/>
    <w:rPr>
      <w:rFonts w:ascii="Times New Roman" w:eastAsia="Times New Roman" w:hAnsi="Times New Roman" w:cs="Times New Roman"/>
      <w:sz w:val="24"/>
      <w:lang w:val="en-US" w:eastAsia="en-US"/>
    </w:rPr>
  </w:style>
  <w:style w:type="paragraph" w:styleId="Footer">
    <w:name w:val="footer"/>
    <w:basedOn w:val="Normal"/>
    <w:link w:val="FooterChar"/>
    <w:rsid w:val="002465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653D"/>
    <w:rPr>
      <w:rFonts w:ascii="Times New Roman" w:eastAsia="Times New Roman" w:hAnsi="Times New Roman" w:cs="Times New Roman"/>
      <w:sz w:val="16"/>
      <w:lang w:val="en-US" w:eastAsia="en-US"/>
    </w:rPr>
  </w:style>
  <w:style w:type="character" w:customStyle="1" w:styleId="SpecialBold">
    <w:name w:val="Special Bold"/>
    <w:basedOn w:val="DefaultParagraphFont"/>
    <w:rsid w:val="0024653D"/>
    <w:rPr>
      <w:b/>
      <w:spacing w:val="0"/>
    </w:rPr>
  </w:style>
  <w:style w:type="paragraph" w:styleId="Header">
    <w:name w:val="header"/>
    <w:basedOn w:val="Normal"/>
    <w:link w:val="HeaderChar"/>
    <w:rsid w:val="002465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653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4653D"/>
    <w:pPr>
      <w:spacing w:before="240" w:after="120"/>
      <w:outlineLvl w:val="0"/>
    </w:pPr>
    <w:rPr>
      <w:rFonts w:ascii="Times New Roman" w:hAnsi="Times New Roman"/>
      <w:b/>
      <w:sz w:val="28"/>
    </w:rPr>
  </w:style>
  <w:style w:type="paragraph" w:customStyle="1" w:styleId="AllowPageBreak">
    <w:name w:val="AllowPageBreak"/>
    <w:rsid w:val="0024653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465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65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65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65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65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653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4653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4653D"/>
    <w:rPr>
      <w:rFonts w:ascii="Courier New" w:eastAsia="Times New Roman" w:hAnsi="Courier New" w:cs="Times New Roman"/>
      <w:i/>
      <w:szCs w:val="20"/>
      <w:lang w:val="en-US" w:eastAsia="en-US"/>
    </w:rPr>
  </w:style>
  <w:style w:type="paragraph" w:customStyle="1" w:styleId="HeadingBase">
    <w:name w:val="Heading Base"/>
    <w:rsid w:val="002465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653D"/>
    <w:pPr>
      <w:tabs>
        <w:tab w:val="right" w:leader="dot" w:pos="9072"/>
      </w:tabs>
      <w:ind w:left="567"/>
    </w:pPr>
    <w:rPr>
      <w:szCs w:val="22"/>
    </w:rPr>
  </w:style>
  <w:style w:type="paragraph" w:customStyle="1" w:styleId="TOCBase">
    <w:name w:val="TOC Base"/>
    <w:rsid w:val="002465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653D"/>
    <w:pPr>
      <w:tabs>
        <w:tab w:val="right" w:leader="dot" w:pos="9072"/>
      </w:tabs>
      <w:spacing w:before="40" w:after="40"/>
      <w:ind w:left="284"/>
    </w:pPr>
    <w:rPr>
      <w:rFonts w:ascii="Times New Roman" w:hAnsi="Times New Roman"/>
    </w:rPr>
  </w:style>
  <w:style w:type="paragraph" w:styleId="TOC1">
    <w:name w:val="toc 1"/>
    <w:basedOn w:val="TOCBase"/>
    <w:next w:val="Normal"/>
    <w:rsid w:val="0024653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4653D"/>
    <w:pPr>
      <w:spacing w:before="5040"/>
      <w:jc w:val="center"/>
    </w:pPr>
    <w:rPr>
      <w:sz w:val="48"/>
      <w:szCs w:val="72"/>
      <w:lang w:val="en-US"/>
    </w:rPr>
  </w:style>
  <w:style w:type="character" w:customStyle="1" w:styleId="TitleChar">
    <w:name w:val="Title Char"/>
    <w:basedOn w:val="DefaultParagraphFont"/>
    <w:link w:val="Title"/>
    <w:rsid w:val="002465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653D"/>
    <w:pPr>
      <w:tabs>
        <w:tab w:val="left" w:pos="3600"/>
        <w:tab w:val="left" w:pos="3958"/>
      </w:tabs>
    </w:pPr>
  </w:style>
  <w:style w:type="paragraph" w:styleId="List">
    <w:name w:val="List"/>
    <w:basedOn w:val="BodyText"/>
    <w:next w:val="BodyText"/>
    <w:rsid w:val="0024653D"/>
    <w:pPr>
      <w:tabs>
        <w:tab w:val="left" w:pos="340"/>
      </w:tabs>
      <w:spacing w:before="60" w:after="60"/>
      <w:ind w:left="340" w:hanging="340"/>
    </w:pPr>
  </w:style>
  <w:style w:type="paragraph" w:styleId="ListBullet">
    <w:name w:val="List Bullet"/>
    <w:basedOn w:val="List"/>
    <w:rsid w:val="0024653D"/>
    <w:pPr>
      <w:numPr>
        <w:numId w:val="11"/>
      </w:numPr>
      <w:tabs>
        <w:tab w:val="clear" w:pos="340"/>
      </w:tabs>
      <w:spacing w:before="40" w:after="40"/>
    </w:pPr>
  </w:style>
  <w:style w:type="paragraph" w:customStyle="1" w:styleId="Note">
    <w:name w:val="Note"/>
    <w:basedOn w:val="BodyText"/>
    <w:rsid w:val="002465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653D"/>
    <w:pPr>
      <w:framePr w:wrap="auto" w:hAnchor="text" w:y="6049"/>
    </w:pPr>
    <w:rPr>
      <w:color w:val="000000"/>
      <w:sz w:val="40"/>
    </w:rPr>
  </w:style>
  <w:style w:type="paragraph" w:customStyle="1" w:styleId="TOCTitle">
    <w:name w:val="TOCTitle"/>
    <w:basedOn w:val="Heading1"/>
    <w:rsid w:val="0024653D"/>
    <w:pPr>
      <w:spacing w:after="240"/>
      <w:jc w:val="center"/>
      <w:outlineLvl w:val="9"/>
    </w:pPr>
    <w:rPr>
      <w:caps/>
    </w:rPr>
  </w:style>
  <w:style w:type="paragraph" w:customStyle="1" w:styleId="Version">
    <w:name w:val="Version"/>
    <w:rsid w:val="0024653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4653D"/>
    <w:pPr>
      <w:numPr>
        <w:numId w:val="12"/>
      </w:numPr>
      <w:tabs>
        <w:tab w:val="clear" w:pos="680"/>
      </w:tabs>
    </w:pPr>
  </w:style>
  <w:style w:type="paragraph" w:styleId="Index1">
    <w:name w:val="index 1"/>
    <w:basedOn w:val="Normal"/>
    <w:next w:val="Normal"/>
    <w:semiHidden/>
    <w:rsid w:val="0024653D"/>
    <w:pPr>
      <w:keepNext w:val="0"/>
      <w:tabs>
        <w:tab w:val="right" w:pos="4176"/>
      </w:tabs>
      <w:ind w:left="198" w:hanging="198"/>
    </w:pPr>
    <w:rPr>
      <w:rFonts w:ascii="Garamond" w:hAnsi="Garamond"/>
    </w:rPr>
  </w:style>
  <w:style w:type="paragraph" w:styleId="IndexHeading">
    <w:name w:val="index heading"/>
    <w:basedOn w:val="Normal"/>
    <w:next w:val="Index1"/>
    <w:semiHidden/>
    <w:rsid w:val="0024653D"/>
    <w:pPr>
      <w:spacing w:before="120" w:after="120"/>
    </w:pPr>
    <w:rPr>
      <w:rFonts w:ascii="Arial" w:hAnsi="Arial"/>
      <w:b/>
      <w:color w:val="918585"/>
      <w:sz w:val="24"/>
    </w:rPr>
  </w:style>
  <w:style w:type="paragraph" w:customStyle="1" w:styleId="Chapter">
    <w:name w:val="Chapter"/>
    <w:basedOn w:val="Normal"/>
    <w:rsid w:val="0024653D"/>
    <w:pPr>
      <w:spacing w:before="240"/>
    </w:pPr>
    <w:rPr>
      <w:rFonts w:ascii="Times New Roman" w:hAnsi="Times New Roman"/>
      <w:smallCaps/>
      <w:spacing w:val="80"/>
      <w:sz w:val="28"/>
    </w:rPr>
  </w:style>
  <w:style w:type="paragraph" w:customStyle="1" w:styleId="InChapter">
    <w:name w:val="InChapter"/>
    <w:basedOn w:val="Heading3"/>
    <w:rsid w:val="0024653D"/>
    <w:pPr>
      <w:spacing w:after="240"/>
      <w:outlineLvl w:val="9"/>
    </w:pPr>
    <w:rPr>
      <w:noProof/>
    </w:rPr>
  </w:style>
  <w:style w:type="paragraph" w:styleId="Index2">
    <w:name w:val="index 2"/>
    <w:basedOn w:val="Normal"/>
    <w:next w:val="Normal"/>
    <w:semiHidden/>
    <w:rsid w:val="0024653D"/>
    <w:pPr>
      <w:tabs>
        <w:tab w:val="right" w:pos="4176"/>
      </w:tabs>
      <w:ind w:left="568" w:hanging="284"/>
    </w:pPr>
    <w:rPr>
      <w:rFonts w:ascii="Garamond" w:hAnsi="Garamond"/>
    </w:rPr>
  </w:style>
  <w:style w:type="paragraph" w:customStyle="1" w:styleId="Byline">
    <w:name w:val="Byline"/>
    <w:rsid w:val="002465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653D"/>
    <w:pPr>
      <w:tabs>
        <w:tab w:val="clear" w:pos="3600"/>
        <w:tab w:val="clear" w:pos="3958"/>
      </w:tabs>
      <w:jc w:val="right"/>
    </w:pPr>
  </w:style>
  <w:style w:type="character" w:styleId="Emphasis">
    <w:name w:val="Emphasis"/>
    <w:basedOn w:val="DefaultParagraphFont"/>
    <w:qFormat/>
    <w:rsid w:val="0024653D"/>
    <w:rPr>
      <w:i/>
    </w:rPr>
  </w:style>
  <w:style w:type="paragraph" w:styleId="Caption">
    <w:name w:val="caption"/>
    <w:basedOn w:val="BodyText"/>
    <w:next w:val="Normal"/>
    <w:qFormat/>
    <w:rsid w:val="0024653D"/>
    <w:pPr>
      <w:framePr w:w="2268" w:hSpace="181" w:vSpace="181" w:wrap="around" w:vAnchor="text" w:hAnchor="page" w:x="1135" w:y="285" w:anchorLock="1"/>
    </w:pPr>
    <w:rPr>
      <w:i/>
    </w:rPr>
  </w:style>
  <w:style w:type="paragraph" w:customStyle="1" w:styleId="MiniTOCTitle">
    <w:name w:val="MiniTOCTitle"/>
    <w:basedOn w:val="Heading4"/>
    <w:rsid w:val="0024653D"/>
    <w:pPr>
      <w:spacing w:before="240"/>
      <w:outlineLvl w:val="9"/>
    </w:pPr>
    <w:rPr>
      <w:noProof/>
      <w:sz w:val="24"/>
    </w:rPr>
  </w:style>
  <w:style w:type="paragraph" w:customStyle="1" w:styleId="MiniTOCItem">
    <w:name w:val="MiniTOCItem"/>
    <w:basedOn w:val="ListBullet"/>
    <w:rsid w:val="0024653D"/>
    <w:pPr>
      <w:numPr>
        <w:numId w:val="0"/>
      </w:numPr>
      <w:tabs>
        <w:tab w:val="right" w:leader="dot" w:pos="6521"/>
      </w:tabs>
      <w:spacing w:before="0" w:after="0"/>
    </w:pPr>
  </w:style>
  <w:style w:type="paragraph" w:customStyle="1" w:styleId="TOFTitle">
    <w:name w:val="TOFTitle"/>
    <w:basedOn w:val="TOCTitle"/>
    <w:rsid w:val="0024653D"/>
  </w:style>
  <w:style w:type="paragraph" w:styleId="TableofFigures">
    <w:name w:val="table of figures"/>
    <w:basedOn w:val="Normal"/>
    <w:next w:val="Normal"/>
    <w:semiHidden/>
    <w:rsid w:val="0024653D"/>
    <w:pPr>
      <w:tabs>
        <w:tab w:val="right" w:leader="dot" w:pos="9072"/>
      </w:tabs>
      <w:ind w:left="970" w:hanging="403"/>
    </w:pPr>
    <w:rPr>
      <w:rFonts w:ascii="Times New Roman" w:hAnsi="Times New Roman"/>
      <w:b/>
    </w:rPr>
  </w:style>
  <w:style w:type="paragraph" w:styleId="ListNumber">
    <w:name w:val="List Number"/>
    <w:basedOn w:val="List"/>
    <w:rsid w:val="0024653D"/>
    <w:pPr>
      <w:numPr>
        <w:numId w:val="9"/>
      </w:numPr>
    </w:pPr>
  </w:style>
  <w:style w:type="character" w:customStyle="1" w:styleId="WingdingSymbols">
    <w:name w:val="Wingding Symbols"/>
    <w:rsid w:val="0024653D"/>
    <w:rPr>
      <w:rFonts w:ascii="Wingdings" w:hAnsi="Wingdings"/>
    </w:rPr>
  </w:style>
  <w:style w:type="paragraph" w:customStyle="1" w:styleId="TableHeading">
    <w:name w:val="Table Heading"/>
    <w:basedOn w:val="HeadingBase"/>
    <w:rsid w:val="0024653D"/>
    <w:pPr>
      <w:keepLines/>
      <w:pBdr>
        <w:bottom w:val="single" w:sz="6" w:space="1" w:color="918585"/>
      </w:pBdr>
      <w:spacing w:before="240"/>
    </w:pPr>
  </w:style>
  <w:style w:type="character" w:customStyle="1" w:styleId="HotSpot">
    <w:name w:val="HotSpot"/>
    <w:rsid w:val="0024653D"/>
    <w:rPr>
      <w:color w:val="0033CC"/>
      <w:u w:val="none"/>
    </w:rPr>
  </w:style>
  <w:style w:type="paragraph" w:customStyle="1" w:styleId="BodyTextRight">
    <w:name w:val="Body Text Right"/>
    <w:basedOn w:val="BodyText"/>
    <w:rsid w:val="0024653D"/>
    <w:pPr>
      <w:spacing w:before="0" w:after="0"/>
      <w:jc w:val="right"/>
    </w:pPr>
  </w:style>
  <w:style w:type="paragraph" w:styleId="Index3">
    <w:name w:val="index 3"/>
    <w:basedOn w:val="ListNumber2"/>
    <w:next w:val="Normal"/>
    <w:semiHidden/>
    <w:rsid w:val="0024653D"/>
    <w:pPr>
      <w:numPr>
        <w:numId w:val="0"/>
      </w:numPr>
      <w:tabs>
        <w:tab w:val="right" w:leader="dot" w:pos="4176"/>
      </w:tabs>
    </w:pPr>
  </w:style>
  <w:style w:type="paragraph" w:styleId="ListNumber2">
    <w:name w:val="List Number 2"/>
    <w:basedOn w:val="List2"/>
    <w:rsid w:val="0024653D"/>
    <w:pPr>
      <w:numPr>
        <w:numId w:val="8"/>
      </w:numPr>
      <w:tabs>
        <w:tab w:val="clear" w:pos="1060"/>
      </w:tabs>
    </w:pPr>
  </w:style>
  <w:style w:type="paragraph" w:customStyle="1" w:styleId="MarginNote">
    <w:name w:val="Margin Note"/>
    <w:basedOn w:val="BodyText"/>
    <w:rsid w:val="002465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65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653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4653D"/>
    <w:rPr>
      <w:sz w:val="32"/>
    </w:rPr>
  </w:style>
  <w:style w:type="paragraph" w:customStyle="1" w:styleId="HeadingProcedure">
    <w:name w:val="Heading Procedure"/>
    <w:basedOn w:val="HeadingBase"/>
    <w:next w:val="Normal"/>
    <w:rsid w:val="0024653D"/>
    <w:pPr>
      <w:tabs>
        <w:tab w:val="left" w:pos="0"/>
      </w:tabs>
      <w:spacing w:before="120" w:after="60"/>
    </w:pPr>
    <w:rPr>
      <w:i/>
      <w:color w:val="918585"/>
      <w:sz w:val="22"/>
    </w:rPr>
  </w:style>
  <w:style w:type="paragraph" w:customStyle="1" w:styleId="TableBodyText">
    <w:name w:val="Table Body Text"/>
    <w:basedOn w:val="BodyText"/>
    <w:rsid w:val="0024653D"/>
    <w:pPr>
      <w:spacing w:before="60" w:after="60"/>
    </w:pPr>
  </w:style>
  <w:style w:type="paragraph" w:styleId="ListContinue">
    <w:name w:val="List Continue"/>
    <w:basedOn w:val="List"/>
    <w:rsid w:val="0024653D"/>
    <w:pPr>
      <w:ind w:firstLine="0"/>
    </w:pPr>
  </w:style>
  <w:style w:type="paragraph" w:customStyle="1" w:styleId="ListNote">
    <w:name w:val="List Note"/>
    <w:basedOn w:val="List"/>
    <w:rsid w:val="0024653D"/>
    <w:pPr>
      <w:pBdr>
        <w:top w:val="single" w:sz="6" w:space="2" w:color="918585"/>
        <w:bottom w:val="single" w:sz="6" w:space="2" w:color="918585"/>
      </w:pBdr>
      <w:tabs>
        <w:tab w:val="left" w:pos="1021"/>
      </w:tabs>
      <w:ind w:firstLine="0"/>
    </w:pPr>
  </w:style>
  <w:style w:type="paragraph" w:customStyle="1" w:styleId="Warning">
    <w:name w:val="Warning"/>
    <w:basedOn w:val="BodyText"/>
    <w:rsid w:val="0024653D"/>
    <w:pPr>
      <w:shd w:val="clear" w:color="auto" w:fill="D9D9D9"/>
      <w:tabs>
        <w:tab w:val="left" w:pos="992"/>
      </w:tabs>
      <w:ind w:left="119" w:right="119"/>
    </w:pPr>
    <w:rPr>
      <w:sz w:val="20"/>
    </w:rPr>
  </w:style>
  <w:style w:type="paragraph" w:customStyle="1" w:styleId="MarginIcons">
    <w:name w:val="Margin Icons"/>
    <w:basedOn w:val="BodyText"/>
    <w:rsid w:val="002465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653D"/>
    <w:rPr>
      <w:rFonts w:ascii="Courier New" w:hAnsi="Courier New"/>
    </w:rPr>
  </w:style>
  <w:style w:type="paragraph" w:customStyle="1" w:styleId="NoteBullet">
    <w:name w:val="Note Bullet"/>
    <w:basedOn w:val="Note"/>
    <w:rsid w:val="0024653D"/>
    <w:pPr>
      <w:tabs>
        <w:tab w:val="clear" w:pos="680"/>
      </w:tabs>
      <w:spacing w:before="60" w:after="60"/>
    </w:pPr>
  </w:style>
  <w:style w:type="paragraph" w:customStyle="1" w:styleId="SubHeading2">
    <w:name w:val="SubHeading2"/>
    <w:basedOn w:val="HeadingBase"/>
    <w:rsid w:val="0024653D"/>
    <w:pPr>
      <w:spacing w:before="240" w:after="60"/>
    </w:pPr>
    <w:rPr>
      <w:sz w:val="20"/>
    </w:rPr>
  </w:style>
  <w:style w:type="paragraph" w:customStyle="1" w:styleId="SubHeading1">
    <w:name w:val="SubHeading1"/>
    <w:basedOn w:val="HeadingBase"/>
    <w:rsid w:val="0024653D"/>
    <w:pPr>
      <w:spacing w:before="240" w:after="60"/>
    </w:pPr>
    <w:rPr>
      <w:color w:val="918585"/>
      <w:sz w:val="22"/>
    </w:rPr>
  </w:style>
  <w:style w:type="paragraph" w:customStyle="1" w:styleId="SideHeading">
    <w:name w:val="Side Heading"/>
    <w:basedOn w:val="HeadingBase"/>
    <w:rsid w:val="002465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653D"/>
    <w:pPr>
      <w:numPr>
        <w:numId w:val="10"/>
      </w:numPr>
    </w:pPr>
  </w:style>
  <w:style w:type="paragraph" w:styleId="PlainText">
    <w:name w:val="Plain Text"/>
    <w:basedOn w:val="Normal"/>
    <w:link w:val="PlainTextChar"/>
    <w:rsid w:val="0024653D"/>
    <w:rPr>
      <w:sz w:val="20"/>
    </w:rPr>
  </w:style>
  <w:style w:type="character" w:customStyle="1" w:styleId="PlainTextChar">
    <w:name w:val="Plain Text Char"/>
    <w:basedOn w:val="DefaultParagraphFont"/>
    <w:link w:val="PlainText"/>
    <w:rsid w:val="0024653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4653D"/>
    <w:rPr>
      <w:b/>
      <w:smallCaps/>
    </w:rPr>
  </w:style>
  <w:style w:type="paragraph" w:customStyle="1" w:styleId="TableListNumber">
    <w:name w:val="Table List Number"/>
    <w:basedOn w:val="ListNumber"/>
    <w:rsid w:val="0024653D"/>
    <w:pPr>
      <w:numPr>
        <w:numId w:val="0"/>
      </w:numPr>
    </w:pPr>
  </w:style>
  <w:style w:type="paragraph" w:styleId="TOC4">
    <w:name w:val="toc 4"/>
    <w:basedOn w:val="TOCBase"/>
    <w:next w:val="Normal"/>
    <w:semiHidden/>
    <w:rsid w:val="0024653D"/>
    <w:pPr>
      <w:tabs>
        <w:tab w:val="right" w:leader="dot" w:pos="9071"/>
      </w:tabs>
      <w:ind w:left="1701"/>
    </w:pPr>
  </w:style>
  <w:style w:type="paragraph" w:customStyle="1" w:styleId="ListAlpha">
    <w:name w:val="List Alpha"/>
    <w:basedOn w:val="List"/>
    <w:rsid w:val="0024653D"/>
    <w:pPr>
      <w:numPr>
        <w:numId w:val="7"/>
      </w:numPr>
    </w:pPr>
  </w:style>
  <w:style w:type="paragraph" w:customStyle="1" w:styleId="ListAlpha2">
    <w:name w:val="List Alpha 2"/>
    <w:basedOn w:val="List2"/>
    <w:rsid w:val="0024653D"/>
    <w:pPr>
      <w:numPr>
        <w:numId w:val="6"/>
      </w:numPr>
    </w:pPr>
  </w:style>
  <w:style w:type="paragraph" w:styleId="List2">
    <w:name w:val="List 2"/>
    <w:basedOn w:val="BodyText"/>
    <w:rsid w:val="0024653D"/>
    <w:pPr>
      <w:tabs>
        <w:tab w:val="left" w:pos="680"/>
      </w:tabs>
      <w:spacing w:before="60" w:after="60"/>
      <w:ind w:left="680" w:hanging="340"/>
    </w:pPr>
  </w:style>
  <w:style w:type="paragraph" w:styleId="List3">
    <w:name w:val="List 3"/>
    <w:basedOn w:val="BodyText"/>
    <w:rsid w:val="0024653D"/>
    <w:pPr>
      <w:tabs>
        <w:tab w:val="left" w:pos="1021"/>
      </w:tabs>
      <w:spacing w:before="60" w:after="60"/>
      <w:ind w:left="1020" w:hanging="340"/>
    </w:pPr>
  </w:style>
  <w:style w:type="paragraph" w:styleId="List4">
    <w:name w:val="List 4"/>
    <w:basedOn w:val="BodyText"/>
    <w:rsid w:val="0024653D"/>
    <w:pPr>
      <w:tabs>
        <w:tab w:val="left" w:pos="1361"/>
      </w:tabs>
      <w:spacing w:before="60" w:after="60"/>
      <w:ind w:left="1361" w:hanging="340"/>
    </w:pPr>
  </w:style>
  <w:style w:type="paragraph" w:styleId="List5">
    <w:name w:val="List 5"/>
    <w:basedOn w:val="BodyText"/>
    <w:rsid w:val="0024653D"/>
    <w:pPr>
      <w:tabs>
        <w:tab w:val="left" w:pos="1701"/>
      </w:tabs>
      <w:spacing w:before="60" w:after="60"/>
      <w:ind w:left="1701" w:hanging="340"/>
    </w:pPr>
  </w:style>
  <w:style w:type="paragraph" w:styleId="ListBullet3">
    <w:name w:val="List Bullet 3"/>
    <w:basedOn w:val="List3"/>
    <w:rsid w:val="0024653D"/>
    <w:pPr>
      <w:numPr>
        <w:numId w:val="13"/>
      </w:numPr>
      <w:tabs>
        <w:tab w:val="clear" w:pos="1021"/>
      </w:tabs>
      <w:ind w:left="1037" w:hanging="357"/>
    </w:pPr>
  </w:style>
  <w:style w:type="paragraph" w:styleId="ListBullet4">
    <w:name w:val="List Bullet 4"/>
    <w:basedOn w:val="List4"/>
    <w:rsid w:val="0024653D"/>
    <w:pPr>
      <w:numPr>
        <w:numId w:val="1"/>
      </w:numPr>
    </w:pPr>
  </w:style>
  <w:style w:type="paragraph" w:styleId="ListBullet5">
    <w:name w:val="List Bullet 5"/>
    <w:basedOn w:val="List5"/>
    <w:rsid w:val="0024653D"/>
    <w:pPr>
      <w:numPr>
        <w:numId w:val="2"/>
      </w:numPr>
    </w:pPr>
  </w:style>
  <w:style w:type="paragraph" w:styleId="ListContinue2">
    <w:name w:val="List Continue 2"/>
    <w:basedOn w:val="List2"/>
    <w:rsid w:val="0024653D"/>
    <w:pPr>
      <w:ind w:firstLine="0"/>
    </w:pPr>
  </w:style>
  <w:style w:type="paragraph" w:styleId="ListContinue3">
    <w:name w:val="List Continue 3"/>
    <w:basedOn w:val="List3"/>
    <w:rsid w:val="0024653D"/>
    <w:pPr>
      <w:ind w:left="1021" w:firstLine="0"/>
    </w:pPr>
  </w:style>
  <w:style w:type="paragraph" w:styleId="ListContinue4">
    <w:name w:val="List Continue 4"/>
    <w:basedOn w:val="List4"/>
    <w:rsid w:val="0024653D"/>
    <w:pPr>
      <w:ind w:firstLine="0"/>
    </w:pPr>
  </w:style>
  <w:style w:type="paragraph" w:styleId="ListContinue5">
    <w:name w:val="List Continue 5"/>
    <w:basedOn w:val="List5"/>
    <w:rsid w:val="0024653D"/>
    <w:pPr>
      <w:ind w:firstLine="0"/>
    </w:pPr>
  </w:style>
  <w:style w:type="paragraph" w:styleId="ListNumber3">
    <w:name w:val="List Number 3"/>
    <w:basedOn w:val="List3"/>
    <w:rsid w:val="0024653D"/>
    <w:pPr>
      <w:numPr>
        <w:numId w:val="3"/>
      </w:numPr>
    </w:pPr>
  </w:style>
  <w:style w:type="paragraph" w:styleId="ListNumber4">
    <w:name w:val="List Number 4"/>
    <w:basedOn w:val="List4"/>
    <w:rsid w:val="0024653D"/>
    <w:pPr>
      <w:numPr>
        <w:numId w:val="4"/>
      </w:numPr>
    </w:pPr>
  </w:style>
  <w:style w:type="paragraph" w:styleId="ListNumber5">
    <w:name w:val="List Number 5"/>
    <w:basedOn w:val="List5"/>
    <w:rsid w:val="0024653D"/>
    <w:pPr>
      <w:numPr>
        <w:numId w:val="5"/>
      </w:numPr>
    </w:pPr>
  </w:style>
  <w:style w:type="paragraph" w:styleId="BlockText">
    <w:name w:val="Block Text"/>
    <w:basedOn w:val="Normal"/>
    <w:rsid w:val="0024653D"/>
    <w:pPr>
      <w:spacing w:after="120"/>
      <w:ind w:left="1440" w:right="1440"/>
    </w:pPr>
  </w:style>
  <w:style w:type="character" w:customStyle="1" w:styleId="Subscript">
    <w:name w:val="Subscript"/>
    <w:basedOn w:val="DefaultParagraphFont"/>
    <w:rsid w:val="0024653D"/>
    <w:rPr>
      <w:sz w:val="16"/>
      <w:vertAlign w:val="subscript"/>
    </w:rPr>
  </w:style>
  <w:style w:type="character" w:customStyle="1" w:styleId="Superscript">
    <w:name w:val="Superscript"/>
    <w:basedOn w:val="DefaultParagraphFont"/>
    <w:rsid w:val="0024653D"/>
    <w:rPr>
      <w:sz w:val="16"/>
      <w:vertAlign w:val="superscript"/>
    </w:rPr>
  </w:style>
  <w:style w:type="character" w:customStyle="1" w:styleId="Symbols">
    <w:name w:val="Symbols"/>
    <w:basedOn w:val="DefaultParagraphFont"/>
    <w:rsid w:val="0024653D"/>
    <w:rPr>
      <w:rFonts w:ascii="Symbol" w:hAnsi="Symbol"/>
    </w:rPr>
  </w:style>
  <w:style w:type="character" w:customStyle="1" w:styleId="MenuOptions">
    <w:name w:val="Menu Options"/>
    <w:basedOn w:val="DefaultParagraphFont"/>
    <w:rsid w:val="0024653D"/>
    <w:rPr>
      <w:rFonts w:ascii="Arial Narrow" w:hAnsi="Arial Narrow"/>
      <w:smallCaps/>
    </w:rPr>
  </w:style>
  <w:style w:type="character" w:customStyle="1" w:styleId="Buttons">
    <w:name w:val="Buttons"/>
    <w:basedOn w:val="DefaultParagraphFont"/>
    <w:rsid w:val="0024653D"/>
    <w:rPr>
      <w:b/>
    </w:rPr>
  </w:style>
  <w:style w:type="character" w:customStyle="1" w:styleId="Underlined">
    <w:name w:val="Underlined"/>
    <w:basedOn w:val="DefaultParagraphFont"/>
    <w:rsid w:val="0024653D"/>
    <w:rPr>
      <w:u w:val="single"/>
    </w:rPr>
  </w:style>
  <w:style w:type="paragraph" w:customStyle="1" w:styleId="TableBodyTextRight">
    <w:name w:val="Table Body Text Right"/>
    <w:basedOn w:val="TableBodyText"/>
    <w:rsid w:val="0024653D"/>
    <w:pPr>
      <w:widowControl w:val="0"/>
      <w:autoSpaceDE w:val="0"/>
      <w:autoSpaceDN w:val="0"/>
      <w:adjustRightInd w:val="0"/>
      <w:jc w:val="right"/>
    </w:pPr>
    <w:rPr>
      <w:rFonts w:cs="Arial"/>
      <w:szCs w:val="18"/>
    </w:rPr>
  </w:style>
  <w:style w:type="paragraph" w:customStyle="1" w:styleId="CopyrightText">
    <w:name w:val="Copyright Text"/>
    <w:basedOn w:val="BodyText"/>
    <w:rsid w:val="0024653D"/>
    <w:rPr>
      <w:sz w:val="18"/>
    </w:rPr>
  </w:style>
  <w:style w:type="paragraph" w:customStyle="1" w:styleId="BodySmallRight">
    <w:name w:val="Body Small Right"/>
    <w:basedOn w:val="BodyTextRight"/>
    <w:rsid w:val="0024653D"/>
    <w:rPr>
      <w:sz w:val="18"/>
      <w:szCs w:val="18"/>
    </w:rPr>
  </w:style>
  <w:style w:type="paragraph" w:customStyle="1" w:styleId="MarginEdition">
    <w:name w:val="Margin Edition"/>
    <w:basedOn w:val="MarginNote"/>
    <w:rsid w:val="0024653D"/>
    <w:pPr>
      <w:spacing w:before="0" w:after="0"/>
    </w:pPr>
    <w:rPr>
      <w:rFonts w:ascii="Times New Roman" w:hAnsi="Times New Roman"/>
      <w:color w:val="999999"/>
    </w:rPr>
  </w:style>
  <w:style w:type="paragraph" w:customStyle="1" w:styleId="Spacer">
    <w:name w:val="Spacer"/>
    <w:basedOn w:val="Normal"/>
    <w:rsid w:val="0024653D"/>
    <w:rPr>
      <w:sz w:val="2"/>
      <w:szCs w:val="2"/>
    </w:rPr>
  </w:style>
  <w:style w:type="character" w:customStyle="1" w:styleId="Small">
    <w:name w:val="Small"/>
    <w:basedOn w:val="DefaultParagraphFont"/>
    <w:rsid w:val="0024653D"/>
    <w:rPr>
      <w:sz w:val="16"/>
    </w:rPr>
  </w:style>
  <w:style w:type="paragraph" w:customStyle="1" w:styleId="WideTable">
    <w:name w:val="Wide Table"/>
    <w:basedOn w:val="Normal"/>
    <w:rsid w:val="0024653D"/>
    <w:pPr>
      <w:ind w:left="-1418"/>
    </w:pPr>
    <w:rPr>
      <w:sz w:val="2"/>
      <w:szCs w:val="2"/>
    </w:rPr>
  </w:style>
  <w:style w:type="character" w:styleId="PageNumber">
    <w:name w:val="page number"/>
    <w:basedOn w:val="DefaultParagraphFont"/>
    <w:rsid w:val="0024653D"/>
  </w:style>
  <w:style w:type="paragraph" w:styleId="Quote">
    <w:name w:val="Quote"/>
    <w:basedOn w:val="Heading1"/>
    <w:link w:val="QuoteChar"/>
    <w:qFormat/>
    <w:rsid w:val="0024653D"/>
    <w:rPr>
      <w:b w:val="0"/>
      <w:sz w:val="72"/>
      <w:szCs w:val="72"/>
      <w:lang w:val="en-NZ"/>
    </w:rPr>
  </w:style>
  <w:style w:type="character" w:customStyle="1" w:styleId="QuoteChar">
    <w:name w:val="Quote Char"/>
    <w:basedOn w:val="DefaultParagraphFont"/>
    <w:link w:val="Quote"/>
    <w:rsid w:val="002465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653D"/>
    <w:pPr>
      <w:pageBreakBefore/>
    </w:pPr>
  </w:style>
  <w:style w:type="paragraph" w:customStyle="1" w:styleId="Border">
    <w:name w:val="Border"/>
    <w:basedOn w:val="Normal"/>
    <w:qFormat/>
    <w:rsid w:val="002465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653D"/>
    <w:rPr>
      <w:b/>
      <w:bCs/>
      <w:i/>
      <w:iCs/>
      <w:color w:val="auto"/>
    </w:rPr>
  </w:style>
  <w:style w:type="paragraph" w:styleId="IntenseQuote">
    <w:name w:val="Intense Quote"/>
    <w:basedOn w:val="Normal"/>
    <w:next w:val="Normal"/>
    <w:link w:val="IntenseQuoteChar"/>
    <w:uiPriority w:val="30"/>
    <w:qFormat/>
    <w:rsid w:val="002465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653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4653D"/>
    <w:rPr>
      <w:smallCaps/>
      <w:color w:val="auto"/>
      <w:u w:val="single"/>
    </w:rPr>
  </w:style>
  <w:style w:type="character" w:styleId="IntenseReference">
    <w:name w:val="Intense Reference"/>
    <w:basedOn w:val="DefaultParagraphFont"/>
    <w:uiPriority w:val="32"/>
    <w:qFormat/>
    <w:rsid w:val="0024653D"/>
    <w:rPr>
      <w:b/>
      <w:bCs/>
      <w:smallCaps/>
      <w:color w:val="auto"/>
      <w:spacing w:val="5"/>
      <w:u w:val="single"/>
    </w:rPr>
  </w:style>
  <w:style w:type="paragraph" w:customStyle="1" w:styleId="2ColumnHeading">
    <w:name w:val="2Column Heading"/>
    <w:basedOn w:val="BodyText"/>
    <w:qFormat/>
    <w:rsid w:val="0024653D"/>
    <w:pPr>
      <w:spacing w:after="60"/>
      <w:ind w:left="-2268"/>
    </w:pPr>
    <w:rPr>
      <w:b/>
    </w:rPr>
  </w:style>
  <w:style w:type="paragraph" w:customStyle="1" w:styleId="Heading1TOC">
    <w:name w:val="Heading1 TOC"/>
    <w:basedOn w:val="Normal"/>
    <w:qFormat/>
    <w:rsid w:val="0024653D"/>
    <w:pPr>
      <w:spacing w:before="240" w:after="120"/>
    </w:pPr>
    <w:rPr>
      <w:rFonts w:ascii="Times New Roman" w:hAnsi="Times New Roman"/>
      <w:b/>
      <w:sz w:val="32"/>
    </w:rPr>
  </w:style>
  <w:style w:type="paragraph" w:customStyle="1" w:styleId="Heading2TOC">
    <w:name w:val="Heading2 TOC"/>
    <w:basedOn w:val="Normal"/>
    <w:qFormat/>
    <w:rsid w:val="0024653D"/>
    <w:pPr>
      <w:spacing w:before="240" w:after="60"/>
    </w:pPr>
    <w:rPr>
      <w:rFonts w:ascii="Times New Roman" w:hAnsi="Times New Roman"/>
      <w:b/>
      <w:sz w:val="28"/>
    </w:rPr>
  </w:style>
  <w:style w:type="character" w:customStyle="1" w:styleId="Underline">
    <w:name w:val="Underline"/>
    <w:basedOn w:val="DefaultParagraphFont"/>
    <w:qFormat/>
    <w:rsid w:val="0024653D"/>
    <w:rPr>
      <w:u w:val="single"/>
    </w:rPr>
  </w:style>
  <w:style w:type="character" w:customStyle="1" w:styleId="BoldandItalics">
    <w:name w:val="Bold and Italics"/>
    <w:qFormat/>
    <w:rsid w:val="0024653D"/>
    <w:rPr>
      <w:b/>
      <w:i/>
      <w:u w:val="none"/>
    </w:rPr>
  </w:style>
  <w:style w:type="paragraph" w:styleId="BalloonText">
    <w:name w:val="Balloon Text"/>
    <w:basedOn w:val="Normal"/>
    <w:link w:val="BalloonTextChar"/>
    <w:rsid w:val="0024653D"/>
    <w:rPr>
      <w:rFonts w:ascii="Tahoma" w:hAnsi="Tahoma" w:cs="Tahoma"/>
      <w:sz w:val="16"/>
      <w:szCs w:val="16"/>
    </w:rPr>
  </w:style>
  <w:style w:type="character" w:customStyle="1" w:styleId="BalloonTextChar">
    <w:name w:val="Balloon Text Char"/>
    <w:basedOn w:val="DefaultParagraphFont"/>
    <w:link w:val="BalloonText"/>
    <w:rsid w:val="0024653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4653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4653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1815</Words>
  <Characters>11909</Characters>
  <Application>Microsoft Office Word</Application>
  <DocSecurity>0</DocSecurity>
  <Lines>368</Lines>
  <Paragraphs>254</Paragraphs>
  <ScaleCrop>false</ScaleCrop>
  <Company>Author-it Software Corporation Ltd.</Company>
  <LinksUpToDate>false</LinksUpToDate>
  <CharactersWithSpaces>13612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PSPPROC602A Direct the management of contracts</dc:title>
  <dc:subject>Approved</dc:subject>
  <dc:creator>Government Skills Australia</dc:creator>
  <cp:keywords>Release: 1</cp:keywords>
  <dc:description>Copyright © 1996-2007 Author-it Software Corporation Ltd., all rights reserved.</dc:description>
  <cp:lastModifiedBy>Windows User</cp:lastModifiedBy>
  <cp:revision>3</cp:revision>
  <dcterms:created xsi:type="dcterms:W3CDTF">2012-05-26T08:23:00Z</dcterms:created>
  <dcterms:modified xsi:type="dcterms:W3CDTF">2012-05-26T08:23:00Z</dcterms:modified>
</cp:coreProperties>
</file>