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3F8" w:rsidP="004173F8">
      <w:pPr>
        <w:pStyle w:val="Title"/>
      </w:pPr>
      <w:r>
        <w:fldChar w:fldCharType="begin"/>
      </w:r>
      <w:r>
        <w:instrText xml:space="preserve"> TITLE   \* MERGEFORMAT </w:instrText>
      </w:r>
      <w:r>
        <w:fldChar w:fldCharType="separate"/>
      </w:r>
      <w:r>
        <w:t>PSPPROC504A Finalise contracts</w:t>
      </w:r>
      <w:r>
        <w:fldChar w:fldCharType="end"/>
      </w:r>
    </w:p>
    <w:p w:rsidR="004173F8" w:rsidP="004173F8">
      <w:pPr>
        <w:pStyle w:val="Version"/>
        <w:sectPr w:rsidSect="00D577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773" w:rsidP="00D57773">
      <w:pPr>
        <w:pStyle w:val="SuperHeading"/>
      </w:pPr>
      <w:r w:rsidRPr="00D57773">
        <w:t>PSPPROC504A Finalise contracts</w:t>
      </w:r>
    </w:p>
    <w:p w:rsidR="00000000" w:rsidRPr="00D57773" w:rsidP="00D57773">
      <w:pPr>
        <w:pStyle w:val="Heading1"/>
      </w:pPr>
      <w:bookmarkStart w:id="1" w:name="O_312542"/>
      <w:bookmarkEnd w:id="1"/>
      <w:r w:rsidRPr="00D57773">
        <w:t>Modification History</w:t>
      </w:r>
    </w:p>
    <w:p w:rsidR="00000000" w:rsidRPr="00D57773" w:rsidP="00D57773">
      <w:pPr>
        <w:pStyle w:val="Heading1"/>
      </w:pPr>
      <w:bookmarkStart w:id="2" w:name="O_312541"/>
      <w:bookmarkEnd w:id="2"/>
      <w:r w:rsidRPr="00D57773">
        <w:t>Unit Descriptor</w:t>
      </w:r>
    </w:p>
    <w:p w:rsidR="00000000" w:rsidRPr="00D57773" w:rsidP="00D57773">
      <w:pPr>
        <w:pStyle w:val="BodyText"/>
      </w:pPr>
      <w:r w:rsidRPr="00D57773">
        <w:t xml:space="preserve">This unit covers finalisation processes for contracts. The unit is for officers whose primary role is contract management. </w:t>
      </w:r>
    </w:p>
    <w:p w:rsidR="00000000" w:rsidRPr="00D57773" w:rsidP="00D57773">
      <w:pPr>
        <w:pStyle w:val="BodyText"/>
      </w:pPr>
      <w:r w:rsidRPr="00D57773">
        <w:rPr>
          <w:rStyle w:val="SpecialBold"/>
        </w:rPr>
        <w:t>PSPPROC410A Administer contr</w:t>
      </w:r>
      <w:r w:rsidRPr="00D57773">
        <w:rPr>
          <w:rStyle w:val="SpecialBold"/>
        </w:rPr>
        <w:t xml:space="preserve">acts </w:t>
      </w:r>
      <w:r w:rsidRPr="00D57773">
        <w:t>is the appropriate unit for officers undertaking contract management as a minor part of their work role.</w:t>
      </w:r>
    </w:p>
    <w:p w:rsidR="00000000" w:rsidRPr="00D57773" w:rsidP="00D57773">
      <w:pPr>
        <w:pStyle w:val="BodyText"/>
      </w:pPr>
      <w:r w:rsidRPr="00D57773">
        <w:t xml:space="preserve">The unit includes completing contracts and implementing a contract review strategy. </w:t>
      </w:r>
    </w:p>
    <w:p w:rsidR="00000000" w:rsidRPr="00D57773" w:rsidP="00D57773">
      <w:pPr>
        <w:pStyle w:val="BodyText"/>
      </w:pPr>
      <w:r w:rsidRPr="00D57773">
        <w:t>In practice, finalising contracts may overlap with other publ</w:t>
      </w:r>
      <w:r w:rsidRPr="00D57773">
        <w:t>ic sector generalist and specialist work activities such as acting ethically, complying with legislation, providing client service, providing leadership, developing policy, undertaking negotiations etc.</w:t>
      </w:r>
    </w:p>
    <w:p w:rsidR="00000000" w:rsidRPr="00D57773" w:rsidP="00D57773">
      <w:pPr>
        <w:pStyle w:val="BodyText"/>
      </w:pPr>
      <w:r w:rsidRPr="00D57773">
        <w:t xml:space="preserve">This is one of 4 units of competency in the </w:t>
      </w:r>
      <w:r w:rsidRPr="00D57773">
        <w:rPr>
          <w:rStyle w:val="SpecialBold"/>
        </w:rPr>
        <w:t>Procureme</w:t>
      </w:r>
      <w:r w:rsidRPr="00D57773">
        <w:rPr>
          <w:rStyle w:val="SpecialBold"/>
        </w:rPr>
        <w:t xml:space="preserve">nt&amp;Contract Management </w:t>
      </w:r>
      <w:r w:rsidRPr="00D57773">
        <w:t>Competency field that address the requirements of contract management performed by specialist contract managers.</w:t>
      </w:r>
    </w:p>
    <w:p w:rsidR="00000000" w:rsidRPr="00D57773" w:rsidP="00D57773">
      <w:pPr>
        <w:pStyle w:val="BodyText"/>
      </w:pPr>
      <w:r w:rsidRPr="00D57773">
        <w:t>Related units are:</w:t>
      </w:r>
    </w:p>
    <w:p w:rsidR="00000000" w:rsidRPr="00D57773" w:rsidP="00D57773">
      <w:pPr>
        <w:pStyle w:val="BodyText"/>
      </w:pPr>
      <w:r w:rsidRPr="00D57773">
        <w:t>PSPPROC501A Manage contract riskPSPPROC502A Establish contract management arrangementsPSPPROC503A Man</w:t>
      </w:r>
      <w:r w:rsidRPr="00D57773">
        <w:t>age contract performance</w:t>
      </w:r>
    </w:p>
    <w:p w:rsidR="00000000" w:rsidRPr="00D57773" w:rsidP="00D57773">
      <w:pPr>
        <w:pStyle w:val="BodyText"/>
      </w:pPr>
      <w:r w:rsidRPr="00D57773">
        <w:t xml:space="preserve">The superseded unit </w:t>
      </w:r>
      <w:r w:rsidRPr="00D57773">
        <w:rPr>
          <w:rStyle w:val="SpecialBold"/>
        </w:rPr>
        <w:t xml:space="preserve">PSPPROC404A Manage contracts </w:t>
      </w:r>
      <w:r w:rsidRPr="00D57773">
        <w:t>is equivalent to the three units:</w:t>
      </w:r>
    </w:p>
    <w:p w:rsidR="00000000" w:rsidRPr="00D57773" w:rsidP="00D57773">
      <w:pPr>
        <w:pStyle w:val="BodyText"/>
      </w:pPr>
      <w:r w:rsidRPr="00D57773">
        <w:t>PSPPROC502A Establish contract management arrangements PSPPROC503A Manage contract performance</w:t>
      </w:r>
    </w:p>
    <w:p w:rsidR="00000000" w:rsidRPr="00D57773" w:rsidP="00D57773">
      <w:pPr>
        <w:pStyle w:val="BodyText"/>
      </w:pPr>
      <w:r w:rsidRPr="00D57773">
        <w:t>PSPPROC504A Finalise contracts</w:t>
      </w:r>
    </w:p>
    <w:p w:rsidR="00000000" w:rsidRPr="00D57773" w:rsidP="00D57773">
      <w:pPr>
        <w:pStyle w:val="BodyText"/>
      </w:pPr>
      <w:r w:rsidRPr="00D57773">
        <w:t>Equivalence may be claimed for EITHER:</w:t>
      </w:r>
    </w:p>
    <w:p w:rsidR="00000000" w:rsidRPr="00D57773" w:rsidP="00D57773">
      <w:pPr>
        <w:pStyle w:val="BodyText"/>
      </w:pPr>
      <w:r w:rsidRPr="00D57773">
        <w:t>PSPPROC410A Administer contracts ORPSPPROC502A - 504A inclusive, but not both.</w:t>
      </w:r>
    </w:p>
    <w:p w:rsidR="00000000" w:rsidRPr="00D57773" w:rsidP="00D57773">
      <w:pPr>
        <w:pStyle w:val="BodyText"/>
      </w:pPr>
      <w:r w:rsidRPr="00D57773">
        <w:t xml:space="preserve">This is a new unit of competency, added to the </w:t>
      </w:r>
      <w:r w:rsidRPr="00D57773">
        <w:rPr>
          <w:rStyle w:val="SpecialBold"/>
        </w:rPr>
        <w:t xml:space="preserve">Procurement&amp;Contract Management </w:t>
      </w:r>
      <w:r w:rsidRPr="00D57773">
        <w:t>Competency field of the Training Package in 2004.</w:t>
      </w:r>
    </w:p>
    <w:p w:rsidR="00000000" w:rsidRPr="00D57773" w:rsidP="00D57773">
      <w:pPr>
        <w:pStyle w:val="AllowPageBreak"/>
      </w:pPr>
    </w:p>
    <w:p w:rsidR="00000000" w:rsidRPr="00D57773" w:rsidP="00D57773">
      <w:pPr>
        <w:pStyle w:val="Heading1"/>
      </w:pPr>
      <w:bookmarkStart w:id="3" w:name="O_312540"/>
      <w:bookmarkEnd w:id="3"/>
      <w:r w:rsidRPr="00D57773">
        <w:t>Application of the Unit</w:t>
      </w:r>
    </w:p>
    <w:p w:rsidR="00000000" w:rsidRPr="00D57773" w:rsidP="00D57773">
      <w:pPr>
        <w:pStyle w:val="Heading1"/>
      </w:pPr>
      <w:bookmarkStart w:id="4" w:name="O_312539"/>
      <w:bookmarkEnd w:id="4"/>
      <w:r w:rsidRPr="00D57773">
        <w:t>Licensing/Regulatory Information</w:t>
      </w:r>
    </w:p>
    <w:p w:rsidR="00000000" w:rsidRPr="00D57773" w:rsidP="00D57773">
      <w:pPr>
        <w:pStyle w:val="Heading1"/>
      </w:pPr>
      <w:bookmarkStart w:id="5" w:name="O_312538"/>
      <w:bookmarkEnd w:id="5"/>
      <w:r w:rsidRPr="00D57773">
        <w:t>Pre-Requisites</w:t>
      </w:r>
    </w:p>
    <w:p w:rsidR="00000000" w:rsidRPr="00D57773" w:rsidP="00D57773">
      <w:pPr>
        <w:pStyle w:val="Heading1"/>
      </w:pPr>
      <w:bookmarkStart w:id="6" w:name="O_312537"/>
      <w:bookmarkEnd w:id="6"/>
      <w:r w:rsidRPr="00D57773">
        <w:t>Employability Skills Information</w:t>
      </w:r>
    </w:p>
    <w:p w:rsidR="00000000" w:rsidRPr="00D57773" w:rsidP="00D57773">
      <w:pPr>
        <w:pStyle w:val="BodyText"/>
      </w:pPr>
      <w:r w:rsidRPr="00D57773">
        <w:t>This unit contains employability skills.</w:t>
      </w:r>
    </w:p>
    <w:p w:rsidR="00000000" w:rsidRPr="00D57773" w:rsidP="00D57773">
      <w:pPr>
        <w:pStyle w:val="AllowPageBreak"/>
      </w:pPr>
    </w:p>
    <w:p w:rsidR="00000000" w:rsidRPr="00D57773" w:rsidP="00D57773">
      <w:pPr>
        <w:pStyle w:val="Heading1"/>
      </w:pPr>
      <w:bookmarkStart w:id="7" w:name="O_312543"/>
      <w:bookmarkEnd w:id="7"/>
      <w:r w:rsidRPr="00D57773">
        <w:t>Elements and Performance Criteria Pre-Content</w:t>
      </w:r>
    </w:p>
    <w:p w:rsidR="00000000" w:rsidRPr="00D57773" w:rsidP="00D57773">
      <w:pPr>
        <w:pStyle w:val="BodyText"/>
      </w:pPr>
      <w:r w:rsidRPr="00D57773">
        <w:t>Elements are the essential outcomes of the unit of competency.</w:t>
      </w:r>
    </w:p>
    <w:p w:rsidR="00000000" w:rsidRPr="00D57773" w:rsidP="00D57773">
      <w:pPr>
        <w:pStyle w:val="BodyText"/>
      </w:pPr>
      <w:r w:rsidRPr="00D57773">
        <w:t xml:space="preserve">Together, performance criteria specify the requirements for competent performance. Text in </w:t>
      </w:r>
      <w:r w:rsidRPr="00D57773">
        <w:rPr>
          <w:rStyle w:val="SpecialBold"/>
        </w:rPr>
        <w:t xml:space="preserve">bold italics  </w:t>
      </w:r>
      <w:r w:rsidRPr="00D57773">
        <w:t>is explained in the Range Statement follow</w:t>
      </w:r>
      <w:r w:rsidRPr="00D57773">
        <w:t>ing.</w:t>
      </w:r>
    </w:p>
    <w:p w:rsidR="00000000" w:rsidRPr="00D57773" w:rsidP="00D57773">
      <w:pPr>
        <w:pStyle w:val="AllowPageBreak"/>
      </w:pPr>
    </w:p>
    <w:p w:rsidR="00000000" w:rsidRPr="00D57773" w:rsidP="00D57773">
      <w:pPr>
        <w:pStyle w:val="Heading1"/>
      </w:pPr>
      <w:bookmarkStart w:id="8" w:name="O_312531"/>
      <w:bookmarkEnd w:id="8"/>
      <w:r w:rsidRPr="00D5777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173F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rPr>
                <w:rStyle w:val="SpecialBold"/>
              </w:rPr>
              <w:t>Elements and Performance Criteria</w:t>
            </w:r>
          </w:p>
        </w:tc>
      </w:tr>
      <w:tr w:rsidTr="004173F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57773" w:rsidP="00D57773">
            <w:pPr>
              <w:pStyle w:val="BodyText"/>
            </w:pPr>
            <w:r w:rsidRPr="00D5777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rPr>
                <w:rStyle w:val="SpecialBold"/>
              </w:rPr>
              <w:t>Performance Criteria</w:t>
            </w:r>
          </w:p>
        </w:tc>
      </w:tr>
      <w:tr w:rsidTr="004173F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57773" w:rsidP="00D57773">
            <w:pPr>
              <w:pStyle w:val="BodyText"/>
            </w:pPr>
            <w:r w:rsidRPr="00D57773">
              <w:t>1</w:t>
            </w:r>
          </w:p>
        </w:tc>
        <w:tc>
          <w:tcPr>
            <w:tcW w:w="3000" w:type="dxa"/>
            <w:vMerge w:val="restart"/>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rPr>
                <w:rStyle w:val="SpecialBold"/>
              </w:rPr>
              <w:t xml:space="preserve"> Complete contracts</w:t>
            </w:r>
          </w:p>
        </w:tc>
        <w:tc>
          <w:tcPr>
            <w:tcW w:w="500" w:type="dxa"/>
            <w:tcBorders>
              <w:top w:val="nil"/>
              <w:left w:val="nil"/>
              <w:bottom w:val="nil"/>
              <w:right w:val="nil"/>
            </w:tcBorders>
            <w:tcMar>
              <w:top w:w="0" w:type="dxa"/>
              <w:left w:w="62" w:type="dxa"/>
              <w:bottom w:w="0" w:type="dxa"/>
              <w:right w:w="62" w:type="dxa"/>
            </w:tcMar>
          </w:tcPr>
          <w:p w:rsidR="00000000" w:rsidRPr="00D57773" w:rsidP="00D57773">
            <w:pPr>
              <w:pStyle w:val="BodyText"/>
            </w:pPr>
            <w:r w:rsidRPr="00D57773">
              <w:t>1.1</w:t>
            </w:r>
          </w:p>
        </w:tc>
        <w:tc>
          <w:tcPr>
            <w:tcW w:w="51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rPr>
                <w:rStyle w:val="SpecialBold"/>
              </w:rPr>
              <w:t xml:space="preserve">Contracts </w:t>
            </w:r>
            <w:r w:rsidRPr="00D57773">
              <w:t>due to expire are reviewed to determine future requirements, and options for those requirements to be met are canvassed in sufficient time for decision making and transition to occur</w:t>
            </w:r>
          </w:p>
        </w:tc>
      </w:tr>
      <w:tr w:rsidTr="00417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t>1.2</w:t>
            </w:r>
          </w:p>
        </w:tc>
        <w:tc>
          <w:tcPr>
            <w:tcW w:w="51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t>Strategies are</w:t>
            </w:r>
            <w:r w:rsidRPr="00D57773">
              <w:t xml:space="preserve"> implemented to manage closure, renewal of contracts or transition to a new contract in accordance with organisational guidelines and public sector standards</w:t>
            </w:r>
          </w:p>
        </w:tc>
      </w:tr>
      <w:tr w:rsidTr="00417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t>1.3</w:t>
            </w:r>
          </w:p>
        </w:tc>
        <w:tc>
          <w:tcPr>
            <w:tcW w:w="51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t>Contracts are finalised, amended, cancelled or terminated in accordance with contractual ar</w:t>
            </w:r>
            <w:r w:rsidRPr="00D57773">
              <w:t>rangements</w:t>
            </w:r>
          </w:p>
        </w:tc>
      </w:tr>
      <w:tr w:rsidTr="00417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t>1.4</w:t>
            </w:r>
          </w:p>
        </w:tc>
        <w:tc>
          <w:tcPr>
            <w:tcW w:w="51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t>Consultation is undertaken with the contractor, and a contract completion report is issued addressing the performance of the contractor and the contract manager in accordance with organisational requirements and public sector guidelines</w:t>
            </w:r>
          </w:p>
        </w:tc>
      </w:tr>
      <w:tr w:rsidTr="004173F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57773" w:rsidP="00D57773">
            <w:pPr>
              <w:pStyle w:val="BodyText"/>
            </w:pPr>
            <w:r w:rsidRPr="00D57773">
              <w:t>2</w:t>
            </w:r>
          </w:p>
        </w:tc>
        <w:tc>
          <w:tcPr>
            <w:tcW w:w="3000" w:type="dxa"/>
            <w:vMerge w:val="restart"/>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rPr>
                <w:rStyle w:val="SpecialBold"/>
              </w:rPr>
              <w:t xml:space="preserve"> Implement contract review strategy</w:t>
            </w:r>
          </w:p>
        </w:tc>
        <w:tc>
          <w:tcPr>
            <w:tcW w:w="500" w:type="dxa"/>
            <w:tcBorders>
              <w:top w:val="nil"/>
              <w:left w:val="nil"/>
              <w:bottom w:val="nil"/>
              <w:right w:val="nil"/>
            </w:tcBorders>
            <w:tcMar>
              <w:top w:w="0" w:type="dxa"/>
              <w:left w:w="62" w:type="dxa"/>
              <w:bottom w:w="0" w:type="dxa"/>
              <w:right w:w="62" w:type="dxa"/>
            </w:tcMar>
          </w:tcPr>
          <w:p w:rsidR="00000000" w:rsidRPr="00D57773" w:rsidP="00D57773">
            <w:pPr>
              <w:pStyle w:val="BodyText"/>
            </w:pPr>
            <w:r w:rsidRPr="00D57773">
              <w:t>2.1</w:t>
            </w:r>
          </w:p>
        </w:tc>
        <w:tc>
          <w:tcPr>
            <w:tcW w:w="51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rPr>
                <w:rStyle w:val="SpecialBold"/>
              </w:rPr>
              <w:t xml:space="preserve">Timing </w:t>
            </w:r>
            <w:r w:rsidRPr="00D57773">
              <w:t>of the review is determined to ensure a smooth transition to post-contract arrangements</w:t>
            </w:r>
          </w:p>
        </w:tc>
      </w:tr>
      <w:tr w:rsidTr="00417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57773" w:rsidP="00D57773">
            <w:pPr>
              <w:pStyle w:val="BodyText"/>
            </w:pPr>
            <w:r w:rsidRPr="00D57773">
              <w:t>2.2</w:t>
            </w:r>
          </w:p>
        </w:tc>
        <w:tc>
          <w:tcPr>
            <w:tcW w:w="51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rPr>
                <w:rStyle w:val="SpecialBold"/>
              </w:rPr>
              <w:t xml:space="preserve">Review </w:t>
            </w:r>
            <w:r w:rsidRPr="00D57773">
              <w:t>is undertaken of contract management, contractor performance relevant to measures at each stage of the co</w:t>
            </w:r>
            <w:r w:rsidRPr="00D57773">
              <w:t>ntract, user satisfaction and audit results</w:t>
            </w:r>
          </w:p>
        </w:tc>
      </w:tr>
      <w:tr w:rsidTr="00417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t>2.3</w:t>
            </w:r>
          </w:p>
        </w:tc>
        <w:tc>
          <w:tcPr>
            <w:tcW w:w="51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t xml:space="preserve">Where measures or outcomes are not met in full, </w:t>
            </w:r>
            <w:r w:rsidRPr="00D57773">
              <w:rPr>
                <w:rStyle w:val="SpecialBold"/>
              </w:rPr>
              <w:t xml:space="preserve">variances </w:t>
            </w:r>
            <w:r w:rsidRPr="00D57773">
              <w:t>are documented and explained</w:t>
            </w:r>
          </w:p>
        </w:tc>
      </w:tr>
      <w:tr w:rsidTr="00417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t>2.4</w:t>
            </w:r>
          </w:p>
        </w:tc>
        <w:tc>
          <w:tcPr>
            <w:tcW w:w="51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t xml:space="preserve">A review report is prepared documenting outcomes against plans, final costs, user satisfaction, lessons learnt and any shortcomings in contract planning, management policies and procedures </w:t>
            </w:r>
          </w:p>
        </w:tc>
      </w:tr>
      <w:tr w:rsidTr="004173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t>2.5</w:t>
            </w:r>
          </w:p>
        </w:tc>
        <w:tc>
          <w:tcPr>
            <w:tcW w:w="5100" w:type="dxa"/>
            <w:tcBorders>
              <w:top w:val="nil"/>
              <w:left w:val="nil"/>
              <w:bottom w:val="nil"/>
              <w:right w:val="nil"/>
            </w:tcBorders>
            <w:tcMar>
              <w:top w:w="0" w:type="dxa"/>
              <w:left w:w="62" w:type="dxa"/>
              <w:bottom w:w="0" w:type="dxa"/>
              <w:right w:w="62" w:type="dxa"/>
            </w:tcMar>
          </w:tcPr>
          <w:p w:rsidR="00000000" w:rsidRPr="00D57773" w:rsidP="00D57773">
            <w:pPr>
              <w:pStyle w:val="BodyText"/>
            </w:pPr>
            <w:r w:rsidRPr="00D57773">
              <w:t>Recommendations for improvement are made and supported with</w:t>
            </w:r>
            <w:r w:rsidRPr="00D57773">
              <w:t xml:space="preserve"> evidence, as a result of lessons learnt</w:t>
            </w:r>
          </w:p>
        </w:tc>
      </w:tr>
    </w:tbl>
    <w:p w:rsidR="00000000" w:rsidRPr="00D57773" w:rsidP="00D57773">
      <w:pPr>
        <w:pStyle w:val="BodyText"/>
      </w:pPr>
    </w:p>
    <w:p w:rsidR="00000000" w:rsidRPr="00D57773" w:rsidP="00D57773">
      <w:pPr>
        <w:pStyle w:val="AllowPageBreak"/>
      </w:pPr>
    </w:p>
    <w:p w:rsidR="00000000" w:rsidRPr="00D57773" w:rsidP="00D57773">
      <w:pPr>
        <w:pStyle w:val="Heading1"/>
      </w:pPr>
      <w:bookmarkStart w:id="9" w:name="O_312536"/>
      <w:bookmarkEnd w:id="9"/>
      <w:r w:rsidRPr="00D57773">
        <w:t>Required Skills and Knowledge</w:t>
      </w:r>
    </w:p>
    <w:tbl>
      <w:tblPr>
        <w:tblW w:w="0" w:type="auto"/>
        <w:tblLayout w:type="fixed"/>
        <w:tblCellMar>
          <w:left w:w="62" w:type="dxa"/>
          <w:right w:w="62" w:type="dxa"/>
        </w:tblCellMar>
        <w:tblLook w:val="0000"/>
      </w:tblPr>
      <w:tblGrid>
        <w:gridCol w:w="9000"/>
      </w:tblGrid>
      <w:tr w:rsidTr="004173F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rPr>
                <w:rStyle w:val="SpecialBold"/>
              </w:rPr>
              <w:t xml:space="preserve">   REQUIRED SKILLS AND KNOWLEDGE</w:t>
            </w:r>
          </w:p>
        </w:tc>
      </w:tr>
      <w:tr w:rsidTr="004173F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t xml:space="preserve">This section describes the essential skills and knowledge and their level, required for this unit. </w:t>
            </w:r>
          </w:p>
        </w:tc>
      </w:tr>
      <w:tr w:rsidTr="004173F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57773" w:rsidP="00D57773">
            <w:pPr>
              <w:pStyle w:val="BodyText"/>
            </w:pPr>
            <w:r w:rsidRPr="00D57773">
              <w:rPr>
                <w:rStyle w:val="SpecialBold"/>
              </w:rPr>
              <w:t>Skill requirements</w:t>
            </w:r>
          </w:p>
          <w:p w:rsidR="00000000" w:rsidRPr="00D57773" w:rsidP="00D57773">
            <w:pPr>
              <w:pStyle w:val="BodyText"/>
            </w:pPr>
            <w:r w:rsidRPr="00D57773">
              <w:t>Look for evidence that confirms skills in:</w:t>
            </w:r>
          </w:p>
          <w:p w:rsidR="00000000" w:rsidRPr="00D57773" w:rsidP="00D57773">
            <w:pPr>
              <w:pStyle w:val="BodyText"/>
            </w:pPr>
            <w:r w:rsidRPr="00D57773">
              <w:t xml:space="preserve">consulting with contractor and stakeholders involving often complex oral and written exchanges </w:t>
            </w:r>
          </w:p>
          <w:p w:rsidR="00000000" w:rsidRPr="00D57773" w:rsidP="00D57773">
            <w:pPr>
              <w:pStyle w:val="BodyText"/>
            </w:pPr>
            <w:r w:rsidRPr="00D57773">
              <w:t>reading and applying complex documents such as contracts, legislation and guidelines</w:t>
            </w:r>
          </w:p>
          <w:p w:rsidR="00000000" w:rsidRPr="00D57773" w:rsidP="00D57773">
            <w:pPr>
              <w:pStyle w:val="BodyText"/>
            </w:pPr>
            <w:r w:rsidRPr="00D57773">
              <w:t>writing review report/s and reco</w:t>
            </w:r>
            <w:r w:rsidRPr="00D57773">
              <w:t>mmendations requiring precision of expression</w:t>
            </w:r>
          </w:p>
          <w:p w:rsidR="00000000" w:rsidRPr="00D57773" w:rsidP="00D57773">
            <w:pPr>
              <w:pStyle w:val="BodyText"/>
            </w:pPr>
            <w:r w:rsidRPr="00D57773">
              <w:t>responding to diversity, including gender and disability</w:t>
            </w:r>
          </w:p>
          <w:p w:rsidR="00000000" w:rsidP="00D57773">
            <w:pPr>
              <w:pStyle w:val="BodyText"/>
              <w:rPr>
                <w:lang w:val="en-NZ"/>
              </w:rPr>
            </w:pPr>
            <w:r w:rsidRPr="00D57773">
              <w:t xml:space="preserve">applying occupational health and safety and environmental requirements in the context of contract finalisation </w:t>
            </w:r>
          </w:p>
        </w:tc>
      </w:tr>
      <w:tr w:rsidTr="004173F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57773" w:rsidP="00D57773">
            <w:pPr>
              <w:pStyle w:val="BodyText"/>
            </w:pPr>
            <w:r w:rsidRPr="00D57773">
              <w:rPr>
                <w:rStyle w:val="SpecialBold"/>
              </w:rPr>
              <w:t>Knowledge requirements</w:t>
            </w:r>
          </w:p>
          <w:p w:rsidR="00000000" w:rsidRPr="00D57773" w:rsidP="00D57773">
            <w:pPr>
              <w:pStyle w:val="BodyText"/>
            </w:pPr>
            <w:r w:rsidRPr="00D57773">
              <w:t>Look for evidence</w:t>
            </w:r>
            <w:r w:rsidRPr="00D57773">
              <w:t xml:space="preserve"> that confirms knowledge and understanding of:</w:t>
            </w:r>
          </w:p>
          <w:p w:rsidR="00000000" w:rsidRPr="00D57773" w:rsidP="00D57773">
            <w:pPr>
              <w:pStyle w:val="BodyText"/>
            </w:pPr>
            <w:r w:rsidRPr="00D57773">
              <w:t>Commonwealth/State/Territory Government legislation, policies, practices and guidelines relating to contract  inalization and review, including environmental purchasing guidance</w:t>
            </w:r>
          </w:p>
          <w:p w:rsidR="00000000" w:rsidRPr="00D57773" w:rsidP="00D57773">
            <w:pPr>
              <w:pStyle w:val="BodyText"/>
            </w:pPr>
            <w:r w:rsidRPr="00D57773">
              <w:t>contract  inalization and revie</w:t>
            </w:r>
            <w:r w:rsidRPr="00D57773">
              <w:t>w for a range of contractual situations</w:t>
            </w:r>
          </w:p>
          <w:p w:rsidR="00000000" w:rsidRPr="00D57773" w:rsidP="00D57773">
            <w:pPr>
              <w:pStyle w:val="BodyText"/>
            </w:pPr>
            <w:r w:rsidRPr="00D57773">
              <w:t>privacy and confidentiality issues, including the requirement to appropriately classify information to ensure transparency as well as to treat bids as commercial-in-confidence</w:t>
            </w:r>
          </w:p>
          <w:p w:rsidR="00000000" w:rsidRPr="00D57773" w:rsidP="00D57773">
            <w:pPr>
              <w:pStyle w:val="BodyText"/>
            </w:pPr>
            <w:r w:rsidRPr="00D57773">
              <w:t xml:space="preserve">probity principles and issues </w:t>
            </w:r>
          </w:p>
          <w:p w:rsidR="00000000" w:rsidRPr="00D57773" w:rsidP="00D57773">
            <w:pPr>
              <w:pStyle w:val="BodyText"/>
            </w:pPr>
            <w:r w:rsidRPr="00D57773">
              <w:t>informati</w:t>
            </w:r>
            <w:r w:rsidRPr="00D57773">
              <w:t>on, knowledge management and recordkeeping for official/historical records</w:t>
            </w:r>
          </w:p>
          <w:p w:rsidR="00000000" w:rsidRPr="00D57773" w:rsidP="00D57773">
            <w:pPr>
              <w:pStyle w:val="BodyText"/>
            </w:pPr>
            <w:r w:rsidRPr="00D57773">
              <w:t>equal employment opportunity, equity and diversity principles</w:t>
            </w:r>
          </w:p>
          <w:p w:rsidR="00000000" w:rsidRPr="00D57773" w:rsidP="00D57773">
            <w:pPr>
              <w:pStyle w:val="BodyText"/>
            </w:pPr>
            <w:r w:rsidRPr="00D57773">
              <w:t>financial and accounting issues relevant to the contract</w:t>
            </w:r>
          </w:p>
          <w:p w:rsidR="00000000" w:rsidRPr="00D57773" w:rsidP="00D57773">
            <w:pPr>
              <w:pStyle w:val="BodyText"/>
            </w:pPr>
            <w:r w:rsidRPr="00D57773">
              <w:t>public sector legislation including occupational health and sa</w:t>
            </w:r>
            <w:r w:rsidRPr="00D57773">
              <w:t>fety and environment</w:t>
            </w:r>
          </w:p>
          <w:p w:rsidR="00000000" w:rsidRPr="00D57773" w:rsidP="00D57773">
            <w:pPr>
              <w:pStyle w:val="BodyText"/>
            </w:pPr>
            <w:r w:rsidRPr="00D57773">
              <w:t xml:space="preserve">aspects contract law, trade practices law and commercial law relevant to the  inalization of contracts relating to complex procurement </w:t>
            </w:r>
          </w:p>
        </w:tc>
      </w:tr>
    </w:tbl>
    <w:p w:rsidR="00000000" w:rsidRPr="00D57773" w:rsidP="00D57773">
      <w:pPr>
        <w:pStyle w:val="BodyText"/>
      </w:pPr>
    </w:p>
    <w:p w:rsidR="00000000" w:rsidRPr="00D57773" w:rsidP="00D57773">
      <w:pPr>
        <w:pStyle w:val="AllowPageBreak"/>
      </w:pPr>
    </w:p>
    <w:p w:rsidR="00000000" w:rsidRPr="00D57773" w:rsidP="00D57773">
      <w:pPr>
        <w:pStyle w:val="Heading1"/>
      </w:pPr>
      <w:bookmarkStart w:id="10" w:name="O_312535"/>
      <w:bookmarkEnd w:id="10"/>
      <w:r w:rsidRPr="00D57773">
        <w:t>Evidence Guide</w:t>
      </w:r>
    </w:p>
    <w:tbl>
      <w:tblPr>
        <w:tblW w:w="0" w:type="auto"/>
        <w:tblLayout w:type="fixed"/>
        <w:tblCellMar>
          <w:left w:w="62" w:type="dxa"/>
          <w:right w:w="62" w:type="dxa"/>
        </w:tblCellMar>
        <w:tblLook w:val="0000"/>
      </w:tblPr>
      <w:tblGrid>
        <w:gridCol w:w="4500"/>
        <w:gridCol w:w="4500"/>
      </w:tblGrid>
      <w:tr w:rsidTr="004173F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57773">
            <w:pPr>
              <w:pStyle w:val="BodyText"/>
              <w:rPr>
                <w:lang w:val="en-NZ"/>
              </w:rPr>
            </w:pPr>
          </w:p>
        </w:tc>
      </w:tr>
      <w:tr w:rsidTr="004173F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t>The Evidence Guide specifies the evidence required to demonstrate achievement in the unit of competency as a whole. It must be read in conjunction with the Unit descriptor, Performance Criteria, the Range Statement and the Assessment Guidelines for the Pub</w:t>
            </w:r>
            <w:r w:rsidRPr="00D57773">
              <w:t xml:space="preserve">lic Sector Training Package. </w:t>
            </w:r>
          </w:p>
        </w:tc>
      </w:tr>
      <w:tr w:rsidTr="004173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D57773" w:rsidP="00D57773">
            <w:pPr>
              <w:pStyle w:val="BodyText"/>
            </w:pPr>
            <w:r w:rsidRPr="00D57773">
              <w:rPr>
                <w:rStyle w:val="SpecialBold"/>
              </w:rPr>
              <w:t>Units to be assessed together</w:t>
            </w:r>
          </w:p>
        </w:tc>
        <w:tc>
          <w:tcPr>
            <w:tcW w:w="4500" w:type="dxa"/>
            <w:tcBorders>
              <w:top w:val="nil"/>
              <w:left w:val="nil"/>
              <w:bottom w:val="nil"/>
              <w:right w:val="nil"/>
            </w:tcBorders>
            <w:tcMar>
              <w:top w:w="0" w:type="dxa"/>
              <w:left w:w="62" w:type="dxa"/>
              <w:bottom w:w="0" w:type="dxa"/>
              <w:right w:w="62" w:type="dxa"/>
            </w:tcMar>
          </w:tcPr>
          <w:p w:rsidR="00000000" w:rsidRPr="00D57773" w:rsidP="00D57773">
            <w:pPr>
              <w:pStyle w:val="BodyText"/>
            </w:pPr>
            <w:r w:rsidRPr="00D57773">
              <w:rPr>
                <w:rStyle w:val="SpecialBold"/>
              </w:rPr>
              <w:t>Pre</w:t>
            </w:r>
            <w:r w:rsidRPr="00D57773">
              <w:t>-</w:t>
            </w:r>
            <w:r w:rsidRPr="00D57773">
              <w:rPr>
                <w:rStyle w:val="SpecialBold"/>
              </w:rPr>
              <w:t>requisite units</w:t>
            </w:r>
            <w:r w:rsidRPr="00D57773">
              <w:t xml:space="preserve"> that </w:t>
            </w:r>
            <w:r w:rsidRPr="00D57773">
              <w:rPr>
                <w:rStyle w:val="SpecialBold"/>
              </w:rPr>
              <w:t>must</w:t>
            </w:r>
            <w:r w:rsidRPr="00D57773">
              <w:t xml:space="preserve"> be achieved </w:t>
            </w:r>
            <w:r w:rsidRPr="00D57773">
              <w:rPr>
                <w:rStyle w:val="SpecialBold"/>
              </w:rPr>
              <w:t>prior</w:t>
            </w:r>
            <w:r w:rsidRPr="00D57773">
              <w:t xml:space="preserve"> to this unit: </w:t>
            </w:r>
            <w:r w:rsidRPr="00D57773">
              <w:rPr>
                <w:rStyle w:val="SpecialBold"/>
              </w:rPr>
              <w:t>Nil</w:t>
            </w:r>
          </w:p>
          <w:p w:rsidR="00000000" w:rsidRPr="00D57773" w:rsidP="00D57773">
            <w:pPr>
              <w:pStyle w:val="BodyText"/>
            </w:pPr>
            <w:r w:rsidRPr="00D57773">
              <w:rPr>
                <w:rStyle w:val="SpecialBold"/>
              </w:rPr>
              <w:t>Co</w:t>
            </w:r>
            <w:r w:rsidRPr="00D57773">
              <w:t>-</w:t>
            </w:r>
            <w:r w:rsidRPr="00D57773">
              <w:rPr>
                <w:rStyle w:val="SpecialBold"/>
              </w:rPr>
              <w:t>requisite units</w:t>
            </w:r>
            <w:r w:rsidRPr="00D57773">
              <w:t xml:space="preserve"> that </w:t>
            </w:r>
            <w:r w:rsidRPr="00D57773">
              <w:rPr>
                <w:rStyle w:val="SpecialBold"/>
              </w:rPr>
              <w:t>must</w:t>
            </w:r>
            <w:r w:rsidRPr="00D57773">
              <w:t xml:space="preserve"> be assessed </w:t>
            </w:r>
            <w:r w:rsidRPr="00D57773">
              <w:rPr>
                <w:rStyle w:val="SpecialBold"/>
              </w:rPr>
              <w:t>with</w:t>
            </w:r>
            <w:r w:rsidRPr="00D57773">
              <w:t xml:space="preserve"> this unit: </w:t>
            </w:r>
            <w:r w:rsidRPr="00D57773">
              <w:rPr>
                <w:rStyle w:val="SpecialBold"/>
              </w:rPr>
              <w:t>Nil</w:t>
            </w:r>
          </w:p>
          <w:p w:rsidR="00000000" w:rsidRPr="00D57773" w:rsidP="00D57773">
            <w:pPr>
              <w:pStyle w:val="BodyText"/>
            </w:pPr>
            <w:r w:rsidRPr="00D57773">
              <w:rPr>
                <w:rStyle w:val="SpecialBold"/>
              </w:rPr>
              <w:t>Co</w:t>
            </w:r>
            <w:r w:rsidRPr="00D57773">
              <w:t>-</w:t>
            </w:r>
            <w:r w:rsidRPr="00D57773">
              <w:rPr>
                <w:rStyle w:val="SpecialBold"/>
              </w:rPr>
              <w:t>assessed units</w:t>
            </w:r>
            <w:r w:rsidRPr="00D57773">
              <w:t xml:space="preserve"> that </w:t>
            </w:r>
            <w:r w:rsidRPr="00D57773">
              <w:rPr>
                <w:rStyle w:val="SpecialBold"/>
              </w:rPr>
              <w:t>may</w:t>
            </w:r>
            <w:r w:rsidRPr="00D57773">
              <w:t xml:space="preserve"> be assessed with this unit </w:t>
            </w:r>
            <w:r w:rsidRPr="00D57773">
              <w:t xml:space="preserve">to increase the efficiency and realism of the assessment process include, but are not limited to: </w:t>
            </w:r>
          </w:p>
          <w:p w:rsidR="00000000" w:rsidRPr="00D57773" w:rsidP="00D57773">
            <w:pPr>
              <w:pStyle w:val="BodyText"/>
            </w:pPr>
            <w:r w:rsidRPr="00D57773">
              <w:t>PSPETHC501B Promote the values and ethos of public service</w:t>
            </w:r>
          </w:p>
          <w:p w:rsidR="00000000" w:rsidRPr="00D57773" w:rsidP="00D57773">
            <w:pPr>
              <w:pStyle w:val="BodyText"/>
            </w:pPr>
            <w:r w:rsidRPr="00D57773">
              <w:t>PSPGOV505A Promote diversity</w:t>
            </w:r>
          </w:p>
          <w:p w:rsidR="00000000" w:rsidRPr="00D57773" w:rsidP="00D57773">
            <w:pPr>
              <w:pStyle w:val="BodyText"/>
            </w:pPr>
            <w:r w:rsidRPr="00D57773">
              <w:t>PSPGOV507A Undertake negotiations</w:t>
            </w:r>
          </w:p>
          <w:p w:rsidR="00000000" w:rsidRPr="00D57773" w:rsidP="00D57773">
            <w:pPr>
              <w:pStyle w:val="BodyText"/>
            </w:pPr>
            <w:r w:rsidRPr="00D57773">
              <w:t xml:space="preserve">PSPGOV508A Manage conflict </w:t>
            </w:r>
          </w:p>
          <w:p w:rsidR="00000000" w:rsidRPr="00D57773" w:rsidP="00D57773">
            <w:pPr>
              <w:pStyle w:val="BodyText"/>
            </w:pPr>
            <w:r w:rsidRPr="00D57773">
              <w:t>PSPGOV5</w:t>
            </w:r>
            <w:r w:rsidRPr="00D57773">
              <w:t>11A Provide leadership</w:t>
            </w:r>
          </w:p>
          <w:p w:rsidR="00000000" w:rsidRPr="00D57773" w:rsidP="00D57773">
            <w:pPr>
              <w:pStyle w:val="BodyText"/>
            </w:pPr>
            <w:r w:rsidRPr="00D57773">
              <w:t>PSPGOV512A Use complex workplace communication strategies</w:t>
            </w:r>
          </w:p>
          <w:p w:rsidR="00000000" w:rsidRPr="00D57773" w:rsidP="00D57773">
            <w:pPr>
              <w:pStyle w:val="BodyText"/>
            </w:pPr>
            <w:r w:rsidRPr="00D57773">
              <w:t>PSPLEGN501B Promote compliance with legislation in the public sector</w:t>
            </w:r>
          </w:p>
          <w:p w:rsidR="00000000" w:rsidRPr="00D57773" w:rsidP="00D57773">
            <w:pPr>
              <w:pStyle w:val="BodyText"/>
            </w:pPr>
            <w:r w:rsidRPr="00D57773">
              <w:t>PSPPROC501A Manage contract risk</w:t>
            </w:r>
          </w:p>
          <w:p w:rsidR="00000000" w:rsidRPr="00D57773" w:rsidP="00D57773">
            <w:pPr>
              <w:pStyle w:val="BodyText"/>
            </w:pPr>
            <w:r w:rsidRPr="00D57773">
              <w:t xml:space="preserve">PSPPROC502A Establish contract management arrangements </w:t>
            </w:r>
          </w:p>
          <w:p w:rsidR="00000000" w:rsidP="00D57773">
            <w:pPr>
              <w:pStyle w:val="BodyText"/>
              <w:rPr>
                <w:lang w:val="en-NZ"/>
              </w:rPr>
            </w:pPr>
            <w:r w:rsidRPr="00D57773">
              <w:t xml:space="preserve">PSPPROC503A Manage contract performance  </w:t>
            </w:r>
          </w:p>
        </w:tc>
      </w:tr>
      <w:tr w:rsidTr="004173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rPr>
                <w:rStyle w:val="SpecialBold"/>
              </w:rPr>
              <w:t>Overview of evidence requirements</w:t>
            </w:r>
          </w:p>
        </w:tc>
        <w:tc>
          <w:tcPr>
            <w:tcW w:w="4500" w:type="dxa"/>
            <w:tcBorders>
              <w:top w:val="nil"/>
              <w:left w:val="nil"/>
              <w:bottom w:val="nil"/>
              <w:right w:val="nil"/>
            </w:tcBorders>
            <w:tcMar>
              <w:top w:w="0" w:type="dxa"/>
              <w:left w:w="62" w:type="dxa"/>
              <w:bottom w:w="0" w:type="dxa"/>
              <w:right w:w="62" w:type="dxa"/>
            </w:tcMar>
          </w:tcPr>
          <w:p w:rsidR="00000000" w:rsidRPr="00D57773" w:rsidP="00D57773">
            <w:pPr>
              <w:pStyle w:val="BodyText"/>
            </w:pPr>
            <w:r w:rsidRPr="00D57773">
              <w:t xml:space="preserve">In addition to integrated demonstration of the elements and their related performance criteria, look for evidence that confirms: </w:t>
            </w:r>
          </w:p>
          <w:p w:rsidR="00000000" w:rsidRPr="00D57773" w:rsidP="00D57773">
            <w:pPr>
              <w:pStyle w:val="BodyText"/>
            </w:pPr>
            <w:r w:rsidRPr="00D57773">
              <w:t xml:space="preserve">the knowledge requirements of this unit </w:t>
            </w:r>
          </w:p>
          <w:p w:rsidR="00000000" w:rsidRPr="00D57773" w:rsidP="00D57773">
            <w:pPr>
              <w:pStyle w:val="BodyText"/>
            </w:pPr>
            <w:r w:rsidRPr="00D57773">
              <w:t>the skil</w:t>
            </w:r>
            <w:r w:rsidRPr="00D57773">
              <w:t>l requirements of this unit</w:t>
            </w:r>
          </w:p>
          <w:p w:rsidR="00000000" w:rsidRPr="00D57773" w:rsidP="00D57773">
            <w:pPr>
              <w:pStyle w:val="BodyText"/>
            </w:pPr>
            <w:r w:rsidRPr="00D57773">
              <w:t>application of the Employability Skills as they relate to this unit (see Employability Summaries in Qualifications Framework)</w:t>
            </w:r>
          </w:p>
          <w:p w:rsidR="00000000" w:rsidP="00D57773">
            <w:pPr>
              <w:pStyle w:val="BodyText"/>
              <w:rPr>
                <w:lang w:val="en-NZ"/>
              </w:rPr>
            </w:pPr>
            <w:r w:rsidRPr="00D57773">
              <w:t xml:space="preserve">finalisation and review of contracts in a range of (3 or more) contexts (or occasions, over time)    </w:t>
            </w:r>
          </w:p>
        </w:tc>
      </w:tr>
      <w:tr w:rsidTr="004173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rPr>
                <w:rStyle w:val="SpecialBold"/>
              </w:rPr>
              <w:t>Resources required to carry out assessment</w:t>
            </w:r>
          </w:p>
        </w:tc>
        <w:tc>
          <w:tcPr>
            <w:tcW w:w="4500" w:type="dxa"/>
            <w:tcBorders>
              <w:top w:val="nil"/>
              <w:left w:val="nil"/>
              <w:bottom w:val="nil"/>
              <w:right w:val="nil"/>
            </w:tcBorders>
            <w:tcMar>
              <w:top w:w="0" w:type="dxa"/>
              <w:left w:w="62" w:type="dxa"/>
              <w:bottom w:w="0" w:type="dxa"/>
              <w:right w:w="62" w:type="dxa"/>
            </w:tcMar>
          </w:tcPr>
          <w:p w:rsidR="00000000" w:rsidRPr="00D57773" w:rsidP="00D57773">
            <w:pPr>
              <w:pStyle w:val="BodyText"/>
            </w:pPr>
            <w:r w:rsidRPr="00D57773">
              <w:t xml:space="preserve">These resources include:    </w:t>
            </w:r>
          </w:p>
          <w:p w:rsidR="00000000" w:rsidRPr="00D57773" w:rsidP="00D57773">
            <w:pPr>
              <w:pStyle w:val="BodyText"/>
            </w:pPr>
            <w:r w:rsidRPr="00D57773">
              <w:t>legislation, policy, procedures and protocols relating to contract administration</w:t>
            </w:r>
          </w:p>
          <w:p w:rsidR="00000000" w:rsidRPr="00D57773" w:rsidP="00D57773">
            <w:pPr>
              <w:pStyle w:val="BodyText"/>
            </w:pPr>
            <w:r w:rsidRPr="00D57773">
              <w:t>Procurement guidance - confidentiality of contractors' commercial information (Commonwealth Departmen</w:t>
            </w:r>
            <w:r w:rsidRPr="00D57773">
              <w:t>t of Finance and Administration)</w:t>
            </w:r>
          </w:p>
          <w:p w:rsidR="00000000" w:rsidP="00D57773">
            <w:pPr>
              <w:pStyle w:val="BodyText"/>
              <w:rPr>
                <w:lang w:val="en-NZ"/>
              </w:rPr>
            </w:pPr>
            <w:r w:rsidRPr="00D57773">
              <w:t xml:space="preserve">case studies and workplace scenarios to capture the range of contract finalisation situations likely to be encountered </w:t>
            </w:r>
          </w:p>
        </w:tc>
      </w:tr>
      <w:tr w:rsidTr="004173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rPr>
                <w:rStyle w:val="SpecialBold"/>
              </w:rPr>
              <w:t>Where and how to assess evidence</w:t>
            </w:r>
          </w:p>
        </w:tc>
        <w:tc>
          <w:tcPr>
            <w:tcW w:w="4500" w:type="dxa"/>
            <w:tcBorders>
              <w:top w:val="nil"/>
              <w:left w:val="nil"/>
              <w:bottom w:val="nil"/>
              <w:right w:val="nil"/>
            </w:tcBorders>
            <w:tcMar>
              <w:top w:w="0" w:type="dxa"/>
              <w:left w:w="62" w:type="dxa"/>
              <w:bottom w:w="0" w:type="dxa"/>
              <w:right w:w="62" w:type="dxa"/>
            </w:tcMar>
          </w:tcPr>
          <w:p w:rsidR="00000000" w:rsidRPr="00D57773" w:rsidP="00D57773">
            <w:pPr>
              <w:pStyle w:val="BodyText"/>
            </w:pPr>
            <w:r w:rsidRPr="00D57773">
              <w:t xml:space="preserve">Valid assessment of this unit requires:     </w:t>
            </w:r>
          </w:p>
          <w:p w:rsidR="00000000" w:rsidRPr="00D57773" w:rsidP="00D57773">
            <w:pPr>
              <w:pStyle w:val="BodyText"/>
            </w:pPr>
            <w:r w:rsidRPr="00D57773">
              <w:t xml:space="preserve">a workplace environment </w:t>
            </w:r>
            <w:r w:rsidRPr="00D57773">
              <w:t>or one that closely resembles normal work practice and replicates the range of conditions likely to be encountered when finalising contracts, including coping with difficulties, irregularities and breakdowns in routine</w:t>
            </w:r>
          </w:p>
          <w:p w:rsidR="00000000" w:rsidRPr="00D57773" w:rsidP="00D57773">
            <w:pPr>
              <w:pStyle w:val="BodyText"/>
            </w:pPr>
            <w:r w:rsidRPr="00D57773">
              <w:t xml:space="preserve">finalisation and review of contracts </w:t>
            </w:r>
            <w:r w:rsidRPr="00D57773">
              <w:t xml:space="preserve">in a range of (3 or more) contexts (or occasions, over time) </w:t>
            </w:r>
          </w:p>
          <w:p w:rsidR="00000000" w:rsidRPr="00D57773" w:rsidP="00D57773">
            <w:pPr>
              <w:pStyle w:val="BodyText"/>
            </w:pPr>
            <w:r w:rsidRPr="00D57773">
              <w:t>Assessment methods should reflect workplace demands, such as literacy, and the needs of particular groups, such as:</w:t>
            </w:r>
          </w:p>
          <w:p w:rsidR="00000000" w:rsidRPr="00D57773" w:rsidP="00D57773">
            <w:pPr>
              <w:pStyle w:val="BodyText"/>
            </w:pPr>
            <w:r w:rsidRPr="00D57773">
              <w:t>people with disabilities</w:t>
            </w:r>
          </w:p>
          <w:p w:rsidR="00000000" w:rsidRPr="00D57773" w:rsidP="00D57773">
            <w:pPr>
              <w:pStyle w:val="BodyText"/>
            </w:pPr>
            <w:r w:rsidRPr="00D57773">
              <w:t>people from culturally and linguistically diverse bac</w:t>
            </w:r>
            <w:r w:rsidRPr="00D57773">
              <w:t>kgrounds</w:t>
            </w:r>
          </w:p>
          <w:p w:rsidR="00000000" w:rsidRPr="00D57773" w:rsidP="00D57773">
            <w:pPr>
              <w:pStyle w:val="BodyText"/>
            </w:pPr>
            <w:r w:rsidRPr="00D57773">
              <w:t>Aboriginal and Torres Strait Islander people</w:t>
            </w:r>
          </w:p>
          <w:p w:rsidR="00000000" w:rsidRPr="00D57773" w:rsidP="00D57773">
            <w:pPr>
              <w:pStyle w:val="BodyText"/>
            </w:pPr>
            <w:r w:rsidRPr="00D57773">
              <w:t>women</w:t>
            </w:r>
          </w:p>
          <w:p w:rsidR="00000000" w:rsidRPr="00D57773" w:rsidP="00D57773">
            <w:pPr>
              <w:pStyle w:val="BodyText"/>
            </w:pPr>
            <w:r w:rsidRPr="00D57773">
              <w:t>young people</w:t>
            </w:r>
          </w:p>
          <w:p w:rsidR="00000000" w:rsidRPr="00D57773" w:rsidP="00D57773">
            <w:pPr>
              <w:pStyle w:val="BodyText"/>
            </w:pPr>
            <w:r w:rsidRPr="00D57773">
              <w:t>older people</w:t>
            </w:r>
          </w:p>
          <w:p w:rsidR="00000000" w:rsidRPr="00D57773" w:rsidP="00D57773">
            <w:pPr>
              <w:pStyle w:val="BodyText"/>
            </w:pPr>
            <w:r w:rsidRPr="00D57773">
              <w:t>people in rural and remote locations</w:t>
            </w:r>
          </w:p>
          <w:p w:rsidR="00000000" w:rsidRPr="00D57773" w:rsidP="00D57773">
            <w:pPr>
              <w:pStyle w:val="BodyText"/>
            </w:pPr>
            <w:r w:rsidRPr="00D57773">
              <w:t>Assessment methods suitable for valid and reliable assessment of this competency may include, b</w:t>
            </w:r>
            <w:r w:rsidRPr="00D57773">
              <w:t xml:space="preserve">ut are not limited to, a combination of 2 or more of: </w:t>
            </w:r>
          </w:p>
          <w:p w:rsidR="00000000" w:rsidRPr="00D57773" w:rsidP="00D57773">
            <w:pPr>
              <w:pStyle w:val="BodyText"/>
            </w:pPr>
            <w:r w:rsidRPr="00D57773">
              <w:t>case studies</w:t>
            </w:r>
          </w:p>
          <w:p w:rsidR="00000000" w:rsidRPr="00D57773" w:rsidP="00D57773">
            <w:pPr>
              <w:pStyle w:val="BodyText"/>
            </w:pPr>
            <w:r w:rsidRPr="00D57773">
              <w:t xml:space="preserve">demonstration </w:t>
            </w:r>
          </w:p>
          <w:p w:rsidR="00000000" w:rsidRPr="00D57773" w:rsidP="00D57773">
            <w:pPr>
              <w:pStyle w:val="BodyText"/>
            </w:pPr>
            <w:r w:rsidRPr="00D57773">
              <w:t>observation</w:t>
            </w:r>
          </w:p>
          <w:p w:rsidR="00000000" w:rsidRPr="00D57773" w:rsidP="00D57773">
            <w:pPr>
              <w:pStyle w:val="BodyText"/>
            </w:pPr>
            <w:r w:rsidRPr="00D57773">
              <w:t xml:space="preserve">portfolios </w:t>
            </w:r>
          </w:p>
          <w:p w:rsidR="00000000" w:rsidRPr="00D57773" w:rsidP="00D57773">
            <w:pPr>
              <w:pStyle w:val="BodyText"/>
            </w:pPr>
            <w:r w:rsidRPr="00D57773">
              <w:t>projects</w:t>
            </w:r>
          </w:p>
          <w:p w:rsidR="00000000" w:rsidRPr="00D57773" w:rsidP="00D57773">
            <w:pPr>
              <w:pStyle w:val="BodyText"/>
            </w:pPr>
            <w:r w:rsidRPr="00D57773">
              <w:t>questioning</w:t>
            </w:r>
          </w:p>
          <w:p w:rsidR="00000000" w:rsidRPr="00D57773" w:rsidP="00D57773">
            <w:pPr>
              <w:pStyle w:val="BodyText"/>
            </w:pPr>
            <w:r w:rsidRPr="00D57773">
              <w:t>scenarios</w:t>
            </w:r>
          </w:p>
          <w:p w:rsidR="00000000" w:rsidRPr="00D57773" w:rsidP="00D57773">
            <w:pPr>
              <w:pStyle w:val="BodyText"/>
            </w:pPr>
            <w:r w:rsidRPr="00D57773">
              <w:t>simulation or role plays</w:t>
            </w:r>
          </w:p>
          <w:p w:rsidR="00000000" w:rsidP="00D57773">
            <w:pPr>
              <w:pStyle w:val="BodyText"/>
              <w:rPr>
                <w:lang w:val="en-NZ"/>
              </w:rPr>
            </w:pPr>
            <w:r w:rsidRPr="00D57773">
              <w:t xml:space="preserve">authenticated evidence from the workplace and/or training courses </w:t>
            </w:r>
          </w:p>
        </w:tc>
      </w:tr>
      <w:tr w:rsidTr="004173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rPr>
                <w:rStyle w:val="SpecialBold"/>
              </w:rPr>
              <w:t>For consistency of assess</w:t>
            </w:r>
            <w:r w:rsidRPr="00D57773">
              <w:rPr>
                <w:rStyle w:val="SpecialBold"/>
              </w:rPr>
              <w:t>ment</w:t>
            </w:r>
          </w:p>
        </w:tc>
        <w:tc>
          <w:tcPr>
            <w:tcW w:w="4500" w:type="dxa"/>
            <w:tcBorders>
              <w:top w:val="nil"/>
              <w:left w:val="nil"/>
              <w:bottom w:val="nil"/>
              <w:right w:val="nil"/>
            </w:tcBorders>
            <w:tcMar>
              <w:top w:w="0" w:type="dxa"/>
              <w:left w:w="62" w:type="dxa"/>
              <w:bottom w:w="0" w:type="dxa"/>
              <w:right w:w="62" w:type="dxa"/>
            </w:tcMar>
          </w:tcPr>
          <w:p w:rsidR="00000000" w:rsidRPr="00D57773" w:rsidP="00D57773">
            <w:pPr>
              <w:pStyle w:val="BodyText"/>
            </w:pPr>
            <w:r w:rsidRPr="00D57773">
              <w:t xml:space="preserve">Evidence must be gathered over time in a range of contexts to ensure the person can achieve the unit outcome and apply the competency in different situations or environments </w:t>
            </w:r>
          </w:p>
        </w:tc>
      </w:tr>
    </w:tbl>
    <w:p w:rsidR="00000000" w:rsidRPr="00D57773" w:rsidP="00D57773">
      <w:pPr>
        <w:pStyle w:val="BodyText"/>
      </w:pPr>
    </w:p>
    <w:p w:rsidR="00000000" w:rsidRPr="00D57773" w:rsidP="00D57773">
      <w:pPr>
        <w:pStyle w:val="AllowPageBreak"/>
      </w:pPr>
    </w:p>
    <w:p w:rsidR="00000000" w:rsidRPr="00D57773" w:rsidP="00D57773">
      <w:pPr>
        <w:pStyle w:val="Heading1"/>
      </w:pPr>
      <w:bookmarkStart w:id="11" w:name="O_312534"/>
      <w:bookmarkEnd w:id="11"/>
      <w:r w:rsidRPr="00D57773">
        <w:t>Range Statement</w:t>
      </w:r>
    </w:p>
    <w:tbl>
      <w:tblPr>
        <w:tblW w:w="0" w:type="auto"/>
        <w:tblLayout w:type="fixed"/>
        <w:tblCellMar>
          <w:left w:w="62" w:type="dxa"/>
          <w:right w:w="62" w:type="dxa"/>
        </w:tblCellMar>
        <w:tblLook w:val="0000"/>
      </w:tblPr>
      <w:tblGrid>
        <w:gridCol w:w="4500"/>
        <w:gridCol w:w="4500"/>
      </w:tblGrid>
      <w:tr w:rsidTr="004173F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rPr>
                <w:rStyle w:val="SpecialBold"/>
              </w:rPr>
              <w:t>RANGE STATEMENT</w:t>
            </w:r>
          </w:p>
        </w:tc>
      </w:tr>
      <w:tr w:rsidTr="004173F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t>The Range Statement provides information about the context in which the unit of competency is carried out. The variables cater for differences between States and Territories and the Commonwealth, and between organisations and workplaces. They allow for dif</w:t>
            </w:r>
            <w:r w:rsidRPr="00D57773">
              <w:t xml:space="preserve">ferent work requirements, work practices and knowledge. The Range Statement also provides a focus for assessment. It relates to the unit as a whole. Text in </w:t>
            </w:r>
            <w:r w:rsidRPr="00D57773">
              <w:rPr>
                <w:rStyle w:val="SpecialBold"/>
              </w:rPr>
              <w:t>italics</w:t>
            </w:r>
            <w:r w:rsidRPr="00D57773">
              <w:t xml:space="preserve"> in the Performance Criteria is explained here. </w:t>
            </w:r>
          </w:p>
        </w:tc>
      </w:tr>
      <w:tr w:rsidTr="004173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rPr>
                <w:rStyle w:val="SpecialBold"/>
              </w:rPr>
              <w:t>Contracts may include</w:t>
            </w:r>
          </w:p>
        </w:tc>
        <w:tc>
          <w:tcPr>
            <w:tcW w:w="4500" w:type="dxa"/>
            <w:tcBorders>
              <w:top w:val="nil"/>
              <w:left w:val="nil"/>
              <w:bottom w:val="nil"/>
              <w:right w:val="nil"/>
            </w:tcBorders>
            <w:tcMar>
              <w:top w:w="0" w:type="dxa"/>
              <w:left w:w="62" w:type="dxa"/>
              <w:bottom w:w="0" w:type="dxa"/>
              <w:right w:w="62" w:type="dxa"/>
            </w:tcMar>
          </w:tcPr>
          <w:p w:rsidR="00000000" w:rsidRPr="00D57773" w:rsidP="00D57773">
            <w:pPr>
              <w:pStyle w:val="BodyText"/>
            </w:pPr>
            <w:r w:rsidRPr="00D57773">
              <w:t>simple contract</w:t>
            </w:r>
          </w:p>
          <w:p w:rsidR="00000000" w:rsidRPr="00D57773" w:rsidP="00D57773">
            <w:pPr>
              <w:pStyle w:val="BodyText"/>
            </w:pPr>
            <w:r w:rsidRPr="00D57773">
              <w:t>mem</w:t>
            </w:r>
            <w:r w:rsidRPr="00D57773">
              <w:t>oranda of understanding/memoranda of agreement</w:t>
            </w:r>
          </w:p>
          <w:p w:rsidR="00000000" w:rsidRPr="00D57773" w:rsidP="00D57773">
            <w:pPr>
              <w:pStyle w:val="BodyText"/>
            </w:pPr>
            <w:r w:rsidRPr="00D57773">
              <w:t>in-house option directives</w:t>
            </w:r>
          </w:p>
          <w:p w:rsidR="00000000" w:rsidRPr="00D57773" w:rsidP="00D57773">
            <w:pPr>
              <w:pStyle w:val="BodyText"/>
            </w:pPr>
            <w:r w:rsidRPr="00D57773">
              <w:t>common use arrangements/standing offers/deeds of standing offer</w:t>
            </w:r>
          </w:p>
          <w:p w:rsidR="00000000" w:rsidRPr="00D57773" w:rsidP="00D57773">
            <w:pPr>
              <w:pStyle w:val="BodyText"/>
            </w:pPr>
            <w:r w:rsidRPr="00D57773">
              <w:t>inter/intra-government agreements</w:t>
            </w:r>
          </w:p>
          <w:p w:rsidR="00000000" w:rsidRPr="00D57773" w:rsidP="00D57773">
            <w:pPr>
              <w:pStyle w:val="BodyText"/>
            </w:pPr>
            <w:r w:rsidRPr="00D57773">
              <w:t>letters of intent</w:t>
            </w:r>
          </w:p>
          <w:p w:rsidR="00000000" w:rsidP="00D57773">
            <w:pPr>
              <w:pStyle w:val="BodyText"/>
              <w:rPr>
                <w:lang w:val="en-NZ"/>
              </w:rPr>
            </w:pPr>
            <w:r w:rsidRPr="00D57773">
              <w:t xml:space="preserve">licensing </w:t>
            </w:r>
          </w:p>
        </w:tc>
      </w:tr>
      <w:tr w:rsidTr="004173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rPr>
                <w:rStyle w:val="SpecialBold"/>
              </w:rPr>
              <w:t>Timing of the review may include</w:t>
            </w:r>
          </w:p>
        </w:tc>
        <w:tc>
          <w:tcPr>
            <w:tcW w:w="4500" w:type="dxa"/>
            <w:tcBorders>
              <w:top w:val="nil"/>
              <w:left w:val="nil"/>
              <w:bottom w:val="nil"/>
              <w:right w:val="nil"/>
            </w:tcBorders>
            <w:tcMar>
              <w:top w:w="0" w:type="dxa"/>
              <w:left w:w="62" w:type="dxa"/>
              <w:bottom w:w="0" w:type="dxa"/>
              <w:right w:w="62" w:type="dxa"/>
            </w:tcMar>
          </w:tcPr>
          <w:p w:rsidR="00000000" w:rsidRPr="00D57773" w:rsidP="00D57773">
            <w:pPr>
              <w:pStyle w:val="BodyText"/>
            </w:pPr>
            <w:r w:rsidRPr="00D57773">
              <w:t>periodically througho</w:t>
            </w:r>
            <w:r w:rsidRPr="00D57773">
              <w:t>ut the contract</w:t>
            </w:r>
          </w:p>
          <w:p w:rsidR="00000000" w:rsidRPr="00D57773" w:rsidP="00D57773">
            <w:pPr>
              <w:pStyle w:val="BodyText"/>
            </w:pPr>
            <w:r w:rsidRPr="00D57773">
              <w:t>when issues of performance arise</w:t>
            </w:r>
          </w:p>
          <w:p w:rsidR="00000000" w:rsidRPr="00D57773" w:rsidP="00D57773">
            <w:pPr>
              <w:pStyle w:val="BodyText"/>
            </w:pPr>
            <w:r w:rsidRPr="00D57773">
              <w:t>prior to completion of the contract</w:t>
            </w:r>
          </w:p>
          <w:p w:rsidR="00000000" w:rsidRPr="00D57773" w:rsidP="00D57773">
            <w:pPr>
              <w:pStyle w:val="BodyText"/>
            </w:pPr>
            <w:r w:rsidRPr="00D57773">
              <w:t>concurrently with contract renewal process</w:t>
            </w:r>
          </w:p>
          <w:p w:rsidR="00000000" w:rsidP="00D57773">
            <w:pPr>
              <w:pStyle w:val="BodyText"/>
              <w:rPr>
                <w:lang w:val="en-NZ"/>
              </w:rPr>
            </w:pPr>
            <w:r w:rsidRPr="00D57773">
              <w:t xml:space="preserve">after the contract is completed </w:t>
            </w:r>
          </w:p>
        </w:tc>
      </w:tr>
      <w:tr w:rsidTr="004173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rPr>
                <w:rStyle w:val="SpecialBold"/>
              </w:rPr>
              <w:t>Contract review strategy may include</w:t>
            </w:r>
          </w:p>
        </w:tc>
        <w:tc>
          <w:tcPr>
            <w:tcW w:w="4500" w:type="dxa"/>
            <w:tcBorders>
              <w:top w:val="nil"/>
              <w:left w:val="nil"/>
              <w:bottom w:val="nil"/>
              <w:right w:val="nil"/>
            </w:tcBorders>
            <w:tcMar>
              <w:top w:w="0" w:type="dxa"/>
              <w:left w:w="62" w:type="dxa"/>
              <w:bottom w:w="0" w:type="dxa"/>
              <w:right w:w="62" w:type="dxa"/>
            </w:tcMar>
          </w:tcPr>
          <w:p w:rsidR="00000000" w:rsidRPr="00D57773" w:rsidP="00D57773">
            <w:pPr>
              <w:pStyle w:val="BodyText"/>
            </w:pPr>
            <w:r w:rsidRPr="00D57773">
              <w:t>planning process</w:t>
            </w:r>
          </w:p>
          <w:p w:rsidR="00000000" w:rsidRPr="00D57773" w:rsidP="00D57773">
            <w:pPr>
              <w:pStyle w:val="BodyText"/>
            </w:pPr>
            <w:r w:rsidRPr="00D57773">
              <w:t>evaluation considerations at each stage of the contract</w:t>
            </w:r>
          </w:p>
          <w:p w:rsidR="00000000" w:rsidRPr="00D57773" w:rsidP="00D57773">
            <w:pPr>
              <w:pStyle w:val="BodyText"/>
            </w:pPr>
            <w:r w:rsidRPr="00D57773">
              <w:t>sources and methods of gathering data</w:t>
            </w:r>
          </w:p>
          <w:p w:rsidR="00000000" w:rsidRPr="00D57773" w:rsidP="00D57773">
            <w:pPr>
              <w:pStyle w:val="BodyText"/>
            </w:pPr>
            <w:r w:rsidRPr="00D57773">
              <w:t>role of audit trails</w:t>
            </w:r>
          </w:p>
          <w:p w:rsidR="00000000" w:rsidRPr="00D57773" w:rsidP="00D57773">
            <w:pPr>
              <w:pStyle w:val="BodyText"/>
            </w:pPr>
            <w:r w:rsidRPr="00D57773">
              <w:t>measuring outputs</w:t>
            </w:r>
          </w:p>
          <w:p w:rsidR="00000000" w:rsidRPr="00D57773" w:rsidP="00D57773">
            <w:pPr>
              <w:pStyle w:val="BodyText"/>
            </w:pPr>
            <w:r w:rsidRPr="00D57773">
              <w:t>key performance indicators and their review</w:t>
            </w:r>
          </w:p>
          <w:p w:rsidR="00000000" w:rsidRPr="00D57773" w:rsidP="00D57773">
            <w:pPr>
              <w:pStyle w:val="BodyText"/>
            </w:pPr>
            <w:r w:rsidRPr="00D57773">
              <w:t>meeting client needs</w:t>
            </w:r>
          </w:p>
          <w:p w:rsidR="00000000" w:rsidRPr="00D57773" w:rsidP="00D57773">
            <w:pPr>
              <w:pStyle w:val="BodyText"/>
            </w:pPr>
            <w:r w:rsidRPr="00D57773">
              <w:t>innovation</w:t>
            </w:r>
          </w:p>
          <w:p w:rsidR="00000000" w:rsidP="00D57773">
            <w:pPr>
              <w:pStyle w:val="BodyText"/>
              <w:rPr>
                <w:lang w:val="en-NZ"/>
              </w:rPr>
            </w:pPr>
            <w:r w:rsidRPr="00D57773">
              <w:t xml:space="preserve">strategies for continuous improvement </w:t>
            </w:r>
          </w:p>
        </w:tc>
      </w:tr>
      <w:tr w:rsidTr="004173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57773">
            <w:pPr>
              <w:pStyle w:val="BodyText"/>
              <w:rPr>
                <w:lang w:val="en-NZ"/>
              </w:rPr>
            </w:pPr>
            <w:r w:rsidRPr="00D57773">
              <w:rPr>
                <w:rStyle w:val="SpecialBold"/>
              </w:rPr>
              <w:t>Varianc</w:t>
            </w:r>
            <w:r w:rsidRPr="00D57773">
              <w:rPr>
                <w:rStyle w:val="SpecialBold"/>
              </w:rPr>
              <w:t>es may include</w:t>
            </w:r>
          </w:p>
        </w:tc>
        <w:tc>
          <w:tcPr>
            <w:tcW w:w="4500" w:type="dxa"/>
            <w:tcBorders>
              <w:top w:val="nil"/>
              <w:left w:val="nil"/>
              <w:bottom w:val="nil"/>
              <w:right w:val="nil"/>
            </w:tcBorders>
            <w:tcMar>
              <w:top w:w="0" w:type="dxa"/>
              <w:left w:w="62" w:type="dxa"/>
              <w:bottom w:w="0" w:type="dxa"/>
              <w:right w:w="62" w:type="dxa"/>
            </w:tcMar>
          </w:tcPr>
          <w:p w:rsidR="00000000" w:rsidRPr="00D57773" w:rsidP="00D57773">
            <w:pPr>
              <w:pStyle w:val="BodyText"/>
            </w:pPr>
            <w:r w:rsidRPr="00D57773">
              <w:t>change of scope</w:t>
            </w:r>
          </w:p>
          <w:p w:rsidR="00000000" w:rsidRPr="00D57773" w:rsidP="00D57773">
            <w:pPr>
              <w:pStyle w:val="BodyText"/>
            </w:pPr>
            <w:r w:rsidRPr="00D57773">
              <w:t>negotiation of new terms and conditions</w:t>
            </w:r>
          </w:p>
          <w:p w:rsidR="00000000" w:rsidRPr="00D57773" w:rsidP="00D57773">
            <w:pPr>
              <w:pStyle w:val="BodyText"/>
            </w:pPr>
            <w:r w:rsidRPr="00D57773">
              <w:t>strategies for dealing with contractor performance</w:t>
            </w:r>
          </w:p>
          <w:p w:rsidR="00000000" w:rsidRPr="00D57773" w:rsidP="00D57773">
            <w:pPr>
              <w:pStyle w:val="BodyText"/>
            </w:pPr>
            <w:r w:rsidRPr="00D57773">
              <w:t xml:space="preserve">dissolution of contracts </w:t>
            </w:r>
          </w:p>
        </w:tc>
      </w:tr>
    </w:tbl>
    <w:p w:rsidR="00000000" w:rsidRPr="00D57773" w:rsidP="00D57773">
      <w:pPr>
        <w:pStyle w:val="BodyText"/>
      </w:pPr>
    </w:p>
    <w:p w:rsidR="00000000" w:rsidRPr="00D57773" w:rsidP="00D57773">
      <w:pPr>
        <w:pStyle w:val="AllowPageBreak"/>
      </w:pPr>
    </w:p>
    <w:p w:rsidR="00000000" w:rsidRPr="00D57773" w:rsidP="00D57773">
      <w:pPr>
        <w:pStyle w:val="Heading1"/>
      </w:pPr>
      <w:bookmarkStart w:id="12" w:name="O_312532"/>
      <w:bookmarkEnd w:id="12"/>
      <w:r w:rsidRPr="00D57773">
        <w:t>Unit Sector(s)</w:t>
      </w:r>
    </w:p>
    <w:p w:rsidR="00000000" w:rsidRPr="00D57773" w:rsidP="00D57773">
      <w:pPr>
        <w:pStyle w:val="Heading1"/>
      </w:pPr>
      <w:bookmarkStart w:id="13" w:name="O_312533"/>
      <w:bookmarkEnd w:id="13"/>
      <w:r w:rsidRPr="00D57773">
        <w:t>Competency field</w:t>
      </w:r>
    </w:p>
    <w:p w:rsidR="00000000" w:rsidRPr="00D57773" w:rsidP="00D57773">
      <w:pPr>
        <w:pStyle w:val="BodyText"/>
      </w:pPr>
      <w:r w:rsidRPr="00D57773">
        <w:t>Procurement&amp;Contract Management</w:t>
      </w:r>
    </w:p>
    <w:p w:rsidR="00000000" w:rsidRPr="00D57773" w:rsidP="00D57773"/>
    <w:sectPr w:rsidSect="00D577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73F8" w:rsidP="004173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3F8" w:rsidP="00D577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173F8" w:rsidP="00D577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173F8" w:rsidP="00D577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73F8" w:rsidP="004173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3F8" w:rsidP="00D57773">
    <w:pPr>
      <w:pStyle w:val="Header"/>
      <w:framePr w:wrap="around"/>
    </w:pPr>
    <w:r>
      <w:fldChar w:fldCharType="begin"/>
    </w:r>
    <w:r>
      <w:instrText xml:space="preserve"> TITLE   \* MERGEFORMAT </w:instrText>
    </w:r>
    <w:r>
      <w:fldChar w:fldCharType="separate"/>
    </w:r>
    <w:r>
      <w:t>PSPPROC504A Finalise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73F8" w:rsidP="00D577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7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7773"/>
    <w:pPr>
      <w:spacing w:before="360" w:after="60"/>
      <w:outlineLvl w:val="0"/>
    </w:pPr>
    <w:rPr>
      <w:sz w:val="32"/>
    </w:rPr>
  </w:style>
  <w:style w:type="paragraph" w:styleId="Heading2">
    <w:name w:val="heading 2"/>
    <w:basedOn w:val="HeadingBase"/>
    <w:next w:val="BodyText"/>
    <w:link w:val="Heading2Char"/>
    <w:qFormat/>
    <w:rsid w:val="00D57773"/>
    <w:pPr>
      <w:keepLines/>
      <w:spacing w:before="240" w:after="120"/>
      <w:outlineLvl w:val="1"/>
    </w:pPr>
    <w:rPr>
      <w:sz w:val="28"/>
      <w:szCs w:val="40"/>
    </w:rPr>
  </w:style>
  <w:style w:type="paragraph" w:styleId="Heading3">
    <w:name w:val="heading 3"/>
    <w:basedOn w:val="HeadingBase"/>
    <w:next w:val="BodyText"/>
    <w:link w:val="Heading3Char"/>
    <w:qFormat/>
    <w:rsid w:val="00D57773"/>
    <w:pPr>
      <w:spacing w:before="180" w:after="120"/>
      <w:outlineLvl w:val="2"/>
    </w:pPr>
    <w:rPr>
      <w:spacing w:val="-10"/>
      <w:kern w:val="32"/>
    </w:rPr>
  </w:style>
  <w:style w:type="paragraph" w:styleId="Heading4">
    <w:name w:val="heading 4"/>
    <w:basedOn w:val="HeadingBase"/>
    <w:next w:val="BodyText"/>
    <w:link w:val="Heading4Char"/>
    <w:qFormat/>
    <w:rsid w:val="00D57773"/>
    <w:pPr>
      <w:spacing w:before="160" w:after="120"/>
      <w:outlineLvl w:val="3"/>
    </w:pPr>
    <w:rPr>
      <w:sz w:val="22"/>
    </w:rPr>
  </w:style>
  <w:style w:type="paragraph" w:styleId="Heading5">
    <w:name w:val="heading 5"/>
    <w:basedOn w:val="HeadingBase"/>
    <w:next w:val="Normal"/>
    <w:link w:val="Heading5Char"/>
    <w:qFormat/>
    <w:rsid w:val="00D57773"/>
    <w:pPr>
      <w:spacing w:before="80"/>
      <w:outlineLvl w:val="4"/>
    </w:pPr>
    <w:rPr>
      <w:color w:val="918585"/>
      <w:sz w:val="20"/>
    </w:rPr>
  </w:style>
  <w:style w:type="paragraph" w:styleId="Heading6">
    <w:name w:val="heading 6"/>
    <w:basedOn w:val="HeadingBase"/>
    <w:next w:val="Normal"/>
    <w:link w:val="Heading6Char"/>
    <w:qFormat/>
    <w:rsid w:val="00D57773"/>
    <w:pPr>
      <w:spacing w:before="60"/>
      <w:outlineLvl w:val="5"/>
    </w:pPr>
    <w:rPr>
      <w:color w:val="918585"/>
      <w:sz w:val="20"/>
    </w:rPr>
  </w:style>
  <w:style w:type="paragraph" w:styleId="Heading7">
    <w:name w:val="heading 7"/>
    <w:basedOn w:val="Normal"/>
    <w:next w:val="Normal"/>
    <w:link w:val="Heading7Char"/>
    <w:qFormat/>
    <w:rsid w:val="00D57773"/>
    <w:pPr>
      <w:ind w:left="720"/>
      <w:outlineLvl w:val="6"/>
    </w:pPr>
    <w:rPr>
      <w:i/>
    </w:rPr>
  </w:style>
  <w:style w:type="paragraph" w:styleId="Heading8">
    <w:name w:val="heading 8"/>
    <w:basedOn w:val="Normal"/>
    <w:next w:val="Normal"/>
    <w:link w:val="Heading8Char"/>
    <w:qFormat/>
    <w:rsid w:val="00D57773"/>
    <w:pPr>
      <w:ind w:left="720"/>
      <w:outlineLvl w:val="7"/>
    </w:pPr>
    <w:rPr>
      <w:i/>
    </w:rPr>
  </w:style>
  <w:style w:type="paragraph" w:styleId="Heading9">
    <w:name w:val="heading 9"/>
    <w:basedOn w:val="Normal"/>
    <w:next w:val="Normal"/>
    <w:link w:val="Heading9Char"/>
    <w:qFormat/>
    <w:rsid w:val="00D57773"/>
    <w:pPr>
      <w:ind w:left="720"/>
      <w:outlineLvl w:val="8"/>
    </w:pPr>
    <w:rPr>
      <w:i/>
    </w:rPr>
  </w:style>
  <w:style w:type="character" w:default="1" w:styleId="DefaultParagraphFont">
    <w:name w:val="Default Paragraph Font"/>
    <w:uiPriority w:val="1"/>
    <w:unhideWhenUsed/>
    <w:rsid w:val="00D577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773"/>
  </w:style>
  <w:style w:type="character" w:customStyle="1" w:styleId="Heading1Char">
    <w:name w:val="Heading 1 Char"/>
    <w:basedOn w:val="DefaultParagraphFont"/>
    <w:link w:val="Heading1"/>
    <w:rsid w:val="00D57773"/>
    <w:rPr>
      <w:rFonts w:ascii="Times New Roman" w:eastAsia="Times New Roman" w:hAnsi="Times New Roman" w:cs="Times New Roman"/>
      <w:b/>
      <w:sz w:val="32"/>
      <w:szCs w:val="20"/>
      <w:lang w:eastAsia="en-US"/>
    </w:rPr>
  </w:style>
  <w:style w:type="paragraph" w:styleId="BodyText">
    <w:name w:val="Body Text"/>
    <w:basedOn w:val="Normal"/>
    <w:link w:val="BodyTextChar"/>
    <w:rsid w:val="00D577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7773"/>
    <w:rPr>
      <w:rFonts w:ascii="Times New Roman" w:eastAsia="Times New Roman" w:hAnsi="Times New Roman" w:cs="Times New Roman"/>
      <w:sz w:val="24"/>
      <w:lang w:val="en-US" w:eastAsia="en-US"/>
    </w:rPr>
  </w:style>
  <w:style w:type="paragraph" w:styleId="Footer">
    <w:name w:val="footer"/>
    <w:basedOn w:val="Normal"/>
    <w:link w:val="FooterChar"/>
    <w:rsid w:val="00D577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77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57773"/>
    <w:rPr>
      <w:b/>
      <w:spacing w:val="0"/>
    </w:rPr>
  </w:style>
  <w:style w:type="paragraph" w:styleId="Header">
    <w:name w:val="header"/>
    <w:basedOn w:val="Normal"/>
    <w:link w:val="HeaderChar"/>
    <w:rsid w:val="00D577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7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7773"/>
    <w:pPr>
      <w:spacing w:before="240" w:after="120"/>
      <w:outlineLvl w:val="0"/>
    </w:pPr>
    <w:rPr>
      <w:rFonts w:ascii="Times New Roman" w:hAnsi="Times New Roman"/>
      <w:b/>
      <w:sz w:val="28"/>
    </w:rPr>
  </w:style>
  <w:style w:type="paragraph" w:customStyle="1" w:styleId="AllowPageBreak">
    <w:name w:val="AllowPageBreak"/>
    <w:rsid w:val="00D577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77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7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7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7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7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7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77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7773"/>
    <w:rPr>
      <w:rFonts w:ascii="Courier New" w:eastAsia="Times New Roman" w:hAnsi="Courier New" w:cs="Times New Roman"/>
      <w:i/>
      <w:szCs w:val="20"/>
      <w:lang w:val="en-US" w:eastAsia="en-US"/>
    </w:rPr>
  </w:style>
  <w:style w:type="paragraph" w:customStyle="1" w:styleId="HeadingBase">
    <w:name w:val="Heading Base"/>
    <w:rsid w:val="00D577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773"/>
    <w:pPr>
      <w:tabs>
        <w:tab w:val="right" w:leader="dot" w:pos="9072"/>
      </w:tabs>
      <w:ind w:left="567"/>
    </w:pPr>
    <w:rPr>
      <w:szCs w:val="22"/>
    </w:rPr>
  </w:style>
  <w:style w:type="paragraph" w:customStyle="1" w:styleId="TOCBase">
    <w:name w:val="TOC Base"/>
    <w:rsid w:val="00D577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773"/>
    <w:pPr>
      <w:tabs>
        <w:tab w:val="right" w:leader="dot" w:pos="9072"/>
      </w:tabs>
      <w:spacing w:before="40" w:after="40"/>
      <w:ind w:left="284"/>
    </w:pPr>
    <w:rPr>
      <w:rFonts w:ascii="Times New Roman" w:hAnsi="Times New Roman"/>
    </w:rPr>
  </w:style>
  <w:style w:type="paragraph" w:styleId="TOC1">
    <w:name w:val="toc 1"/>
    <w:basedOn w:val="TOCBase"/>
    <w:next w:val="Normal"/>
    <w:rsid w:val="00D577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7773"/>
    <w:pPr>
      <w:spacing w:before="5040"/>
      <w:jc w:val="center"/>
    </w:pPr>
    <w:rPr>
      <w:sz w:val="48"/>
      <w:szCs w:val="72"/>
      <w:lang w:val="en-US"/>
    </w:rPr>
  </w:style>
  <w:style w:type="character" w:customStyle="1" w:styleId="TitleChar">
    <w:name w:val="Title Char"/>
    <w:basedOn w:val="DefaultParagraphFont"/>
    <w:link w:val="Title"/>
    <w:rsid w:val="00D577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773"/>
    <w:pPr>
      <w:tabs>
        <w:tab w:val="left" w:pos="3600"/>
        <w:tab w:val="left" w:pos="3958"/>
      </w:tabs>
    </w:pPr>
  </w:style>
  <w:style w:type="paragraph" w:styleId="List">
    <w:name w:val="List"/>
    <w:basedOn w:val="BodyText"/>
    <w:next w:val="BodyText"/>
    <w:rsid w:val="00D57773"/>
    <w:pPr>
      <w:tabs>
        <w:tab w:val="left" w:pos="340"/>
      </w:tabs>
      <w:spacing w:before="60" w:after="60"/>
      <w:ind w:left="340" w:hanging="340"/>
    </w:pPr>
  </w:style>
  <w:style w:type="paragraph" w:styleId="ListBullet">
    <w:name w:val="List Bullet"/>
    <w:basedOn w:val="List"/>
    <w:rsid w:val="00D57773"/>
    <w:pPr>
      <w:numPr>
        <w:numId w:val="11"/>
      </w:numPr>
      <w:tabs>
        <w:tab w:val="clear" w:pos="340"/>
      </w:tabs>
      <w:spacing w:before="40" w:after="40"/>
    </w:pPr>
  </w:style>
  <w:style w:type="paragraph" w:customStyle="1" w:styleId="Note">
    <w:name w:val="Note"/>
    <w:basedOn w:val="BodyText"/>
    <w:rsid w:val="00D577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773"/>
    <w:pPr>
      <w:framePr w:wrap="auto" w:hAnchor="text" w:y="6049"/>
    </w:pPr>
    <w:rPr>
      <w:color w:val="000000"/>
      <w:sz w:val="40"/>
    </w:rPr>
  </w:style>
  <w:style w:type="paragraph" w:customStyle="1" w:styleId="TOCTitle">
    <w:name w:val="TOCTitle"/>
    <w:basedOn w:val="Heading1"/>
    <w:rsid w:val="00D57773"/>
    <w:pPr>
      <w:spacing w:after="240"/>
      <w:jc w:val="center"/>
      <w:outlineLvl w:val="9"/>
    </w:pPr>
    <w:rPr>
      <w:caps/>
    </w:rPr>
  </w:style>
  <w:style w:type="paragraph" w:customStyle="1" w:styleId="Version">
    <w:name w:val="Version"/>
    <w:rsid w:val="00D577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7773"/>
    <w:pPr>
      <w:numPr>
        <w:numId w:val="12"/>
      </w:numPr>
      <w:tabs>
        <w:tab w:val="clear" w:pos="680"/>
      </w:tabs>
    </w:pPr>
  </w:style>
  <w:style w:type="paragraph" w:styleId="Index1">
    <w:name w:val="index 1"/>
    <w:basedOn w:val="Normal"/>
    <w:next w:val="Normal"/>
    <w:semiHidden/>
    <w:rsid w:val="00D57773"/>
    <w:pPr>
      <w:keepNext w:val="0"/>
      <w:tabs>
        <w:tab w:val="right" w:pos="4176"/>
      </w:tabs>
      <w:ind w:left="198" w:hanging="198"/>
    </w:pPr>
    <w:rPr>
      <w:rFonts w:ascii="Garamond" w:hAnsi="Garamond"/>
    </w:rPr>
  </w:style>
  <w:style w:type="paragraph" w:styleId="IndexHeading">
    <w:name w:val="index heading"/>
    <w:basedOn w:val="Normal"/>
    <w:next w:val="Index1"/>
    <w:semiHidden/>
    <w:rsid w:val="00D57773"/>
    <w:pPr>
      <w:spacing w:before="120" w:after="120"/>
    </w:pPr>
    <w:rPr>
      <w:rFonts w:ascii="Arial" w:hAnsi="Arial"/>
      <w:b/>
      <w:color w:val="918585"/>
      <w:sz w:val="24"/>
    </w:rPr>
  </w:style>
  <w:style w:type="paragraph" w:customStyle="1" w:styleId="Chapter">
    <w:name w:val="Chapter"/>
    <w:basedOn w:val="Normal"/>
    <w:rsid w:val="00D57773"/>
    <w:pPr>
      <w:spacing w:before="240"/>
    </w:pPr>
    <w:rPr>
      <w:rFonts w:ascii="Times New Roman" w:hAnsi="Times New Roman"/>
      <w:smallCaps/>
      <w:spacing w:val="80"/>
      <w:sz w:val="28"/>
    </w:rPr>
  </w:style>
  <w:style w:type="paragraph" w:customStyle="1" w:styleId="InChapter">
    <w:name w:val="InChapter"/>
    <w:basedOn w:val="Heading3"/>
    <w:rsid w:val="00D57773"/>
    <w:pPr>
      <w:spacing w:after="240"/>
      <w:outlineLvl w:val="9"/>
    </w:pPr>
    <w:rPr>
      <w:noProof/>
    </w:rPr>
  </w:style>
  <w:style w:type="paragraph" w:styleId="Index2">
    <w:name w:val="index 2"/>
    <w:basedOn w:val="Normal"/>
    <w:next w:val="Normal"/>
    <w:semiHidden/>
    <w:rsid w:val="00D57773"/>
    <w:pPr>
      <w:tabs>
        <w:tab w:val="right" w:pos="4176"/>
      </w:tabs>
      <w:ind w:left="568" w:hanging="284"/>
    </w:pPr>
    <w:rPr>
      <w:rFonts w:ascii="Garamond" w:hAnsi="Garamond"/>
    </w:rPr>
  </w:style>
  <w:style w:type="paragraph" w:customStyle="1" w:styleId="Byline">
    <w:name w:val="Byline"/>
    <w:rsid w:val="00D577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773"/>
    <w:pPr>
      <w:tabs>
        <w:tab w:val="clear" w:pos="3600"/>
        <w:tab w:val="clear" w:pos="3958"/>
      </w:tabs>
      <w:jc w:val="right"/>
    </w:pPr>
  </w:style>
  <w:style w:type="character" w:styleId="Emphasis">
    <w:name w:val="Emphasis"/>
    <w:basedOn w:val="DefaultParagraphFont"/>
    <w:qFormat/>
    <w:rsid w:val="00D57773"/>
    <w:rPr>
      <w:i/>
    </w:rPr>
  </w:style>
  <w:style w:type="paragraph" w:styleId="Caption">
    <w:name w:val="caption"/>
    <w:basedOn w:val="BodyText"/>
    <w:next w:val="Normal"/>
    <w:qFormat/>
    <w:rsid w:val="00D57773"/>
    <w:pPr>
      <w:framePr w:w="2268" w:hSpace="181" w:vSpace="181" w:wrap="around" w:vAnchor="text" w:hAnchor="page" w:x="1135" w:y="285" w:anchorLock="1"/>
    </w:pPr>
    <w:rPr>
      <w:i/>
    </w:rPr>
  </w:style>
  <w:style w:type="paragraph" w:customStyle="1" w:styleId="MiniTOCTitle">
    <w:name w:val="MiniTOCTitle"/>
    <w:basedOn w:val="Heading4"/>
    <w:rsid w:val="00D57773"/>
    <w:pPr>
      <w:spacing w:before="240"/>
      <w:outlineLvl w:val="9"/>
    </w:pPr>
    <w:rPr>
      <w:noProof/>
      <w:sz w:val="24"/>
    </w:rPr>
  </w:style>
  <w:style w:type="paragraph" w:customStyle="1" w:styleId="MiniTOCItem">
    <w:name w:val="MiniTOCItem"/>
    <w:basedOn w:val="ListBullet"/>
    <w:rsid w:val="00D57773"/>
    <w:pPr>
      <w:numPr>
        <w:numId w:val="0"/>
      </w:numPr>
      <w:tabs>
        <w:tab w:val="right" w:leader="dot" w:pos="6521"/>
      </w:tabs>
      <w:spacing w:before="0" w:after="0"/>
    </w:pPr>
  </w:style>
  <w:style w:type="paragraph" w:customStyle="1" w:styleId="TOFTitle">
    <w:name w:val="TOFTitle"/>
    <w:basedOn w:val="TOCTitle"/>
    <w:rsid w:val="00D57773"/>
  </w:style>
  <w:style w:type="paragraph" w:styleId="TableofFigures">
    <w:name w:val="table of figures"/>
    <w:basedOn w:val="Normal"/>
    <w:next w:val="Normal"/>
    <w:semiHidden/>
    <w:rsid w:val="00D57773"/>
    <w:pPr>
      <w:tabs>
        <w:tab w:val="right" w:leader="dot" w:pos="9072"/>
      </w:tabs>
      <w:ind w:left="970" w:hanging="403"/>
    </w:pPr>
    <w:rPr>
      <w:rFonts w:ascii="Times New Roman" w:hAnsi="Times New Roman"/>
      <w:b/>
    </w:rPr>
  </w:style>
  <w:style w:type="paragraph" w:styleId="ListNumber">
    <w:name w:val="List Number"/>
    <w:basedOn w:val="List"/>
    <w:rsid w:val="00D57773"/>
    <w:pPr>
      <w:numPr>
        <w:numId w:val="9"/>
      </w:numPr>
    </w:pPr>
  </w:style>
  <w:style w:type="character" w:customStyle="1" w:styleId="WingdingSymbols">
    <w:name w:val="Wingding Symbols"/>
    <w:rsid w:val="00D57773"/>
    <w:rPr>
      <w:rFonts w:ascii="Wingdings" w:hAnsi="Wingdings"/>
    </w:rPr>
  </w:style>
  <w:style w:type="paragraph" w:customStyle="1" w:styleId="TableHeading">
    <w:name w:val="Table Heading"/>
    <w:basedOn w:val="HeadingBase"/>
    <w:rsid w:val="00D57773"/>
    <w:pPr>
      <w:keepLines/>
      <w:pBdr>
        <w:bottom w:val="single" w:sz="6" w:space="1" w:color="918585"/>
      </w:pBdr>
      <w:spacing w:before="240"/>
    </w:pPr>
  </w:style>
  <w:style w:type="character" w:customStyle="1" w:styleId="HotSpot">
    <w:name w:val="HotSpot"/>
    <w:rsid w:val="00D57773"/>
    <w:rPr>
      <w:color w:val="0033CC"/>
      <w:u w:val="none"/>
    </w:rPr>
  </w:style>
  <w:style w:type="paragraph" w:customStyle="1" w:styleId="BodyTextRight">
    <w:name w:val="Body Text Right"/>
    <w:basedOn w:val="BodyText"/>
    <w:rsid w:val="00D57773"/>
    <w:pPr>
      <w:spacing w:before="0" w:after="0"/>
      <w:jc w:val="right"/>
    </w:pPr>
  </w:style>
  <w:style w:type="paragraph" w:styleId="Index3">
    <w:name w:val="index 3"/>
    <w:basedOn w:val="ListNumber2"/>
    <w:next w:val="Normal"/>
    <w:semiHidden/>
    <w:rsid w:val="00D57773"/>
    <w:pPr>
      <w:numPr>
        <w:numId w:val="0"/>
      </w:numPr>
      <w:tabs>
        <w:tab w:val="right" w:leader="dot" w:pos="4176"/>
      </w:tabs>
    </w:pPr>
  </w:style>
  <w:style w:type="paragraph" w:styleId="ListNumber2">
    <w:name w:val="List Number 2"/>
    <w:basedOn w:val="List2"/>
    <w:rsid w:val="00D57773"/>
    <w:pPr>
      <w:numPr>
        <w:numId w:val="8"/>
      </w:numPr>
      <w:tabs>
        <w:tab w:val="clear" w:pos="1060"/>
      </w:tabs>
    </w:pPr>
  </w:style>
  <w:style w:type="paragraph" w:customStyle="1" w:styleId="MarginNote">
    <w:name w:val="Margin Note"/>
    <w:basedOn w:val="BodyText"/>
    <w:rsid w:val="00D577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7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7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7773"/>
    <w:rPr>
      <w:sz w:val="32"/>
    </w:rPr>
  </w:style>
  <w:style w:type="paragraph" w:customStyle="1" w:styleId="HeadingProcedure">
    <w:name w:val="Heading Procedure"/>
    <w:basedOn w:val="HeadingBase"/>
    <w:next w:val="Normal"/>
    <w:rsid w:val="00D57773"/>
    <w:pPr>
      <w:tabs>
        <w:tab w:val="left" w:pos="0"/>
      </w:tabs>
      <w:spacing w:before="120" w:after="60"/>
    </w:pPr>
    <w:rPr>
      <w:i/>
      <w:color w:val="918585"/>
      <w:sz w:val="22"/>
    </w:rPr>
  </w:style>
  <w:style w:type="paragraph" w:customStyle="1" w:styleId="TableBodyText">
    <w:name w:val="Table Body Text"/>
    <w:basedOn w:val="BodyText"/>
    <w:rsid w:val="00D57773"/>
    <w:pPr>
      <w:spacing w:before="60" w:after="60"/>
    </w:pPr>
  </w:style>
  <w:style w:type="paragraph" w:styleId="ListContinue">
    <w:name w:val="List Continue"/>
    <w:basedOn w:val="List"/>
    <w:rsid w:val="00D57773"/>
    <w:pPr>
      <w:ind w:firstLine="0"/>
    </w:pPr>
  </w:style>
  <w:style w:type="paragraph" w:customStyle="1" w:styleId="ListNote">
    <w:name w:val="List Note"/>
    <w:basedOn w:val="List"/>
    <w:rsid w:val="00D57773"/>
    <w:pPr>
      <w:pBdr>
        <w:top w:val="single" w:sz="6" w:space="2" w:color="918585"/>
        <w:bottom w:val="single" w:sz="6" w:space="2" w:color="918585"/>
      </w:pBdr>
      <w:tabs>
        <w:tab w:val="left" w:pos="1021"/>
      </w:tabs>
      <w:ind w:firstLine="0"/>
    </w:pPr>
  </w:style>
  <w:style w:type="paragraph" w:customStyle="1" w:styleId="Warning">
    <w:name w:val="Warning"/>
    <w:basedOn w:val="BodyText"/>
    <w:rsid w:val="00D57773"/>
    <w:pPr>
      <w:shd w:val="clear" w:color="auto" w:fill="D9D9D9"/>
      <w:tabs>
        <w:tab w:val="left" w:pos="992"/>
      </w:tabs>
      <w:ind w:left="119" w:right="119"/>
    </w:pPr>
    <w:rPr>
      <w:sz w:val="20"/>
    </w:rPr>
  </w:style>
  <w:style w:type="paragraph" w:customStyle="1" w:styleId="MarginIcons">
    <w:name w:val="Margin Icons"/>
    <w:basedOn w:val="BodyText"/>
    <w:rsid w:val="00D577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773"/>
    <w:rPr>
      <w:rFonts w:ascii="Courier New" w:hAnsi="Courier New"/>
    </w:rPr>
  </w:style>
  <w:style w:type="paragraph" w:customStyle="1" w:styleId="NoteBullet">
    <w:name w:val="Note Bullet"/>
    <w:basedOn w:val="Note"/>
    <w:rsid w:val="00D57773"/>
    <w:pPr>
      <w:tabs>
        <w:tab w:val="clear" w:pos="680"/>
      </w:tabs>
      <w:spacing w:before="60" w:after="60"/>
    </w:pPr>
  </w:style>
  <w:style w:type="paragraph" w:customStyle="1" w:styleId="SubHeading2">
    <w:name w:val="SubHeading2"/>
    <w:basedOn w:val="HeadingBase"/>
    <w:rsid w:val="00D57773"/>
    <w:pPr>
      <w:spacing w:before="240" w:after="60"/>
    </w:pPr>
    <w:rPr>
      <w:sz w:val="20"/>
    </w:rPr>
  </w:style>
  <w:style w:type="paragraph" w:customStyle="1" w:styleId="SubHeading1">
    <w:name w:val="SubHeading1"/>
    <w:basedOn w:val="HeadingBase"/>
    <w:rsid w:val="00D57773"/>
    <w:pPr>
      <w:spacing w:before="240" w:after="60"/>
    </w:pPr>
    <w:rPr>
      <w:color w:val="918585"/>
      <w:sz w:val="22"/>
    </w:rPr>
  </w:style>
  <w:style w:type="paragraph" w:customStyle="1" w:styleId="SideHeading">
    <w:name w:val="Side Heading"/>
    <w:basedOn w:val="HeadingBase"/>
    <w:rsid w:val="00D577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773"/>
    <w:pPr>
      <w:numPr>
        <w:numId w:val="10"/>
      </w:numPr>
    </w:pPr>
  </w:style>
  <w:style w:type="paragraph" w:styleId="PlainText">
    <w:name w:val="Plain Text"/>
    <w:basedOn w:val="Normal"/>
    <w:link w:val="PlainTextChar"/>
    <w:rsid w:val="00D57773"/>
    <w:rPr>
      <w:sz w:val="20"/>
    </w:rPr>
  </w:style>
  <w:style w:type="character" w:customStyle="1" w:styleId="PlainTextChar">
    <w:name w:val="Plain Text Char"/>
    <w:basedOn w:val="DefaultParagraphFont"/>
    <w:link w:val="PlainText"/>
    <w:rsid w:val="00D577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7773"/>
    <w:rPr>
      <w:b/>
      <w:smallCaps/>
    </w:rPr>
  </w:style>
  <w:style w:type="paragraph" w:customStyle="1" w:styleId="TableListNumber">
    <w:name w:val="Table List Number"/>
    <w:basedOn w:val="ListNumber"/>
    <w:rsid w:val="00D57773"/>
    <w:pPr>
      <w:numPr>
        <w:numId w:val="0"/>
      </w:numPr>
    </w:pPr>
  </w:style>
  <w:style w:type="paragraph" w:styleId="TOC4">
    <w:name w:val="toc 4"/>
    <w:basedOn w:val="TOCBase"/>
    <w:next w:val="Normal"/>
    <w:semiHidden/>
    <w:rsid w:val="00D57773"/>
    <w:pPr>
      <w:tabs>
        <w:tab w:val="right" w:leader="dot" w:pos="9071"/>
      </w:tabs>
      <w:ind w:left="1701"/>
    </w:pPr>
  </w:style>
  <w:style w:type="paragraph" w:customStyle="1" w:styleId="ListAlpha">
    <w:name w:val="List Alpha"/>
    <w:basedOn w:val="List"/>
    <w:rsid w:val="00D57773"/>
    <w:pPr>
      <w:numPr>
        <w:numId w:val="7"/>
      </w:numPr>
    </w:pPr>
  </w:style>
  <w:style w:type="paragraph" w:customStyle="1" w:styleId="ListAlpha2">
    <w:name w:val="List Alpha 2"/>
    <w:basedOn w:val="List2"/>
    <w:rsid w:val="00D57773"/>
    <w:pPr>
      <w:numPr>
        <w:numId w:val="6"/>
      </w:numPr>
    </w:pPr>
  </w:style>
  <w:style w:type="paragraph" w:styleId="List2">
    <w:name w:val="List 2"/>
    <w:basedOn w:val="BodyText"/>
    <w:rsid w:val="00D57773"/>
    <w:pPr>
      <w:tabs>
        <w:tab w:val="left" w:pos="680"/>
      </w:tabs>
      <w:spacing w:before="60" w:after="60"/>
      <w:ind w:left="680" w:hanging="340"/>
    </w:pPr>
  </w:style>
  <w:style w:type="paragraph" w:styleId="List3">
    <w:name w:val="List 3"/>
    <w:basedOn w:val="BodyText"/>
    <w:rsid w:val="00D57773"/>
    <w:pPr>
      <w:tabs>
        <w:tab w:val="left" w:pos="1021"/>
      </w:tabs>
      <w:spacing w:before="60" w:after="60"/>
      <w:ind w:left="1020" w:hanging="340"/>
    </w:pPr>
  </w:style>
  <w:style w:type="paragraph" w:styleId="List4">
    <w:name w:val="List 4"/>
    <w:basedOn w:val="BodyText"/>
    <w:rsid w:val="00D57773"/>
    <w:pPr>
      <w:tabs>
        <w:tab w:val="left" w:pos="1361"/>
      </w:tabs>
      <w:spacing w:before="60" w:after="60"/>
      <w:ind w:left="1361" w:hanging="340"/>
    </w:pPr>
  </w:style>
  <w:style w:type="paragraph" w:styleId="List5">
    <w:name w:val="List 5"/>
    <w:basedOn w:val="BodyText"/>
    <w:rsid w:val="00D57773"/>
    <w:pPr>
      <w:tabs>
        <w:tab w:val="left" w:pos="1701"/>
      </w:tabs>
      <w:spacing w:before="60" w:after="60"/>
      <w:ind w:left="1701" w:hanging="340"/>
    </w:pPr>
  </w:style>
  <w:style w:type="paragraph" w:styleId="ListBullet3">
    <w:name w:val="List Bullet 3"/>
    <w:basedOn w:val="List3"/>
    <w:rsid w:val="00D57773"/>
    <w:pPr>
      <w:numPr>
        <w:numId w:val="13"/>
      </w:numPr>
      <w:tabs>
        <w:tab w:val="clear" w:pos="1021"/>
      </w:tabs>
      <w:ind w:left="1037" w:hanging="357"/>
    </w:pPr>
  </w:style>
  <w:style w:type="paragraph" w:styleId="ListBullet4">
    <w:name w:val="List Bullet 4"/>
    <w:basedOn w:val="List4"/>
    <w:rsid w:val="00D57773"/>
    <w:pPr>
      <w:numPr>
        <w:numId w:val="1"/>
      </w:numPr>
    </w:pPr>
  </w:style>
  <w:style w:type="paragraph" w:styleId="ListBullet5">
    <w:name w:val="List Bullet 5"/>
    <w:basedOn w:val="List5"/>
    <w:rsid w:val="00D57773"/>
    <w:pPr>
      <w:numPr>
        <w:numId w:val="2"/>
      </w:numPr>
    </w:pPr>
  </w:style>
  <w:style w:type="paragraph" w:styleId="ListContinue2">
    <w:name w:val="List Continue 2"/>
    <w:basedOn w:val="List2"/>
    <w:rsid w:val="00D57773"/>
    <w:pPr>
      <w:ind w:firstLine="0"/>
    </w:pPr>
  </w:style>
  <w:style w:type="paragraph" w:styleId="ListContinue3">
    <w:name w:val="List Continue 3"/>
    <w:basedOn w:val="List3"/>
    <w:rsid w:val="00D57773"/>
    <w:pPr>
      <w:ind w:left="1021" w:firstLine="0"/>
    </w:pPr>
  </w:style>
  <w:style w:type="paragraph" w:styleId="ListContinue4">
    <w:name w:val="List Continue 4"/>
    <w:basedOn w:val="List4"/>
    <w:rsid w:val="00D57773"/>
    <w:pPr>
      <w:ind w:firstLine="0"/>
    </w:pPr>
  </w:style>
  <w:style w:type="paragraph" w:styleId="ListContinue5">
    <w:name w:val="List Continue 5"/>
    <w:basedOn w:val="List5"/>
    <w:rsid w:val="00D57773"/>
    <w:pPr>
      <w:ind w:firstLine="0"/>
    </w:pPr>
  </w:style>
  <w:style w:type="paragraph" w:styleId="ListNumber3">
    <w:name w:val="List Number 3"/>
    <w:basedOn w:val="List3"/>
    <w:rsid w:val="00D57773"/>
    <w:pPr>
      <w:numPr>
        <w:numId w:val="3"/>
      </w:numPr>
    </w:pPr>
  </w:style>
  <w:style w:type="paragraph" w:styleId="ListNumber4">
    <w:name w:val="List Number 4"/>
    <w:basedOn w:val="List4"/>
    <w:rsid w:val="00D57773"/>
    <w:pPr>
      <w:numPr>
        <w:numId w:val="4"/>
      </w:numPr>
    </w:pPr>
  </w:style>
  <w:style w:type="paragraph" w:styleId="ListNumber5">
    <w:name w:val="List Number 5"/>
    <w:basedOn w:val="List5"/>
    <w:rsid w:val="00D57773"/>
    <w:pPr>
      <w:numPr>
        <w:numId w:val="5"/>
      </w:numPr>
    </w:pPr>
  </w:style>
  <w:style w:type="paragraph" w:styleId="BlockText">
    <w:name w:val="Block Text"/>
    <w:basedOn w:val="Normal"/>
    <w:rsid w:val="00D57773"/>
    <w:pPr>
      <w:spacing w:after="120"/>
      <w:ind w:left="1440" w:right="1440"/>
    </w:pPr>
  </w:style>
  <w:style w:type="character" w:customStyle="1" w:styleId="Subscript">
    <w:name w:val="Subscript"/>
    <w:basedOn w:val="DefaultParagraphFont"/>
    <w:rsid w:val="00D57773"/>
    <w:rPr>
      <w:sz w:val="16"/>
      <w:vertAlign w:val="subscript"/>
    </w:rPr>
  </w:style>
  <w:style w:type="character" w:customStyle="1" w:styleId="Superscript">
    <w:name w:val="Superscript"/>
    <w:basedOn w:val="DefaultParagraphFont"/>
    <w:rsid w:val="00D57773"/>
    <w:rPr>
      <w:sz w:val="16"/>
      <w:vertAlign w:val="superscript"/>
    </w:rPr>
  </w:style>
  <w:style w:type="character" w:customStyle="1" w:styleId="Symbols">
    <w:name w:val="Symbols"/>
    <w:basedOn w:val="DefaultParagraphFont"/>
    <w:rsid w:val="00D57773"/>
    <w:rPr>
      <w:rFonts w:ascii="Symbol" w:hAnsi="Symbol"/>
    </w:rPr>
  </w:style>
  <w:style w:type="character" w:customStyle="1" w:styleId="MenuOptions">
    <w:name w:val="Menu Options"/>
    <w:basedOn w:val="DefaultParagraphFont"/>
    <w:rsid w:val="00D57773"/>
    <w:rPr>
      <w:rFonts w:ascii="Arial Narrow" w:hAnsi="Arial Narrow"/>
      <w:smallCaps/>
    </w:rPr>
  </w:style>
  <w:style w:type="character" w:customStyle="1" w:styleId="Buttons">
    <w:name w:val="Buttons"/>
    <w:basedOn w:val="DefaultParagraphFont"/>
    <w:rsid w:val="00D57773"/>
    <w:rPr>
      <w:b/>
    </w:rPr>
  </w:style>
  <w:style w:type="character" w:customStyle="1" w:styleId="Underlined">
    <w:name w:val="Underlined"/>
    <w:basedOn w:val="DefaultParagraphFont"/>
    <w:rsid w:val="00D57773"/>
    <w:rPr>
      <w:u w:val="single"/>
    </w:rPr>
  </w:style>
  <w:style w:type="paragraph" w:customStyle="1" w:styleId="TableBodyTextRight">
    <w:name w:val="Table Body Text Right"/>
    <w:basedOn w:val="TableBodyText"/>
    <w:rsid w:val="00D57773"/>
    <w:pPr>
      <w:widowControl w:val="0"/>
      <w:autoSpaceDE w:val="0"/>
      <w:autoSpaceDN w:val="0"/>
      <w:adjustRightInd w:val="0"/>
      <w:jc w:val="right"/>
    </w:pPr>
    <w:rPr>
      <w:rFonts w:cs="Arial"/>
      <w:szCs w:val="18"/>
    </w:rPr>
  </w:style>
  <w:style w:type="paragraph" w:customStyle="1" w:styleId="CopyrightText">
    <w:name w:val="Copyright Text"/>
    <w:basedOn w:val="BodyText"/>
    <w:rsid w:val="00D57773"/>
    <w:rPr>
      <w:sz w:val="18"/>
    </w:rPr>
  </w:style>
  <w:style w:type="paragraph" w:customStyle="1" w:styleId="BodySmallRight">
    <w:name w:val="Body Small Right"/>
    <w:basedOn w:val="BodyTextRight"/>
    <w:rsid w:val="00D57773"/>
    <w:rPr>
      <w:sz w:val="18"/>
      <w:szCs w:val="18"/>
    </w:rPr>
  </w:style>
  <w:style w:type="paragraph" w:customStyle="1" w:styleId="MarginEdition">
    <w:name w:val="Margin Edition"/>
    <w:basedOn w:val="MarginNote"/>
    <w:rsid w:val="00D57773"/>
    <w:pPr>
      <w:spacing w:before="0" w:after="0"/>
    </w:pPr>
    <w:rPr>
      <w:rFonts w:ascii="Times New Roman" w:hAnsi="Times New Roman"/>
      <w:color w:val="999999"/>
    </w:rPr>
  </w:style>
  <w:style w:type="paragraph" w:customStyle="1" w:styleId="Spacer">
    <w:name w:val="Spacer"/>
    <w:basedOn w:val="Normal"/>
    <w:rsid w:val="00D57773"/>
    <w:rPr>
      <w:sz w:val="2"/>
      <w:szCs w:val="2"/>
    </w:rPr>
  </w:style>
  <w:style w:type="character" w:customStyle="1" w:styleId="Small">
    <w:name w:val="Small"/>
    <w:basedOn w:val="DefaultParagraphFont"/>
    <w:rsid w:val="00D57773"/>
    <w:rPr>
      <w:sz w:val="16"/>
    </w:rPr>
  </w:style>
  <w:style w:type="paragraph" w:customStyle="1" w:styleId="WideTable">
    <w:name w:val="Wide Table"/>
    <w:basedOn w:val="Normal"/>
    <w:rsid w:val="00D57773"/>
    <w:pPr>
      <w:ind w:left="-1418"/>
    </w:pPr>
    <w:rPr>
      <w:sz w:val="2"/>
      <w:szCs w:val="2"/>
    </w:rPr>
  </w:style>
  <w:style w:type="character" w:styleId="PageNumber">
    <w:name w:val="page number"/>
    <w:basedOn w:val="DefaultParagraphFont"/>
    <w:rsid w:val="00D57773"/>
  </w:style>
  <w:style w:type="paragraph" w:styleId="Quote">
    <w:name w:val="Quote"/>
    <w:basedOn w:val="Heading1"/>
    <w:link w:val="QuoteChar"/>
    <w:qFormat/>
    <w:rsid w:val="00D57773"/>
    <w:rPr>
      <w:b w:val="0"/>
      <w:sz w:val="72"/>
      <w:szCs w:val="72"/>
      <w:lang w:val="en-NZ"/>
    </w:rPr>
  </w:style>
  <w:style w:type="character" w:customStyle="1" w:styleId="QuoteChar">
    <w:name w:val="Quote Char"/>
    <w:basedOn w:val="DefaultParagraphFont"/>
    <w:link w:val="Quote"/>
    <w:rsid w:val="00D577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773"/>
    <w:pPr>
      <w:pageBreakBefore/>
    </w:pPr>
  </w:style>
  <w:style w:type="paragraph" w:customStyle="1" w:styleId="Border">
    <w:name w:val="Border"/>
    <w:basedOn w:val="Normal"/>
    <w:qFormat/>
    <w:rsid w:val="00D577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773"/>
    <w:rPr>
      <w:b/>
      <w:bCs/>
      <w:i/>
      <w:iCs/>
      <w:color w:val="auto"/>
    </w:rPr>
  </w:style>
  <w:style w:type="paragraph" w:styleId="IntenseQuote">
    <w:name w:val="Intense Quote"/>
    <w:basedOn w:val="Normal"/>
    <w:next w:val="Normal"/>
    <w:link w:val="IntenseQuoteChar"/>
    <w:uiPriority w:val="30"/>
    <w:qFormat/>
    <w:rsid w:val="00D577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7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7773"/>
    <w:rPr>
      <w:smallCaps/>
      <w:color w:val="auto"/>
      <w:u w:val="single"/>
    </w:rPr>
  </w:style>
  <w:style w:type="character" w:styleId="IntenseReference">
    <w:name w:val="Intense Reference"/>
    <w:basedOn w:val="DefaultParagraphFont"/>
    <w:uiPriority w:val="32"/>
    <w:qFormat/>
    <w:rsid w:val="00D57773"/>
    <w:rPr>
      <w:b/>
      <w:bCs/>
      <w:smallCaps/>
      <w:color w:val="auto"/>
      <w:spacing w:val="5"/>
      <w:u w:val="single"/>
    </w:rPr>
  </w:style>
  <w:style w:type="paragraph" w:customStyle="1" w:styleId="2ColumnHeading">
    <w:name w:val="2Column Heading"/>
    <w:basedOn w:val="BodyText"/>
    <w:qFormat/>
    <w:rsid w:val="00D57773"/>
    <w:pPr>
      <w:spacing w:after="60"/>
      <w:ind w:left="-2268"/>
    </w:pPr>
    <w:rPr>
      <w:b/>
    </w:rPr>
  </w:style>
  <w:style w:type="paragraph" w:customStyle="1" w:styleId="Heading1TOC">
    <w:name w:val="Heading1 TOC"/>
    <w:basedOn w:val="Normal"/>
    <w:qFormat/>
    <w:rsid w:val="00D57773"/>
    <w:pPr>
      <w:spacing w:before="240" w:after="120"/>
    </w:pPr>
    <w:rPr>
      <w:rFonts w:ascii="Times New Roman" w:hAnsi="Times New Roman"/>
      <w:b/>
      <w:sz w:val="32"/>
    </w:rPr>
  </w:style>
  <w:style w:type="paragraph" w:customStyle="1" w:styleId="Heading2TOC">
    <w:name w:val="Heading2 TOC"/>
    <w:basedOn w:val="Normal"/>
    <w:qFormat/>
    <w:rsid w:val="00D57773"/>
    <w:pPr>
      <w:spacing w:before="240" w:after="60"/>
    </w:pPr>
    <w:rPr>
      <w:rFonts w:ascii="Times New Roman" w:hAnsi="Times New Roman"/>
      <w:b/>
      <w:sz w:val="28"/>
    </w:rPr>
  </w:style>
  <w:style w:type="character" w:customStyle="1" w:styleId="Underline">
    <w:name w:val="Underline"/>
    <w:basedOn w:val="DefaultParagraphFont"/>
    <w:qFormat/>
    <w:rsid w:val="00D57773"/>
    <w:rPr>
      <w:u w:val="single"/>
    </w:rPr>
  </w:style>
  <w:style w:type="character" w:customStyle="1" w:styleId="BoldandItalics">
    <w:name w:val="Bold and Italics"/>
    <w:qFormat/>
    <w:rsid w:val="00D57773"/>
    <w:rPr>
      <w:b/>
      <w:i/>
      <w:u w:val="none"/>
    </w:rPr>
  </w:style>
  <w:style w:type="paragraph" w:styleId="BalloonText">
    <w:name w:val="Balloon Text"/>
    <w:basedOn w:val="Normal"/>
    <w:link w:val="BalloonTextChar"/>
    <w:rsid w:val="00D57773"/>
    <w:rPr>
      <w:rFonts w:ascii="Tahoma" w:hAnsi="Tahoma" w:cs="Tahoma"/>
      <w:sz w:val="16"/>
      <w:szCs w:val="16"/>
    </w:rPr>
  </w:style>
  <w:style w:type="character" w:customStyle="1" w:styleId="BalloonTextChar">
    <w:name w:val="Balloon Text Char"/>
    <w:basedOn w:val="DefaultParagraphFont"/>
    <w:link w:val="BalloonText"/>
    <w:rsid w:val="00D577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77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77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1306</Words>
  <Characters>8377</Characters>
  <Application>Microsoft Office Word</Application>
  <DocSecurity>0</DocSecurity>
  <Lines>278</Lines>
  <Paragraphs>159</Paragraphs>
  <ScaleCrop>false</ScaleCrop>
  <Company>Author-it Software Corporation Ltd.</Company>
  <LinksUpToDate>false</LinksUpToDate>
  <CharactersWithSpaces>9573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PSPPROC504A Finalise contracts</dc:title>
  <dc:subject>Approved</dc:subject>
  <dc:creator>Government Skills Australia</dc:creator>
  <cp:keywords>Release: 1</cp:keywords>
  <dc:description>Copyright © 1996-2007 Author-it Software Corporation Ltd., all rights reserved.</dc:description>
  <cp:lastModifiedBy>Craig Taylor</cp:lastModifiedBy>
  <cp:revision>3</cp:revision>
  <dcterms:created xsi:type="dcterms:W3CDTF">2012-05-26T08:22:00Z</dcterms:created>
  <dcterms:modified xsi:type="dcterms:W3CDTF">2012-05-26T08:22:00Z</dcterms:modified>
</cp:coreProperties>
</file>