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5CFF" w:rsidP="00265CFF">
      <w:pPr>
        <w:pStyle w:val="Title"/>
      </w:pPr>
      <w:r>
        <w:fldChar w:fldCharType="begin"/>
      </w:r>
      <w:r>
        <w:instrText xml:space="preserve"> TITLE   \* MERGEFORMAT </w:instrText>
      </w:r>
      <w:r>
        <w:fldChar w:fldCharType="separate"/>
      </w:r>
      <w:r>
        <w:t>PSPPROC503A Manage contract performance</w:t>
      </w:r>
      <w:r>
        <w:fldChar w:fldCharType="end"/>
      </w:r>
    </w:p>
    <w:p w:rsidR="00265CFF" w:rsidP="00265CFF">
      <w:pPr>
        <w:pStyle w:val="Version"/>
        <w:sectPr w:rsidSect="00C07A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7A28" w:rsidP="00C07A28">
      <w:pPr>
        <w:pStyle w:val="SuperHeading"/>
      </w:pPr>
      <w:r w:rsidRPr="00C07A28">
        <w:t>PSPPROC503A Manage contract performance</w:t>
      </w:r>
    </w:p>
    <w:p w:rsidR="00000000" w:rsidRPr="00C07A28" w:rsidP="00C07A28">
      <w:pPr>
        <w:pStyle w:val="Heading1"/>
      </w:pPr>
      <w:bookmarkStart w:id="1" w:name="O_312529"/>
      <w:bookmarkEnd w:id="1"/>
      <w:r w:rsidRPr="00C07A28">
        <w:t>Modification History</w:t>
      </w:r>
    </w:p>
    <w:p w:rsidR="00000000" w:rsidRPr="00C07A28" w:rsidP="00C07A28">
      <w:pPr>
        <w:pStyle w:val="Heading1"/>
      </w:pPr>
      <w:bookmarkStart w:id="2" w:name="O_312528"/>
      <w:bookmarkEnd w:id="2"/>
      <w:r w:rsidRPr="00C07A28">
        <w:t>Unit Descriptor</w:t>
      </w:r>
    </w:p>
    <w:p w:rsidR="00000000" w:rsidRPr="00C07A28" w:rsidP="00C07A28">
      <w:pPr>
        <w:pStyle w:val="BodyText"/>
      </w:pPr>
      <w:r w:rsidRPr="00C07A28">
        <w:t>This unit covers the implementation of strategies that ensure effective contract performance by officers whose primary role is contract management</w:t>
      </w:r>
      <w:r w:rsidRPr="00C07A28">
        <w:t xml:space="preserve">, and who may or may not have had involvement in the procurement process preceding execution of the contract. </w:t>
      </w:r>
    </w:p>
    <w:p w:rsidR="00000000" w:rsidRPr="00C07A28" w:rsidP="00C07A28">
      <w:pPr>
        <w:pStyle w:val="BodyText"/>
      </w:pPr>
      <w:r w:rsidRPr="00C07A28">
        <w:rPr>
          <w:rStyle w:val="SpecialBold"/>
        </w:rPr>
        <w:t xml:space="preserve">PSPPROC410A Administer contracts </w:t>
      </w:r>
      <w:r w:rsidRPr="00C07A28">
        <w:t>is the appropriate unit for officers undertaking contract management as a minor part of their work role.</w:t>
      </w:r>
    </w:p>
    <w:p w:rsidR="00000000" w:rsidRPr="00C07A28" w:rsidP="00C07A28">
      <w:pPr>
        <w:pStyle w:val="BodyText"/>
      </w:pPr>
      <w:r w:rsidRPr="00C07A28">
        <w:t>The uni</w:t>
      </w:r>
      <w:r w:rsidRPr="00C07A28">
        <w:t xml:space="preserve">t includes managing of the business relationship, managing performance of the contract, managing contract issues, and implementing a communication/information strategy. </w:t>
      </w:r>
    </w:p>
    <w:p w:rsidR="00000000" w:rsidRPr="00C07A28" w:rsidP="00C07A28">
      <w:pPr>
        <w:pStyle w:val="BodyText"/>
      </w:pPr>
      <w:r w:rsidRPr="00C07A28">
        <w:t>In practice, managing contract performance may overlap with other public sector genera</w:t>
      </w:r>
      <w:r w:rsidRPr="00C07A28">
        <w:t>list and specialist work activities such as acting ethically, complying with legislation, providing client service, providing leadership, developing policy, undertaking negotiations etc.</w:t>
      </w:r>
    </w:p>
    <w:p w:rsidR="00000000" w:rsidRPr="00C07A28" w:rsidP="00C07A28">
      <w:pPr>
        <w:pStyle w:val="BodyText"/>
      </w:pPr>
      <w:r w:rsidRPr="00C07A28">
        <w:t xml:space="preserve">This is one of 4 units of competency in the </w:t>
      </w:r>
      <w:r w:rsidRPr="00C07A28">
        <w:rPr>
          <w:rStyle w:val="SpecialBold"/>
        </w:rPr>
        <w:t>Procurement&amp;Contract Mana</w:t>
      </w:r>
      <w:r w:rsidRPr="00C07A28">
        <w:rPr>
          <w:rStyle w:val="SpecialBold"/>
        </w:rPr>
        <w:t xml:space="preserve">gement </w:t>
      </w:r>
      <w:r w:rsidRPr="00C07A28">
        <w:t>Competency field that address the requirements of contract management performed by specialist contract managers.</w:t>
      </w:r>
    </w:p>
    <w:p w:rsidR="00000000" w:rsidRPr="00C07A28" w:rsidP="00C07A28">
      <w:pPr>
        <w:pStyle w:val="BodyText"/>
      </w:pPr>
      <w:r w:rsidRPr="00C07A28">
        <w:t>Related units are:</w:t>
      </w:r>
    </w:p>
    <w:p w:rsidR="00000000" w:rsidRPr="00C07A28" w:rsidP="00C07A28">
      <w:pPr>
        <w:pStyle w:val="BodyText"/>
      </w:pPr>
      <w:r w:rsidRPr="00C07A28">
        <w:t>PSPPROC501A Manage contract riskPSPPROC502A Establish contract management arrangements PSPPROC504A Finalise contracts</w:t>
      </w:r>
    </w:p>
    <w:p w:rsidR="00000000" w:rsidRPr="00C07A28" w:rsidP="00C07A28">
      <w:pPr>
        <w:pStyle w:val="BodyText"/>
      </w:pPr>
      <w:r w:rsidRPr="00C07A28">
        <w:t xml:space="preserve">The superseded unit </w:t>
      </w:r>
      <w:r w:rsidRPr="00C07A28">
        <w:rPr>
          <w:rStyle w:val="SpecialBold"/>
        </w:rPr>
        <w:t xml:space="preserve">PSPPROC404A Manage contracts </w:t>
      </w:r>
      <w:r w:rsidRPr="00C07A28">
        <w:t>is equivalent to the three units:</w:t>
      </w:r>
    </w:p>
    <w:p w:rsidR="00000000" w:rsidRPr="00C07A28" w:rsidP="00C07A28">
      <w:pPr>
        <w:pStyle w:val="BodyText"/>
      </w:pPr>
      <w:r w:rsidRPr="00C07A28">
        <w:t>PSPPROC502A Establish contract management arrangements  + PSPPROC503A Manage contract performance + PSPPROC504A Finalise contracts</w:t>
      </w:r>
    </w:p>
    <w:p w:rsidR="00000000" w:rsidRPr="00C07A28" w:rsidP="00C07A28">
      <w:pPr>
        <w:pStyle w:val="BodyText"/>
      </w:pPr>
      <w:r w:rsidRPr="00C07A28">
        <w:t>Equivalence may be claimed for EITHER:</w:t>
      </w:r>
    </w:p>
    <w:p w:rsidR="00000000" w:rsidRPr="00C07A28" w:rsidP="00C07A28">
      <w:pPr>
        <w:pStyle w:val="BodyText"/>
      </w:pPr>
      <w:r w:rsidRPr="00C07A28">
        <w:t>PSPPROC410A Administer contracts ORPSPPROC502A - 504A inclusive, but not both.</w:t>
      </w:r>
    </w:p>
    <w:p w:rsidR="00000000" w:rsidRPr="00C07A28" w:rsidP="00C07A28">
      <w:pPr>
        <w:pStyle w:val="BodyText"/>
      </w:pPr>
      <w:r w:rsidRPr="00C07A28">
        <w:t xml:space="preserve">This is a new unit of competency, added to the </w:t>
      </w:r>
      <w:r w:rsidRPr="00C07A28">
        <w:rPr>
          <w:rStyle w:val="SpecialBold"/>
        </w:rPr>
        <w:t xml:space="preserve">Procurement&amp;Contract Management </w:t>
      </w:r>
      <w:r w:rsidRPr="00C07A28">
        <w:t>Competency field of the Training Package in 2004.</w:t>
      </w:r>
    </w:p>
    <w:p w:rsidR="00000000" w:rsidRPr="00C07A28" w:rsidP="00C07A28">
      <w:pPr>
        <w:pStyle w:val="AllowPageBreak"/>
      </w:pPr>
    </w:p>
    <w:p w:rsidR="00000000" w:rsidRPr="00C07A28" w:rsidP="00C07A28">
      <w:pPr>
        <w:pStyle w:val="Heading1"/>
      </w:pPr>
      <w:bookmarkStart w:id="3" w:name="O_312527"/>
      <w:bookmarkEnd w:id="3"/>
      <w:r w:rsidRPr="00C07A28">
        <w:t>Application of the Unit</w:t>
      </w:r>
    </w:p>
    <w:p w:rsidR="00000000" w:rsidRPr="00C07A28" w:rsidP="00C07A28">
      <w:pPr>
        <w:pStyle w:val="Heading1"/>
      </w:pPr>
      <w:bookmarkStart w:id="4" w:name="O_312526"/>
      <w:bookmarkEnd w:id="4"/>
      <w:r w:rsidRPr="00C07A28">
        <w:t>Licensing/Regulatory Information</w:t>
      </w:r>
    </w:p>
    <w:p w:rsidR="00000000" w:rsidRPr="00C07A28" w:rsidP="00C07A28">
      <w:pPr>
        <w:pStyle w:val="Heading1"/>
      </w:pPr>
      <w:bookmarkStart w:id="5" w:name="O_312525"/>
      <w:bookmarkEnd w:id="5"/>
      <w:r w:rsidRPr="00C07A28">
        <w:t>Pre-Requisites</w:t>
      </w:r>
    </w:p>
    <w:p w:rsidR="00000000" w:rsidRPr="00C07A28" w:rsidP="00C07A28">
      <w:pPr>
        <w:pStyle w:val="Heading1"/>
      </w:pPr>
      <w:bookmarkStart w:id="6" w:name="O_312518"/>
      <w:bookmarkEnd w:id="6"/>
      <w:r w:rsidRPr="00C07A28">
        <w:t>Employability Skills Information</w:t>
      </w:r>
    </w:p>
    <w:p w:rsidR="00000000" w:rsidRPr="00C07A28" w:rsidP="00C07A28">
      <w:pPr>
        <w:pStyle w:val="BodyText"/>
      </w:pPr>
      <w:r w:rsidRPr="00C07A28">
        <w:t>This unit contains employability skills.</w:t>
      </w:r>
    </w:p>
    <w:p w:rsidR="00000000" w:rsidRPr="00C07A28" w:rsidP="00C07A28">
      <w:pPr>
        <w:pStyle w:val="AllowPageBreak"/>
      </w:pPr>
    </w:p>
    <w:p w:rsidR="00000000" w:rsidRPr="00C07A28" w:rsidP="00C07A28">
      <w:pPr>
        <w:pStyle w:val="Heading1"/>
      </w:pPr>
      <w:bookmarkStart w:id="7" w:name="O_312524"/>
      <w:bookmarkEnd w:id="7"/>
      <w:r w:rsidRPr="00C07A28">
        <w:t>Elements and Performance Criteria Pre-Content</w:t>
      </w:r>
    </w:p>
    <w:p w:rsidR="00000000" w:rsidRPr="00C07A28" w:rsidP="00C07A28">
      <w:pPr>
        <w:pStyle w:val="BodyText"/>
      </w:pPr>
      <w:r w:rsidRPr="00C07A28">
        <w:t>Elements are the essential outcomes of the unit of competency.</w:t>
      </w:r>
    </w:p>
    <w:p w:rsidR="00000000" w:rsidRPr="00C07A28" w:rsidP="00C07A28">
      <w:pPr>
        <w:pStyle w:val="BodyText"/>
      </w:pPr>
      <w:r w:rsidRPr="00C07A28">
        <w:t xml:space="preserve">Together, performance criteria specify the requirements for competent performance. Text in </w:t>
      </w:r>
      <w:r w:rsidRPr="00C07A28">
        <w:rPr>
          <w:rStyle w:val="SpecialBold"/>
        </w:rPr>
        <w:t xml:space="preserve">bold italics  </w:t>
      </w:r>
      <w:r w:rsidRPr="00C07A28">
        <w:t>is explained in the Range Statement following.</w:t>
      </w:r>
    </w:p>
    <w:p w:rsidR="00000000" w:rsidRPr="00C07A28" w:rsidP="00C07A28">
      <w:pPr>
        <w:pStyle w:val="AllowPageBreak"/>
      </w:pPr>
    </w:p>
    <w:p w:rsidR="00000000" w:rsidRPr="00C07A28" w:rsidP="00C07A28">
      <w:pPr>
        <w:pStyle w:val="Heading1"/>
      </w:pPr>
      <w:bookmarkStart w:id="8" w:name="O_312530"/>
      <w:bookmarkEnd w:id="8"/>
      <w:r w:rsidRPr="00C07A28">
        <w:t>Elements and Performance</w:t>
      </w:r>
      <w:r w:rsidRPr="00C07A28">
        <w:t xml:space="preserve"> Criteria</w:t>
      </w:r>
    </w:p>
    <w:tbl>
      <w:tblPr>
        <w:tblW w:w="0" w:type="auto"/>
        <w:tblLayout w:type="fixed"/>
        <w:tblCellMar>
          <w:left w:w="62" w:type="dxa"/>
          <w:right w:w="62" w:type="dxa"/>
        </w:tblCellMar>
        <w:tblLook w:val="0000"/>
      </w:tblPr>
      <w:tblGrid>
        <w:gridCol w:w="400"/>
        <w:gridCol w:w="3000"/>
        <w:gridCol w:w="500"/>
        <w:gridCol w:w="5100"/>
      </w:tblGrid>
      <w:tr w:rsidTr="00265CF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rPr>
                <w:rStyle w:val="SpecialBold"/>
              </w:rPr>
              <w:t>Elements and Performance Criteria</w:t>
            </w:r>
          </w:p>
        </w:tc>
      </w:tr>
      <w:tr w:rsidTr="00265CF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07A28" w:rsidP="00C07A28">
            <w:pPr>
              <w:pStyle w:val="BodyText"/>
            </w:pPr>
            <w:r w:rsidRPr="00C07A28">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rPr>
                <w:rStyle w:val="SpecialBold"/>
              </w:rPr>
              <w:t>Performance Criteria</w:t>
            </w:r>
          </w:p>
        </w:tc>
      </w:tr>
      <w:tr w:rsidTr="00265CF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07A28" w:rsidP="00C07A28">
            <w:pPr>
              <w:pStyle w:val="BodyText"/>
            </w:pPr>
            <w:r w:rsidRPr="00C07A28">
              <w:t>1</w:t>
            </w:r>
          </w:p>
        </w:tc>
        <w:tc>
          <w:tcPr>
            <w:tcW w:w="3000" w:type="dxa"/>
            <w:vMerge w:val="restart"/>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rPr>
                <w:rStyle w:val="SpecialBold"/>
              </w:rPr>
              <w:t xml:space="preserve"> Manage the business relationship</w:t>
            </w:r>
          </w:p>
        </w:tc>
        <w:tc>
          <w:tcPr>
            <w:tcW w:w="500" w:type="dxa"/>
            <w:tcBorders>
              <w:top w:val="nil"/>
              <w:left w:val="nil"/>
              <w:bottom w:val="nil"/>
              <w:right w:val="nil"/>
            </w:tcBorders>
            <w:tcMar>
              <w:top w:w="0" w:type="dxa"/>
              <w:left w:w="62" w:type="dxa"/>
              <w:bottom w:w="0" w:type="dxa"/>
              <w:right w:w="62" w:type="dxa"/>
            </w:tcMar>
          </w:tcPr>
          <w:p w:rsidR="00000000" w:rsidRPr="00C07A28" w:rsidP="00C07A28">
            <w:pPr>
              <w:pStyle w:val="BodyText"/>
            </w:pPr>
            <w:r w:rsidRPr="00C07A28">
              <w:t>1.1</w:t>
            </w:r>
          </w:p>
        </w:tc>
        <w:tc>
          <w:tcPr>
            <w:tcW w:w="51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rPr>
                <w:rStyle w:val="SpecialBold"/>
              </w:rPr>
              <w:t xml:space="preserve">Probity </w:t>
            </w:r>
            <w:r w:rsidRPr="00C07A28">
              <w:t xml:space="preserve">is managed in accordance with organisational requirements, </w:t>
            </w:r>
            <w:r w:rsidRPr="00C07A28">
              <w:rPr>
                <w:rStyle w:val="SpecialBold"/>
              </w:rPr>
              <w:t>legislation, policy and public sector standards</w:t>
            </w:r>
          </w:p>
        </w:tc>
      </w:tr>
      <w:tr w:rsidTr="00265C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t>1.2</w:t>
            </w:r>
          </w:p>
        </w:tc>
        <w:tc>
          <w:tcPr>
            <w:tcW w:w="51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t>Obligations to the contractor are met in accordance with contractual arrangements</w:t>
            </w:r>
          </w:p>
        </w:tc>
      </w:tr>
      <w:tr w:rsidTr="00265C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t>1.3</w:t>
            </w:r>
          </w:p>
        </w:tc>
        <w:tc>
          <w:tcPr>
            <w:tcW w:w="51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t>Consideration of conflicts of interest and their resolution are recorded in accordance with public sector standards and organisational requirements</w:t>
            </w:r>
          </w:p>
        </w:tc>
      </w:tr>
      <w:tr w:rsidTr="00265C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t>1.4</w:t>
            </w:r>
          </w:p>
        </w:tc>
        <w:tc>
          <w:tcPr>
            <w:tcW w:w="51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t xml:space="preserve">Relationship with contractor is managed through </w:t>
            </w:r>
            <w:r w:rsidRPr="00C07A28">
              <w:rPr>
                <w:rStyle w:val="SpecialBold"/>
              </w:rPr>
              <w:t xml:space="preserve">formal and informal mechanisms </w:t>
            </w:r>
            <w:r w:rsidRPr="00C07A28">
              <w:t>in accordance with organisational policy and procedures</w:t>
            </w:r>
          </w:p>
        </w:tc>
      </w:tr>
      <w:tr w:rsidTr="00265C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t>1.5</w:t>
            </w:r>
          </w:p>
        </w:tc>
        <w:tc>
          <w:tcPr>
            <w:tcW w:w="51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t>Business relationship is managed in the public interest in accordance with public sector standards and organisatio</w:t>
            </w:r>
            <w:r w:rsidRPr="00C07A28">
              <w:t>nal requirements</w:t>
            </w:r>
          </w:p>
        </w:tc>
      </w:tr>
      <w:tr w:rsidTr="00265CF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07A28" w:rsidP="00C07A28">
            <w:pPr>
              <w:pStyle w:val="BodyText"/>
            </w:pPr>
            <w:r w:rsidRPr="00C07A28">
              <w:t>2</w:t>
            </w:r>
          </w:p>
        </w:tc>
        <w:tc>
          <w:tcPr>
            <w:tcW w:w="3000" w:type="dxa"/>
            <w:vMerge w:val="restart"/>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rPr>
                <w:rStyle w:val="SpecialBold"/>
              </w:rPr>
              <w:t xml:space="preserve"> Manage performance of the contract</w:t>
            </w:r>
          </w:p>
        </w:tc>
        <w:tc>
          <w:tcPr>
            <w:tcW w:w="5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t>2.1</w:t>
            </w:r>
          </w:p>
        </w:tc>
        <w:tc>
          <w:tcPr>
            <w:tcW w:w="51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t>Start-up or transition arrangements are implemented in accordance with contract requirements and organisational procedures</w:t>
            </w:r>
          </w:p>
        </w:tc>
      </w:tr>
      <w:tr w:rsidTr="00265C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07A28" w:rsidP="00C07A28">
            <w:pPr>
              <w:pStyle w:val="BodyText"/>
            </w:pPr>
            <w:r w:rsidRPr="00C07A28">
              <w:t>2.2</w:t>
            </w:r>
          </w:p>
        </w:tc>
        <w:tc>
          <w:tcPr>
            <w:tcW w:w="51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rPr>
                <w:rStyle w:val="SpecialBold"/>
              </w:rPr>
              <w:t xml:space="preserve">Contract management plan </w:t>
            </w:r>
            <w:r w:rsidRPr="00C07A28">
              <w:t>is monitored for effectiveness on a regular basis and adapted as necessary during the life of the contract</w:t>
            </w:r>
          </w:p>
        </w:tc>
      </w:tr>
      <w:tr w:rsidTr="00265C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t>2.3</w:t>
            </w:r>
          </w:p>
        </w:tc>
        <w:tc>
          <w:tcPr>
            <w:tcW w:w="51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t xml:space="preserve">Performance of the </w:t>
            </w:r>
            <w:r w:rsidRPr="00C07A28">
              <w:rPr>
                <w:rStyle w:val="SpecialBold"/>
              </w:rPr>
              <w:t xml:space="preserve">contract </w:t>
            </w:r>
            <w:r w:rsidRPr="00C07A28">
              <w:t>is monitored against key performance indicators and tracking milestones to ensure all obligations under the agreem</w:t>
            </w:r>
            <w:r w:rsidRPr="00C07A28">
              <w:t xml:space="preserve">ent are being met </w:t>
            </w:r>
          </w:p>
        </w:tc>
      </w:tr>
      <w:tr w:rsidTr="00265C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t>2.4</w:t>
            </w:r>
          </w:p>
        </w:tc>
        <w:tc>
          <w:tcPr>
            <w:tcW w:w="51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t>E-procurement, financial and other resources are managed as necessary in accordance with contractual requirements and organisational procedures</w:t>
            </w:r>
          </w:p>
        </w:tc>
      </w:tr>
      <w:tr w:rsidTr="00265C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t>2.5</w:t>
            </w:r>
          </w:p>
        </w:tc>
        <w:tc>
          <w:tcPr>
            <w:tcW w:w="51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t xml:space="preserve">Emerging and potential </w:t>
            </w:r>
            <w:r w:rsidRPr="00C07A28">
              <w:rPr>
                <w:rStyle w:val="SpecialBold"/>
              </w:rPr>
              <w:t xml:space="preserve">risks </w:t>
            </w:r>
            <w:r w:rsidRPr="00C07A28">
              <w:t xml:space="preserve">are identified and managed in accordance with </w:t>
            </w:r>
            <w:r w:rsidRPr="00C07A28">
              <w:t xml:space="preserve">organisational risk management procedures </w:t>
            </w:r>
          </w:p>
        </w:tc>
      </w:tr>
      <w:tr w:rsidTr="00265CF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07A28" w:rsidP="00C07A28">
            <w:pPr>
              <w:pStyle w:val="BodyText"/>
            </w:pPr>
            <w:r w:rsidRPr="00C07A28">
              <w:t>3</w:t>
            </w:r>
          </w:p>
        </w:tc>
        <w:tc>
          <w:tcPr>
            <w:tcW w:w="3000" w:type="dxa"/>
            <w:vMerge w:val="restart"/>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rPr>
                <w:rStyle w:val="SpecialBold"/>
              </w:rPr>
              <w:t xml:space="preserve"> Manage contract issues</w:t>
            </w:r>
          </w:p>
        </w:tc>
        <w:tc>
          <w:tcPr>
            <w:tcW w:w="5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t>3.1</w:t>
            </w:r>
          </w:p>
        </w:tc>
        <w:tc>
          <w:tcPr>
            <w:tcW w:w="51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t xml:space="preserve">Contract </w:t>
            </w:r>
            <w:r w:rsidRPr="00C07A28">
              <w:rPr>
                <w:rStyle w:val="SpecialBold"/>
              </w:rPr>
              <w:t xml:space="preserve">variations </w:t>
            </w:r>
            <w:r w:rsidRPr="00C07A28">
              <w:t>are managed in accordance with the contract management plan and organisational policy and procedures</w:t>
            </w:r>
          </w:p>
        </w:tc>
      </w:tr>
      <w:tr w:rsidTr="00265C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07A28" w:rsidP="00C07A28">
            <w:pPr>
              <w:pStyle w:val="BodyText"/>
            </w:pPr>
            <w:r w:rsidRPr="00C07A28">
              <w:t>3.2</w:t>
            </w:r>
          </w:p>
        </w:tc>
        <w:tc>
          <w:tcPr>
            <w:tcW w:w="51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rPr>
                <w:rStyle w:val="SpecialBold"/>
              </w:rPr>
              <w:t xml:space="preserve">Early signs of under-performance </w:t>
            </w:r>
            <w:r w:rsidRPr="00C07A28">
              <w:t xml:space="preserve">are identified and </w:t>
            </w:r>
            <w:r w:rsidRPr="00C07A28">
              <w:rPr>
                <w:rStyle w:val="SpecialBold"/>
              </w:rPr>
              <w:t xml:space="preserve">action </w:t>
            </w:r>
            <w:r w:rsidRPr="00C07A28">
              <w:t>is taken to improve performance to the agreed level and is documented in accordance with the contract communication/information policy</w:t>
            </w:r>
          </w:p>
        </w:tc>
      </w:tr>
      <w:tr w:rsidTr="00265C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07A28" w:rsidP="00C07A28">
            <w:pPr>
              <w:pStyle w:val="BodyText"/>
            </w:pPr>
            <w:r w:rsidRPr="00C07A28">
              <w:t>3.3</w:t>
            </w:r>
          </w:p>
        </w:tc>
        <w:tc>
          <w:tcPr>
            <w:tcW w:w="51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rPr>
                <w:rStyle w:val="SpecialBold"/>
              </w:rPr>
              <w:t>Disputes</w:t>
            </w:r>
            <w:r w:rsidRPr="00C07A28">
              <w:t xml:space="preserve">/complaints are investigated and </w:t>
            </w:r>
            <w:r w:rsidRPr="00C07A28">
              <w:rPr>
                <w:rStyle w:val="SpecialBold"/>
              </w:rPr>
              <w:t xml:space="preserve">resolved </w:t>
            </w:r>
            <w:r w:rsidRPr="00C07A28">
              <w:t>or referred in accordance with contract management plan a</w:t>
            </w:r>
            <w:r w:rsidRPr="00C07A28">
              <w:t>nd contractual arrangements</w:t>
            </w:r>
          </w:p>
        </w:tc>
      </w:tr>
      <w:tr w:rsidTr="00265C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07A28" w:rsidP="00C07A28">
            <w:pPr>
              <w:pStyle w:val="BodyText"/>
            </w:pPr>
            <w:r w:rsidRPr="00C07A28">
              <w:t>3.4</w:t>
            </w:r>
          </w:p>
        </w:tc>
        <w:tc>
          <w:tcPr>
            <w:tcW w:w="51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rPr>
                <w:rStyle w:val="SpecialBold"/>
              </w:rPr>
              <w:t xml:space="preserve">Negotiation </w:t>
            </w:r>
            <w:r w:rsidRPr="00C07A28">
              <w:t xml:space="preserve">of issues relating to the contract is conducted and approvals are obtained in accordance with stipulations in the contract </w:t>
            </w:r>
          </w:p>
        </w:tc>
      </w:tr>
      <w:tr w:rsidTr="00265C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t>3.5</w:t>
            </w:r>
          </w:p>
        </w:tc>
        <w:tc>
          <w:tcPr>
            <w:tcW w:w="51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t xml:space="preserve">Conflict is addressed and resolved where possible or other </w:t>
            </w:r>
            <w:r w:rsidRPr="00C07A28">
              <w:rPr>
                <w:rStyle w:val="SpecialBold"/>
              </w:rPr>
              <w:t xml:space="preserve">actions </w:t>
            </w:r>
            <w:r w:rsidRPr="00C07A28">
              <w:t>are taken i</w:t>
            </w:r>
            <w:r w:rsidRPr="00C07A28">
              <w:t>n accordance with contractual arrangements</w:t>
            </w:r>
          </w:p>
        </w:tc>
      </w:tr>
      <w:tr w:rsidTr="00265CF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07A28" w:rsidP="00C07A28">
            <w:pPr>
              <w:pStyle w:val="BodyText"/>
            </w:pPr>
            <w:r w:rsidRPr="00C07A28">
              <w:t>4</w:t>
            </w:r>
          </w:p>
        </w:tc>
        <w:tc>
          <w:tcPr>
            <w:tcW w:w="3000" w:type="dxa"/>
            <w:vMerge w:val="restart"/>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rPr>
                <w:rStyle w:val="SpecialBold"/>
              </w:rPr>
              <w:t xml:space="preserve"> Implement communication/information strategy</w:t>
            </w:r>
          </w:p>
        </w:tc>
        <w:tc>
          <w:tcPr>
            <w:tcW w:w="500" w:type="dxa"/>
            <w:tcBorders>
              <w:top w:val="nil"/>
              <w:left w:val="nil"/>
              <w:bottom w:val="nil"/>
              <w:right w:val="nil"/>
            </w:tcBorders>
            <w:tcMar>
              <w:top w:w="0" w:type="dxa"/>
              <w:left w:w="62" w:type="dxa"/>
              <w:bottom w:w="0" w:type="dxa"/>
              <w:right w:w="62" w:type="dxa"/>
            </w:tcMar>
          </w:tcPr>
          <w:p w:rsidR="00000000" w:rsidRPr="00C07A28" w:rsidP="00C07A28">
            <w:pPr>
              <w:pStyle w:val="BodyText"/>
            </w:pPr>
            <w:r w:rsidRPr="00C07A28">
              <w:t>4.1</w:t>
            </w:r>
          </w:p>
        </w:tc>
        <w:tc>
          <w:tcPr>
            <w:tcW w:w="51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rPr>
                <w:rStyle w:val="SpecialBold"/>
              </w:rPr>
              <w:t xml:space="preserve">Communication </w:t>
            </w:r>
            <w:r w:rsidRPr="00C07A28">
              <w:t>on the performance of the contract is maintained with all stakeholders in accordance with organisational protocols and public sector standards</w:t>
            </w:r>
          </w:p>
        </w:tc>
      </w:tr>
      <w:tr w:rsidTr="00265C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t>4.2</w:t>
            </w:r>
          </w:p>
        </w:tc>
        <w:tc>
          <w:tcPr>
            <w:tcW w:w="51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t xml:space="preserve">Management reporting is carried out in accordance with tracking milestones and organisational requirements </w:t>
            </w:r>
          </w:p>
        </w:tc>
      </w:tr>
      <w:tr w:rsidTr="00265C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t>4.3</w:t>
            </w:r>
          </w:p>
        </w:tc>
        <w:tc>
          <w:tcPr>
            <w:tcW w:w="5100" w:type="dxa"/>
            <w:tcBorders>
              <w:top w:val="nil"/>
              <w:left w:val="nil"/>
              <w:bottom w:val="nil"/>
              <w:right w:val="nil"/>
            </w:tcBorders>
            <w:tcMar>
              <w:top w:w="0" w:type="dxa"/>
              <w:left w:w="62" w:type="dxa"/>
              <w:bottom w:w="0" w:type="dxa"/>
              <w:right w:w="62" w:type="dxa"/>
            </w:tcMar>
          </w:tcPr>
          <w:p w:rsidR="00000000" w:rsidRPr="00C07A28" w:rsidP="00C07A28">
            <w:pPr>
              <w:pStyle w:val="BodyText"/>
            </w:pPr>
            <w:r w:rsidRPr="00C07A28">
              <w:t xml:space="preserve">Contract information is maintained for </w:t>
            </w:r>
            <w:r w:rsidRPr="00C07A28">
              <w:rPr>
                <w:rStyle w:val="SpecialBold"/>
              </w:rPr>
              <w:t xml:space="preserve">organisational purposes </w:t>
            </w:r>
            <w:r w:rsidRPr="00C07A28">
              <w:t>in accordance with organisational policy and procedures</w:t>
            </w:r>
          </w:p>
        </w:tc>
      </w:tr>
    </w:tbl>
    <w:p w:rsidR="00000000" w:rsidRPr="00C07A28" w:rsidP="00C07A28">
      <w:pPr>
        <w:pStyle w:val="BodyText"/>
      </w:pPr>
    </w:p>
    <w:p w:rsidR="00000000" w:rsidRPr="00C07A28" w:rsidP="00C07A28">
      <w:pPr>
        <w:pStyle w:val="AllowPageBreak"/>
      </w:pPr>
    </w:p>
    <w:p w:rsidR="00000000" w:rsidRPr="00C07A28" w:rsidP="00C07A28">
      <w:pPr>
        <w:pStyle w:val="Heading1"/>
      </w:pPr>
      <w:bookmarkStart w:id="9" w:name="O_312523"/>
      <w:bookmarkEnd w:id="9"/>
      <w:r w:rsidRPr="00C07A28">
        <w:t>Required Skills and Knowledge</w:t>
      </w:r>
    </w:p>
    <w:tbl>
      <w:tblPr>
        <w:tblW w:w="0" w:type="auto"/>
        <w:tblLayout w:type="fixed"/>
        <w:tblCellMar>
          <w:left w:w="62" w:type="dxa"/>
          <w:right w:w="62" w:type="dxa"/>
        </w:tblCellMar>
        <w:tblLook w:val="0000"/>
      </w:tblPr>
      <w:tblGrid>
        <w:gridCol w:w="9000"/>
      </w:tblGrid>
      <w:tr w:rsidTr="00265C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rPr>
                <w:rStyle w:val="SpecialBold"/>
              </w:rPr>
              <w:t xml:space="preserve">   REQUIRED SKILLS AND KNOWLEDGE</w:t>
            </w:r>
          </w:p>
        </w:tc>
      </w:tr>
      <w:tr w:rsidTr="00265C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t xml:space="preserve">This section describes the essential skills and knowledge and their level, required for this unit. </w:t>
            </w:r>
          </w:p>
        </w:tc>
      </w:tr>
      <w:tr w:rsidTr="00265C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07A28" w:rsidP="00C07A28">
            <w:pPr>
              <w:pStyle w:val="BodyText"/>
            </w:pPr>
            <w:r w:rsidRPr="00C07A28">
              <w:rPr>
                <w:rStyle w:val="SpecialBold"/>
              </w:rPr>
              <w:t>Skill requirements</w:t>
            </w:r>
          </w:p>
          <w:p w:rsidR="00000000" w:rsidRPr="00C07A28" w:rsidP="00C07A28">
            <w:pPr>
              <w:pStyle w:val="BodyText"/>
            </w:pPr>
            <w:r w:rsidRPr="00C07A28">
              <w:t>Look for evidence that confirms skills in:</w:t>
            </w:r>
          </w:p>
          <w:p w:rsidR="00000000" w:rsidRPr="00C07A28" w:rsidP="00C07A28">
            <w:pPr>
              <w:pStyle w:val="BodyText"/>
            </w:pPr>
            <w:r w:rsidRPr="00C07A28">
              <w:t>using communication a</w:t>
            </w:r>
            <w:r w:rsidRPr="00C07A28">
              <w:t xml:space="preserve">nd negotiation with contractor and stakeholders involving complex oral and written exchanges </w:t>
            </w:r>
          </w:p>
          <w:p w:rsidR="00000000" w:rsidRPr="00C07A28" w:rsidP="00C07A28">
            <w:pPr>
              <w:pStyle w:val="BodyText"/>
            </w:pPr>
            <w:r w:rsidRPr="00C07A28">
              <w:t>reading and applying complex documents such as contracts, legislation and guidelines</w:t>
            </w:r>
          </w:p>
          <w:p w:rsidR="00000000" w:rsidRPr="00C07A28" w:rsidP="00C07A28">
            <w:pPr>
              <w:pStyle w:val="BodyText"/>
            </w:pPr>
            <w:r w:rsidRPr="00C07A28">
              <w:t>resolving disputes/conflict/complaints or making judgments about when to refe</w:t>
            </w:r>
            <w:r w:rsidRPr="00C07A28">
              <w:t>r them to others</w:t>
            </w:r>
          </w:p>
          <w:p w:rsidR="00000000" w:rsidRPr="00C07A28" w:rsidP="00C07A28">
            <w:pPr>
              <w:pStyle w:val="BodyText"/>
            </w:pPr>
            <w:r w:rsidRPr="00C07A28">
              <w:t>building/managing effective working relationships</w:t>
            </w:r>
          </w:p>
          <w:p w:rsidR="00000000" w:rsidRPr="00C07A28" w:rsidP="00C07A28">
            <w:pPr>
              <w:pStyle w:val="BodyText"/>
            </w:pPr>
            <w:r w:rsidRPr="00C07A28">
              <w:t>writing management reports and keeping records of meetings, liaisons, notes and follow-up action, requiring precision of expression</w:t>
            </w:r>
          </w:p>
          <w:p w:rsidR="00000000" w:rsidRPr="00C07A28" w:rsidP="00C07A28">
            <w:pPr>
              <w:pStyle w:val="BodyText"/>
            </w:pPr>
            <w:r w:rsidRPr="00C07A28">
              <w:t>responding to diversity, including gender and disability</w:t>
            </w:r>
          </w:p>
          <w:p w:rsidR="00000000" w:rsidP="00C07A28">
            <w:pPr>
              <w:pStyle w:val="BodyText"/>
              <w:rPr>
                <w:lang w:val="en-NZ"/>
              </w:rPr>
            </w:pPr>
            <w:r w:rsidRPr="00C07A28">
              <w:t xml:space="preserve">applying occupational health and safety and environmental requirements in the context of contract management </w:t>
            </w:r>
          </w:p>
        </w:tc>
      </w:tr>
      <w:tr w:rsidTr="00265C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07A28" w:rsidP="00C07A28">
            <w:pPr>
              <w:pStyle w:val="BodyText"/>
            </w:pPr>
            <w:r w:rsidRPr="00C07A28">
              <w:rPr>
                <w:rStyle w:val="SpecialBold"/>
              </w:rPr>
              <w:t>Knowledge requirements</w:t>
            </w:r>
          </w:p>
          <w:p w:rsidR="00000000" w:rsidRPr="00C07A28" w:rsidP="00C07A28">
            <w:pPr>
              <w:pStyle w:val="BodyText"/>
            </w:pPr>
            <w:r w:rsidRPr="00C07A28">
              <w:t>Look for evidence that confirms knowledge and understanding of:</w:t>
            </w:r>
          </w:p>
          <w:p w:rsidR="00000000" w:rsidRPr="00C07A28" w:rsidP="00C07A28">
            <w:pPr>
              <w:pStyle w:val="BodyText"/>
            </w:pPr>
            <w:r w:rsidRPr="00C07A28">
              <w:t>Commonwealth/State/Territory Government legislation, polic</w:t>
            </w:r>
            <w:r w:rsidRPr="00C07A28">
              <w:t>ies, practices and guidelines relating to contract management, including environmental purchasing guidance</w:t>
            </w:r>
          </w:p>
          <w:p w:rsidR="00000000" w:rsidRPr="00C07A28" w:rsidP="00C07A28">
            <w:pPr>
              <w:pStyle w:val="BodyText"/>
            </w:pPr>
            <w:r w:rsidRPr="00C07A28">
              <w:t>contract management for a range of contractual situations</w:t>
            </w:r>
          </w:p>
          <w:p w:rsidR="00000000" w:rsidRPr="00C07A28" w:rsidP="00C07A28">
            <w:pPr>
              <w:pStyle w:val="BodyText"/>
            </w:pPr>
            <w:r w:rsidRPr="00C07A28">
              <w:t xml:space="preserve">privacy and confidentiality issues </w:t>
            </w:r>
          </w:p>
          <w:p w:rsidR="00000000" w:rsidRPr="00C07A28" w:rsidP="00C07A28">
            <w:pPr>
              <w:pStyle w:val="BodyText"/>
            </w:pPr>
            <w:r w:rsidRPr="00C07A28">
              <w:t xml:space="preserve">probity principles and issues </w:t>
            </w:r>
          </w:p>
          <w:p w:rsidR="00000000" w:rsidRPr="00C07A28" w:rsidP="00C07A28">
            <w:pPr>
              <w:pStyle w:val="BodyText"/>
            </w:pPr>
            <w:r w:rsidRPr="00C07A28">
              <w:t>whole-of-life considerat</w:t>
            </w:r>
            <w:r w:rsidRPr="00C07A28">
              <w:t>ions</w:t>
            </w:r>
          </w:p>
          <w:p w:rsidR="00000000" w:rsidRPr="00C07A28" w:rsidP="00C07A28">
            <w:pPr>
              <w:pStyle w:val="BodyText"/>
            </w:pPr>
            <w:r w:rsidRPr="00C07A28">
              <w:t>equal employment opportunity, equity and diversity principles</w:t>
            </w:r>
          </w:p>
          <w:p w:rsidR="00000000" w:rsidRPr="00C07A28" w:rsidP="00C07A28">
            <w:pPr>
              <w:pStyle w:val="BodyText"/>
            </w:pPr>
            <w:r w:rsidRPr="00C07A28">
              <w:t>financial and accounting issues relevant to the contract</w:t>
            </w:r>
          </w:p>
          <w:p w:rsidR="00000000" w:rsidRPr="00C07A28" w:rsidP="00C07A28">
            <w:pPr>
              <w:pStyle w:val="BodyText"/>
            </w:pPr>
            <w:r w:rsidRPr="00C07A28">
              <w:t>public sector legislation including occupational health and safety and environment</w:t>
            </w:r>
          </w:p>
          <w:p w:rsidR="00000000" w:rsidRPr="00C07A28" w:rsidP="00C07A28">
            <w:pPr>
              <w:pStyle w:val="BodyText"/>
            </w:pPr>
            <w:r w:rsidRPr="00C07A28">
              <w:t>legal aspects of negotiation</w:t>
            </w:r>
          </w:p>
          <w:p w:rsidR="00000000" w:rsidRPr="00C07A28" w:rsidP="00C07A28">
            <w:pPr>
              <w:pStyle w:val="BodyText"/>
            </w:pPr>
            <w:r w:rsidRPr="00C07A28">
              <w:t xml:space="preserve">aspects of law of contracts, trade practices law and commercial law relevant to the management of contracts relating to complex procurement </w:t>
            </w:r>
          </w:p>
        </w:tc>
      </w:tr>
    </w:tbl>
    <w:p w:rsidR="00000000" w:rsidRPr="00C07A28" w:rsidP="00C07A28">
      <w:pPr>
        <w:pStyle w:val="BodyText"/>
      </w:pPr>
    </w:p>
    <w:p w:rsidR="00000000" w:rsidRPr="00C07A28" w:rsidP="00C07A28">
      <w:pPr>
        <w:pStyle w:val="AllowPageBreak"/>
      </w:pPr>
    </w:p>
    <w:p w:rsidR="00000000" w:rsidRPr="00C07A28" w:rsidP="00C07A28">
      <w:pPr>
        <w:pStyle w:val="Heading1"/>
      </w:pPr>
      <w:bookmarkStart w:id="10" w:name="O_312522"/>
      <w:bookmarkEnd w:id="10"/>
      <w:r w:rsidRPr="00C07A28">
        <w:t>Evidence Guide</w:t>
      </w:r>
    </w:p>
    <w:tbl>
      <w:tblPr>
        <w:tblW w:w="0" w:type="auto"/>
        <w:tblLayout w:type="fixed"/>
        <w:tblCellMar>
          <w:left w:w="62" w:type="dxa"/>
          <w:right w:w="62" w:type="dxa"/>
        </w:tblCellMar>
        <w:tblLook w:val="0000"/>
      </w:tblPr>
      <w:tblGrid>
        <w:gridCol w:w="4500"/>
        <w:gridCol w:w="4500"/>
      </w:tblGrid>
      <w:tr w:rsidTr="00265CF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07A28">
            <w:pPr>
              <w:pStyle w:val="BodyText"/>
              <w:rPr>
                <w:lang w:val="en-NZ"/>
              </w:rPr>
            </w:pPr>
          </w:p>
        </w:tc>
      </w:tr>
      <w:tr w:rsidTr="00265CF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t>The Evidence Guide specifies the evidence required to demonstrate achievement in the unit of competency as a whole. It must be read in conjunction with the Unit descriptor, Performance Criteria, the Range Statement and the Assessment Guidelines for the Pub</w:t>
            </w:r>
            <w:r w:rsidRPr="00C07A28">
              <w:t xml:space="preserve">lic Sector Training Package. </w:t>
            </w:r>
          </w:p>
        </w:tc>
      </w:tr>
      <w:tr w:rsidTr="00265C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C07A28" w:rsidP="00C07A28">
            <w:pPr>
              <w:pStyle w:val="BodyText"/>
            </w:pPr>
            <w:r w:rsidRPr="00C07A28">
              <w:rPr>
                <w:rStyle w:val="SpecialBold"/>
              </w:rPr>
              <w:t>Units to be assessed together</w:t>
            </w:r>
          </w:p>
        </w:tc>
        <w:tc>
          <w:tcPr>
            <w:tcW w:w="4500" w:type="dxa"/>
            <w:tcBorders>
              <w:top w:val="nil"/>
              <w:left w:val="nil"/>
              <w:bottom w:val="nil"/>
              <w:right w:val="nil"/>
            </w:tcBorders>
            <w:tcMar>
              <w:top w:w="0" w:type="dxa"/>
              <w:left w:w="62" w:type="dxa"/>
              <w:bottom w:w="0" w:type="dxa"/>
              <w:right w:w="62" w:type="dxa"/>
            </w:tcMar>
          </w:tcPr>
          <w:p w:rsidR="00000000" w:rsidRPr="00C07A28" w:rsidP="00C07A28">
            <w:pPr>
              <w:pStyle w:val="BodyText"/>
            </w:pPr>
            <w:r w:rsidRPr="00C07A28">
              <w:rPr>
                <w:rStyle w:val="SpecialBold"/>
              </w:rPr>
              <w:t>Pre</w:t>
            </w:r>
            <w:r w:rsidRPr="00C07A28">
              <w:t>-</w:t>
            </w:r>
            <w:r w:rsidRPr="00C07A28">
              <w:rPr>
                <w:rStyle w:val="SpecialBold"/>
              </w:rPr>
              <w:t>requisite units</w:t>
            </w:r>
            <w:r w:rsidRPr="00C07A28">
              <w:t xml:space="preserve"> that </w:t>
            </w:r>
            <w:r w:rsidRPr="00C07A28">
              <w:rPr>
                <w:rStyle w:val="SpecialBold"/>
              </w:rPr>
              <w:t>must</w:t>
            </w:r>
            <w:r w:rsidRPr="00C07A28">
              <w:t xml:space="preserve"> be achieved </w:t>
            </w:r>
            <w:r w:rsidRPr="00C07A28">
              <w:rPr>
                <w:rStyle w:val="SpecialBold"/>
              </w:rPr>
              <w:t>prior</w:t>
            </w:r>
            <w:r w:rsidRPr="00C07A28">
              <w:t xml:space="preserve"> to this unit: </w:t>
            </w:r>
            <w:r w:rsidRPr="00C07A28">
              <w:rPr>
                <w:rStyle w:val="SpecialBold"/>
              </w:rPr>
              <w:t>Nil</w:t>
            </w:r>
          </w:p>
          <w:p w:rsidR="00000000" w:rsidRPr="00C07A28" w:rsidP="00C07A28">
            <w:pPr>
              <w:pStyle w:val="BodyText"/>
            </w:pPr>
            <w:r w:rsidRPr="00C07A28">
              <w:rPr>
                <w:rStyle w:val="SpecialBold"/>
              </w:rPr>
              <w:t>Co</w:t>
            </w:r>
            <w:r w:rsidRPr="00C07A28">
              <w:t>-</w:t>
            </w:r>
            <w:r w:rsidRPr="00C07A28">
              <w:rPr>
                <w:rStyle w:val="SpecialBold"/>
              </w:rPr>
              <w:t>requisite units</w:t>
            </w:r>
            <w:r w:rsidRPr="00C07A28">
              <w:t xml:space="preserve"> that </w:t>
            </w:r>
            <w:r w:rsidRPr="00C07A28">
              <w:rPr>
                <w:rStyle w:val="SpecialBold"/>
              </w:rPr>
              <w:t>must</w:t>
            </w:r>
            <w:r w:rsidRPr="00C07A28">
              <w:t xml:space="preserve"> be assessed </w:t>
            </w:r>
            <w:r w:rsidRPr="00C07A28">
              <w:rPr>
                <w:rStyle w:val="SpecialBold"/>
              </w:rPr>
              <w:t>with</w:t>
            </w:r>
            <w:r w:rsidRPr="00C07A28">
              <w:t xml:space="preserve"> this unit: </w:t>
            </w:r>
            <w:r w:rsidRPr="00C07A28">
              <w:rPr>
                <w:rStyle w:val="SpecialBold"/>
              </w:rPr>
              <w:t>Nil</w:t>
            </w:r>
          </w:p>
          <w:p w:rsidR="00000000" w:rsidRPr="00C07A28" w:rsidP="00C07A28">
            <w:pPr>
              <w:pStyle w:val="BodyText"/>
            </w:pPr>
            <w:r w:rsidRPr="00C07A28">
              <w:rPr>
                <w:rStyle w:val="SpecialBold"/>
              </w:rPr>
              <w:t>Co</w:t>
            </w:r>
            <w:r w:rsidRPr="00C07A28">
              <w:t>-</w:t>
            </w:r>
            <w:r w:rsidRPr="00C07A28">
              <w:rPr>
                <w:rStyle w:val="SpecialBold"/>
              </w:rPr>
              <w:t>assessed units</w:t>
            </w:r>
            <w:r w:rsidRPr="00C07A28">
              <w:t xml:space="preserve"> that </w:t>
            </w:r>
            <w:r w:rsidRPr="00C07A28">
              <w:rPr>
                <w:rStyle w:val="SpecialBold"/>
              </w:rPr>
              <w:t>may</w:t>
            </w:r>
            <w:r w:rsidRPr="00C07A28">
              <w:t xml:space="preserve"> be assessed with this unit </w:t>
            </w:r>
            <w:r w:rsidRPr="00C07A28">
              <w:t xml:space="preserve">to increase the efficiency and realism of the assessment process include, but are not limited to: </w:t>
            </w:r>
          </w:p>
          <w:p w:rsidR="00000000" w:rsidRPr="00C07A28" w:rsidP="00C07A28">
            <w:pPr>
              <w:pStyle w:val="BodyText"/>
            </w:pPr>
            <w:r w:rsidRPr="00C07A28">
              <w:t xml:space="preserve">PSPETHC501B Promote the values and ethos of public service </w:t>
            </w:r>
          </w:p>
          <w:p w:rsidR="00000000" w:rsidRPr="00C07A28" w:rsidP="00C07A28">
            <w:pPr>
              <w:pStyle w:val="BodyText"/>
            </w:pPr>
            <w:r w:rsidRPr="00C07A28">
              <w:t>PSPGOV505A Promote diversity</w:t>
            </w:r>
          </w:p>
          <w:p w:rsidR="00000000" w:rsidRPr="00C07A28" w:rsidP="00C07A28">
            <w:pPr>
              <w:pStyle w:val="BodyText"/>
            </w:pPr>
            <w:r w:rsidRPr="00C07A28">
              <w:t>PSPGOV507A Undertake negotiations</w:t>
            </w:r>
          </w:p>
          <w:p w:rsidR="00000000" w:rsidRPr="00C07A28" w:rsidP="00C07A28">
            <w:pPr>
              <w:pStyle w:val="BodyText"/>
            </w:pPr>
            <w:r w:rsidRPr="00C07A28">
              <w:t xml:space="preserve">PSPGOV508A Manage conflict  </w:t>
            </w:r>
          </w:p>
          <w:p w:rsidR="00000000" w:rsidRPr="00C07A28" w:rsidP="00C07A28">
            <w:pPr>
              <w:pStyle w:val="BodyText"/>
            </w:pPr>
            <w:r w:rsidRPr="00C07A28">
              <w:t>PSPGO</w:t>
            </w:r>
            <w:r w:rsidRPr="00C07A28">
              <w:t>V511A Provide leadership</w:t>
            </w:r>
          </w:p>
          <w:p w:rsidR="00000000" w:rsidRPr="00C07A28" w:rsidP="00C07A28">
            <w:pPr>
              <w:pStyle w:val="BodyText"/>
            </w:pPr>
            <w:r w:rsidRPr="00C07A28">
              <w:t>PSPGOV512A Use complex workplace communication strategies</w:t>
            </w:r>
          </w:p>
          <w:p w:rsidR="00000000" w:rsidRPr="00C07A28" w:rsidP="00C07A28">
            <w:pPr>
              <w:pStyle w:val="BodyText"/>
            </w:pPr>
            <w:r w:rsidRPr="00C07A28">
              <w:t>PSPLEGN501B Promote compliance with legislation in the public sector</w:t>
            </w:r>
          </w:p>
          <w:p w:rsidR="00000000" w:rsidRPr="00C07A28" w:rsidP="00C07A28">
            <w:pPr>
              <w:pStyle w:val="BodyText"/>
            </w:pPr>
            <w:r w:rsidRPr="00C07A28">
              <w:t>PSPPROC501A Manage contract risk</w:t>
            </w:r>
          </w:p>
          <w:p w:rsidR="00000000" w:rsidRPr="00C07A28" w:rsidP="00C07A28">
            <w:pPr>
              <w:pStyle w:val="BodyText"/>
            </w:pPr>
            <w:r w:rsidRPr="00C07A28">
              <w:t xml:space="preserve">PSPPROC502A Establish contract management arrangements </w:t>
            </w:r>
          </w:p>
          <w:p w:rsidR="00000000" w:rsidP="00C07A28">
            <w:pPr>
              <w:pStyle w:val="BodyText"/>
              <w:rPr>
                <w:lang w:val="en-NZ"/>
              </w:rPr>
            </w:pPr>
            <w:r w:rsidRPr="00C07A28">
              <w:t>PSPPROC504A Fin</w:t>
            </w:r>
            <w:r w:rsidRPr="00C07A28">
              <w:t xml:space="preserve">alise contracts </w:t>
            </w:r>
          </w:p>
        </w:tc>
      </w:tr>
      <w:tr w:rsidTr="00265C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rPr>
                <w:rStyle w:val="SpecialBold"/>
              </w:rPr>
              <w:t>Overview of evidence requirements</w:t>
            </w:r>
          </w:p>
        </w:tc>
        <w:tc>
          <w:tcPr>
            <w:tcW w:w="4500" w:type="dxa"/>
            <w:tcBorders>
              <w:top w:val="nil"/>
              <w:left w:val="nil"/>
              <w:bottom w:val="nil"/>
              <w:right w:val="nil"/>
            </w:tcBorders>
            <w:tcMar>
              <w:top w:w="0" w:type="dxa"/>
              <w:left w:w="62" w:type="dxa"/>
              <w:bottom w:w="0" w:type="dxa"/>
              <w:right w:w="62" w:type="dxa"/>
            </w:tcMar>
          </w:tcPr>
          <w:p w:rsidR="00000000" w:rsidRPr="00C07A28" w:rsidP="00C07A28">
            <w:pPr>
              <w:pStyle w:val="BodyText"/>
            </w:pPr>
            <w:r w:rsidRPr="00C07A28">
              <w:t xml:space="preserve">In addition to integrated demonstration of the elements and their related performance criteria, look for evidence that confirms: </w:t>
            </w:r>
          </w:p>
          <w:p w:rsidR="00000000" w:rsidRPr="00C07A28" w:rsidP="00C07A28">
            <w:pPr>
              <w:pStyle w:val="BodyText"/>
            </w:pPr>
            <w:r w:rsidRPr="00C07A28">
              <w:t xml:space="preserve">the knowledge requirements of this unit </w:t>
            </w:r>
          </w:p>
          <w:p w:rsidR="00000000" w:rsidRPr="00C07A28" w:rsidP="00C07A28">
            <w:pPr>
              <w:pStyle w:val="BodyText"/>
            </w:pPr>
            <w:r w:rsidRPr="00C07A28">
              <w:t>the skill requirements of this un</w:t>
            </w:r>
            <w:r w:rsidRPr="00C07A28">
              <w:t>it</w:t>
            </w:r>
          </w:p>
          <w:p w:rsidR="00000000" w:rsidRPr="00C07A28" w:rsidP="00C07A28">
            <w:pPr>
              <w:pStyle w:val="BodyText"/>
            </w:pPr>
            <w:r w:rsidRPr="00C07A28">
              <w:t>application of the Employability Skills as they relate to this unit (see Employability Summaries in Qualifications Framework)</w:t>
            </w:r>
          </w:p>
          <w:p w:rsidR="00000000" w:rsidP="00C07A28">
            <w:pPr>
              <w:pStyle w:val="BodyText"/>
              <w:rPr>
                <w:lang w:val="en-NZ"/>
              </w:rPr>
            </w:pPr>
            <w:r w:rsidRPr="00C07A28">
              <w:t xml:space="preserve">management of contract performance in a range of (3 or more) contexts (or occasions, over time)    </w:t>
            </w:r>
          </w:p>
        </w:tc>
      </w:tr>
      <w:tr w:rsidTr="00265C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rPr>
                <w:rStyle w:val="SpecialBold"/>
              </w:rPr>
              <w:t>Resources required to carr</w:t>
            </w:r>
            <w:r w:rsidRPr="00C07A28">
              <w:rPr>
                <w:rStyle w:val="SpecialBold"/>
              </w:rPr>
              <w:t>y out assessment</w:t>
            </w:r>
          </w:p>
        </w:tc>
        <w:tc>
          <w:tcPr>
            <w:tcW w:w="4500" w:type="dxa"/>
            <w:tcBorders>
              <w:top w:val="nil"/>
              <w:left w:val="nil"/>
              <w:bottom w:val="nil"/>
              <w:right w:val="nil"/>
            </w:tcBorders>
            <w:tcMar>
              <w:top w:w="0" w:type="dxa"/>
              <w:left w:w="62" w:type="dxa"/>
              <w:bottom w:w="0" w:type="dxa"/>
              <w:right w:w="62" w:type="dxa"/>
            </w:tcMar>
          </w:tcPr>
          <w:p w:rsidR="00000000" w:rsidRPr="00C07A28" w:rsidP="00C07A28">
            <w:pPr>
              <w:pStyle w:val="BodyText"/>
            </w:pPr>
            <w:r w:rsidRPr="00C07A28">
              <w:t xml:space="preserve">These resources include: </w:t>
            </w:r>
          </w:p>
          <w:p w:rsidR="00000000" w:rsidRPr="00C07A28" w:rsidP="00C07A28">
            <w:pPr>
              <w:pStyle w:val="BodyText"/>
            </w:pPr>
            <w:r w:rsidRPr="00C07A28">
              <w:t>legislation, policy, procedures and protocols relating to contract management</w:t>
            </w:r>
          </w:p>
          <w:p w:rsidR="00000000" w:rsidP="00C07A28">
            <w:pPr>
              <w:pStyle w:val="BodyText"/>
              <w:rPr>
                <w:lang w:val="en-NZ"/>
              </w:rPr>
            </w:pPr>
            <w:r w:rsidRPr="00C07A28">
              <w:t xml:space="preserve">case studies and workplace scenarios to capture the range of contract management situations likely to be encountered </w:t>
            </w:r>
          </w:p>
        </w:tc>
      </w:tr>
      <w:tr w:rsidTr="00265C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rPr>
                <w:rStyle w:val="SpecialBold"/>
              </w:rPr>
              <w:t>Where and how to assess evidence</w:t>
            </w:r>
          </w:p>
        </w:tc>
        <w:tc>
          <w:tcPr>
            <w:tcW w:w="4500" w:type="dxa"/>
            <w:tcBorders>
              <w:top w:val="nil"/>
              <w:left w:val="nil"/>
              <w:bottom w:val="nil"/>
              <w:right w:val="nil"/>
            </w:tcBorders>
            <w:tcMar>
              <w:top w:w="0" w:type="dxa"/>
              <w:left w:w="62" w:type="dxa"/>
              <w:bottom w:w="0" w:type="dxa"/>
              <w:right w:w="62" w:type="dxa"/>
            </w:tcMar>
          </w:tcPr>
          <w:p w:rsidR="00000000" w:rsidRPr="00C07A28" w:rsidP="00C07A28">
            <w:pPr>
              <w:pStyle w:val="BodyText"/>
            </w:pPr>
            <w:r w:rsidRPr="00C07A28">
              <w:t xml:space="preserve">Valid assessment of this unit requires:  </w:t>
            </w:r>
          </w:p>
          <w:p w:rsidR="00000000" w:rsidRPr="00C07A28" w:rsidP="00C07A28">
            <w:pPr>
              <w:pStyle w:val="BodyText"/>
            </w:pPr>
            <w:r w:rsidRPr="00C07A28">
              <w:t>a workplace environment or one that closely resembles normal work practice and replicates the range of conditions likely to be encountered when managing contract performance, includ</w:t>
            </w:r>
            <w:r w:rsidRPr="00C07A28">
              <w:t>ing coping with difficulties, irregularities and breakdowns in routine</w:t>
            </w:r>
          </w:p>
          <w:p w:rsidR="00000000" w:rsidRPr="00C07A28" w:rsidP="00C07A28">
            <w:pPr>
              <w:pStyle w:val="BodyText"/>
            </w:pPr>
            <w:r w:rsidRPr="00C07A28">
              <w:t xml:space="preserve">management of contract performance in a range of (3 or more) contexts (or occasions, over time) </w:t>
            </w:r>
          </w:p>
          <w:p w:rsidR="00000000" w:rsidRPr="00C07A28" w:rsidP="00C07A28">
            <w:pPr>
              <w:pStyle w:val="BodyText"/>
            </w:pPr>
            <w:r w:rsidRPr="00C07A28">
              <w:t xml:space="preserve">Assessment methods should reflect workplace demands, such as literacy, and the needs of </w:t>
            </w:r>
            <w:r w:rsidRPr="00C07A28">
              <w:t>particular groups, such as:</w:t>
            </w:r>
          </w:p>
          <w:p w:rsidR="00000000" w:rsidRPr="00C07A28" w:rsidP="00C07A28">
            <w:pPr>
              <w:pStyle w:val="BodyText"/>
            </w:pPr>
            <w:r w:rsidRPr="00C07A28">
              <w:t>people with disabilities</w:t>
            </w:r>
          </w:p>
          <w:p w:rsidR="00000000" w:rsidRPr="00C07A28" w:rsidP="00C07A28">
            <w:pPr>
              <w:pStyle w:val="BodyText"/>
            </w:pPr>
            <w:r w:rsidRPr="00C07A28">
              <w:t>people from culturally and linguistically diverse backgrounds</w:t>
            </w:r>
          </w:p>
          <w:p w:rsidR="00000000" w:rsidRPr="00C07A28" w:rsidP="00C07A28">
            <w:pPr>
              <w:pStyle w:val="BodyText"/>
            </w:pPr>
            <w:r w:rsidRPr="00C07A28">
              <w:t>Aboriginal and Torres Strait Islander people</w:t>
            </w:r>
          </w:p>
          <w:p w:rsidR="00000000" w:rsidRPr="00C07A28" w:rsidP="00C07A28">
            <w:pPr>
              <w:pStyle w:val="BodyText"/>
            </w:pPr>
            <w:r w:rsidRPr="00C07A28">
              <w:t>women</w:t>
            </w:r>
          </w:p>
          <w:p w:rsidR="00000000" w:rsidRPr="00C07A28" w:rsidP="00C07A28">
            <w:pPr>
              <w:pStyle w:val="BodyText"/>
            </w:pPr>
            <w:r w:rsidRPr="00C07A28">
              <w:t>young people</w:t>
            </w:r>
          </w:p>
          <w:p w:rsidR="00000000" w:rsidRPr="00C07A28" w:rsidP="00C07A28">
            <w:pPr>
              <w:pStyle w:val="BodyText"/>
            </w:pPr>
            <w:r w:rsidRPr="00C07A28">
              <w:t>older people</w:t>
            </w:r>
          </w:p>
          <w:p w:rsidR="00000000" w:rsidRPr="00C07A28" w:rsidP="00C07A28">
            <w:pPr>
              <w:pStyle w:val="BodyText"/>
            </w:pPr>
            <w:r w:rsidRPr="00C07A28">
              <w:t>people in rural and remote locations</w:t>
            </w:r>
          </w:p>
          <w:p w:rsidR="00000000" w:rsidRPr="00C07A28" w:rsidP="00C07A28">
            <w:pPr>
              <w:pStyle w:val="BodyText"/>
            </w:pPr>
            <w:r w:rsidRPr="00C07A28">
              <w:t>Assessment methods suitable</w:t>
            </w:r>
            <w:r w:rsidRPr="00C07A28">
              <w:t xml:space="preserve"> for valid and reliable assessment of this competency may include, but are not limited to, a combination of 2 or more of: </w:t>
            </w:r>
          </w:p>
          <w:p w:rsidR="00000000" w:rsidRPr="00C07A28" w:rsidP="00C07A28">
            <w:pPr>
              <w:pStyle w:val="BodyText"/>
            </w:pPr>
            <w:r w:rsidRPr="00C07A28">
              <w:t>case studies</w:t>
            </w:r>
          </w:p>
          <w:p w:rsidR="00000000" w:rsidRPr="00C07A28" w:rsidP="00C07A28">
            <w:pPr>
              <w:pStyle w:val="BodyText"/>
            </w:pPr>
            <w:r w:rsidRPr="00C07A28">
              <w:t xml:space="preserve">portfolios </w:t>
            </w:r>
          </w:p>
          <w:p w:rsidR="00000000" w:rsidRPr="00C07A28" w:rsidP="00C07A28">
            <w:pPr>
              <w:pStyle w:val="BodyText"/>
            </w:pPr>
            <w:r w:rsidRPr="00C07A28">
              <w:t>questioning</w:t>
            </w:r>
          </w:p>
          <w:p w:rsidR="00000000" w:rsidRPr="00C07A28" w:rsidP="00C07A28">
            <w:pPr>
              <w:pStyle w:val="BodyText"/>
            </w:pPr>
            <w:r w:rsidRPr="00C07A28">
              <w:t>scenarios</w:t>
            </w:r>
          </w:p>
          <w:p w:rsidR="00000000" w:rsidP="00C07A28">
            <w:pPr>
              <w:pStyle w:val="BodyText"/>
              <w:rPr>
                <w:lang w:val="en-NZ"/>
              </w:rPr>
            </w:pPr>
            <w:r w:rsidRPr="00C07A28">
              <w:t xml:space="preserve">authenticated evidence from the workplace and/or training courses </w:t>
            </w:r>
          </w:p>
        </w:tc>
      </w:tr>
      <w:tr w:rsidTr="00265C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rPr>
                <w:rStyle w:val="SpecialBold"/>
              </w:rPr>
              <w:t>For consistency of</w:t>
            </w:r>
            <w:r w:rsidRPr="00C07A28">
              <w:rPr>
                <w:rStyle w:val="SpecialBold"/>
              </w:rPr>
              <w:t xml:space="preserve"> assessment</w:t>
            </w:r>
          </w:p>
        </w:tc>
        <w:tc>
          <w:tcPr>
            <w:tcW w:w="4500" w:type="dxa"/>
            <w:tcBorders>
              <w:top w:val="nil"/>
              <w:left w:val="nil"/>
              <w:bottom w:val="nil"/>
              <w:right w:val="nil"/>
            </w:tcBorders>
            <w:tcMar>
              <w:top w:w="0" w:type="dxa"/>
              <w:left w:w="62" w:type="dxa"/>
              <w:bottom w:w="0" w:type="dxa"/>
              <w:right w:w="62" w:type="dxa"/>
            </w:tcMar>
          </w:tcPr>
          <w:p w:rsidR="00000000" w:rsidRPr="00C07A28" w:rsidP="00C07A28">
            <w:pPr>
              <w:pStyle w:val="BodyText"/>
            </w:pPr>
            <w:r w:rsidRPr="00C07A28">
              <w:t xml:space="preserve">Evidence must be gathered over time in a range of contexts to ensure the person can achieve the unit outcome and apply the competency in different situations or environments </w:t>
            </w:r>
          </w:p>
        </w:tc>
      </w:tr>
    </w:tbl>
    <w:p w:rsidR="00000000" w:rsidRPr="00C07A28" w:rsidP="00C07A28">
      <w:pPr>
        <w:pStyle w:val="BodyText"/>
      </w:pPr>
    </w:p>
    <w:p w:rsidR="00000000" w:rsidRPr="00C07A28" w:rsidP="00C07A28">
      <w:pPr>
        <w:pStyle w:val="AllowPageBreak"/>
      </w:pPr>
    </w:p>
    <w:p w:rsidR="00000000" w:rsidRPr="00C07A28" w:rsidP="00C07A28">
      <w:pPr>
        <w:pStyle w:val="Heading1"/>
      </w:pPr>
      <w:bookmarkStart w:id="11" w:name="O_312521"/>
      <w:bookmarkEnd w:id="11"/>
      <w:r w:rsidRPr="00C07A28">
        <w:t>Range Statement</w:t>
      </w:r>
    </w:p>
    <w:tbl>
      <w:tblPr>
        <w:tblW w:w="0" w:type="auto"/>
        <w:tblLayout w:type="fixed"/>
        <w:tblCellMar>
          <w:left w:w="62" w:type="dxa"/>
          <w:right w:w="62" w:type="dxa"/>
        </w:tblCellMar>
        <w:tblLook w:val="0000"/>
      </w:tblPr>
      <w:tblGrid>
        <w:gridCol w:w="4500"/>
        <w:gridCol w:w="4500"/>
      </w:tblGrid>
      <w:tr w:rsidTr="00265CF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rPr>
                <w:rStyle w:val="SpecialBold"/>
              </w:rPr>
              <w:t>RANGE STATEMENT</w:t>
            </w:r>
          </w:p>
        </w:tc>
      </w:tr>
      <w:tr w:rsidTr="00265CF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t>The Range Statement provides information about the context in which the unit of competency is carried out. The variables cater for differences between States and Territories and the Commonwealth, and between organisations and workplaces. They allow for dif</w:t>
            </w:r>
            <w:r w:rsidRPr="00C07A28">
              <w:t xml:space="preserve">ferent work requirements, work practices and knowledge. The Range Statement also provides a focus for assessment. It relates to the unit as a whole. Text in </w:t>
            </w:r>
            <w:r w:rsidRPr="00C07A28">
              <w:rPr>
                <w:rStyle w:val="SpecialBold"/>
              </w:rPr>
              <w:t>italics</w:t>
            </w:r>
            <w:r w:rsidRPr="00C07A28">
              <w:t xml:space="preserve"> in the Performance Criteria is explained here. </w:t>
            </w:r>
          </w:p>
        </w:tc>
      </w:tr>
      <w:tr w:rsidTr="00265C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rPr>
                <w:rStyle w:val="SpecialBold"/>
              </w:rPr>
              <w:t>Probity principles are</w:t>
            </w:r>
          </w:p>
        </w:tc>
        <w:tc>
          <w:tcPr>
            <w:tcW w:w="4500" w:type="dxa"/>
            <w:tcBorders>
              <w:top w:val="nil"/>
              <w:left w:val="nil"/>
              <w:bottom w:val="nil"/>
              <w:right w:val="nil"/>
            </w:tcBorders>
            <w:tcMar>
              <w:top w:w="0" w:type="dxa"/>
              <w:left w:w="62" w:type="dxa"/>
              <w:bottom w:w="0" w:type="dxa"/>
              <w:right w:w="62" w:type="dxa"/>
            </w:tcMar>
          </w:tcPr>
          <w:p w:rsidR="00000000" w:rsidRPr="00C07A28" w:rsidP="00C07A28">
            <w:pPr>
              <w:pStyle w:val="BodyText"/>
            </w:pPr>
            <w:r w:rsidRPr="00C07A28">
              <w:t>accountability</w:t>
            </w:r>
          </w:p>
          <w:p w:rsidR="00000000" w:rsidRPr="00C07A28" w:rsidP="00C07A28">
            <w:pPr>
              <w:pStyle w:val="BodyText"/>
            </w:pPr>
            <w:r w:rsidRPr="00C07A28">
              <w:t>tra</w:t>
            </w:r>
            <w:r w:rsidRPr="00C07A28">
              <w:t>nsparency</w:t>
            </w:r>
          </w:p>
          <w:p w:rsidR="00000000" w:rsidRPr="00C07A28" w:rsidP="00C07A28">
            <w:pPr>
              <w:pStyle w:val="BodyText"/>
            </w:pPr>
            <w:r w:rsidRPr="00C07A28">
              <w:t>confidentiality</w:t>
            </w:r>
          </w:p>
          <w:p w:rsidR="00000000" w:rsidRPr="00C07A28" w:rsidP="00C07A28">
            <w:pPr>
              <w:pStyle w:val="BodyText"/>
            </w:pPr>
            <w:r w:rsidRPr="00C07A28">
              <w:t>management of conflicts of interest</w:t>
            </w:r>
          </w:p>
          <w:p w:rsidR="00000000" w:rsidRPr="00C07A28" w:rsidP="00C07A28">
            <w:pPr>
              <w:pStyle w:val="BodyText"/>
            </w:pPr>
            <w:r w:rsidRPr="00C07A28">
              <w:t xml:space="preserve">maintained to:   </w:t>
            </w:r>
          </w:p>
          <w:p w:rsidR="00000000" w:rsidRPr="00C07A28" w:rsidP="00C07A28">
            <w:pPr>
              <w:pStyle w:val="BodyText"/>
            </w:pPr>
            <w:r w:rsidRPr="00C07A28">
              <w:t>ensure conformity to processes</w:t>
            </w:r>
          </w:p>
          <w:p w:rsidR="00000000" w:rsidRPr="00C07A28" w:rsidP="00C07A28">
            <w:pPr>
              <w:pStyle w:val="BodyText"/>
            </w:pPr>
            <w:r w:rsidRPr="00C07A28">
              <w:t>facilitate accountability</w:t>
            </w:r>
          </w:p>
          <w:p w:rsidR="00000000" w:rsidRPr="00C07A28" w:rsidP="00C07A28">
            <w:pPr>
              <w:pStyle w:val="BodyText"/>
            </w:pPr>
            <w:r w:rsidRPr="00C07A28">
              <w:t>ensure proponents are treated in a fair and equitable manner</w:t>
            </w:r>
          </w:p>
          <w:p w:rsidR="00000000" w:rsidRPr="00C07A28" w:rsidP="00C07A28">
            <w:pPr>
              <w:pStyle w:val="BodyText"/>
            </w:pPr>
            <w:r w:rsidRPr="00C07A28">
              <w:t xml:space="preserve">encourage commercial competition, where appropriate </w:t>
            </w:r>
          </w:p>
          <w:p w:rsidR="00000000" w:rsidP="00C07A28">
            <w:pPr>
              <w:pStyle w:val="BodyText"/>
              <w:rPr>
                <w:lang w:val="en-NZ"/>
              </w:rPr>
            </w:pPr>
            <w:r w:rsidRPr="00C07A28">
              <w:t xml:space="preserve">preserve public and private sector confidence in government processes </w:t>
            </w:r>
          </w:p>
        </w:tc>
      </w:tr>
      <w:tr w:rsidTr="00265C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rPr>
                <w:rStyle w:val="SpecialBold"/>
              </w:rPr>
              <w:t>Legislation</w:t>
            </w:r>
            <w:r w:rsidRPr="00C07A28">
              <w:t xml:space="preserve">, </w:t>
            </w:r>
            <w:r w:rsidRPr="00C07A28">
              <w:rPr>
                <w:rStyle w:val="SpecialBold"/>
              </w:rPr>
              <w:t>policy and standards may include</w:t>
            </w:r>
          </w:p>
        </w:tc>
        <w:tc>
          <w:tcPr>
            <w:tcW w:w="4500" w:type="dxa"/>
            <w:tcBorders>
              <w:top w:val="nil"/>
              <w:left w:val="nil"/>
              <w:bottom w:val="nil"/>
              <w:right w:val="nil"/>
            </w:tcBorders>
            <w:tcMar>
              <w:top w:w="0" w:type="dxa"/>
              <w:left w:w="62" w:type="dxa"/>
              <w:bottom w:w="0" w:type="dxa"/>
              <w:right w:w="62" w:type="dxa"/>
            </w:tcMar>
          </w:tcPr>
          <w:p w:rsidR="00000000" w:rsidRPr="00C07A28" w:rsidP="00C07A28">
            <w:pPr>
              <w:pStyle w:val="BodyText"/>
            </w:pPr>
            <w:r w:rsidRPr="00C07A28">
              <w:t>financial management legislation</w:t>
            </w:r>
          </w:p>
          <w:p w:rsidR="00000000" w:rsidRPr="00C07A28" w:rsidP="00C07A28">
            <w:pPr>
              <w:pStyle w:val="BodyText"/>
            </w:pPr>
            <w:r w:rsidRPr="00C07A28">
              <w:t>government procurement/purchasing/contracting legislation, policy and guidelines</w:t>
            </w:r>
          </w:p>
          <w:p w:rsidR="00000000" w:rsidRPr="00C07A28" w:rsidP="00C07A28">
            <w:pPr>
              <w:pStyle w:val="BodyText"/>
            </w:pPr>
            <w:r w:rsidRPr="00C07A28">
              <w:t>public sector standards</w:t>
            </w:r>
          </w:p>
          <w:p w:rsidR="00000000" w:rsidRPr="00C07A28" w:rsidP="00C07A28">
            <w:pPr>
              <w:pStyle w:val="BodyText"/>
            </w:pPr>
            <w:r w:rsidRPr="00C07A28">
              <w:t>ethics standards</w:t>
            </w:r>
          </w:p>
          <w:p w:rsidR="00000000" w:rsidRPr="00C07A28" w:rsidP="00C07A28">
            <w:pPr>
              <w:pStyle w:val="BodyText"/>
            </w:pPr>
            <w:r w:rsidRPr="00C07A28">
              <w:t>codes of conduct/ethics</w:t>
            </w:r>
          </w:p>
          <w:p w:rsidR="00000000" w:rsidRPr="00C07A28" w:rsidP="00C07A28">
            <w:pPr>
              <w:pStyle w:val="BodyText"/>
            </w:pPr>
            <w:r w:rsidRPr="00C07A28">
              <w:t>cross-cultural and social justice issues</w:t>
            </w:r>
          </w:p>
          <w:p w:rsidR="00000000" w:rsidP="00C07A28">
            <w:pPr>
              <w:pStyle w:val="BodyText"/>
              <w:rPr>
                <w:lang w:val="en-NZ"/>
              </w:rPr>
            </w:pPr>
            <w:r w:rsidRPr="00C07A28">
              <w:t xml:space="preserve">environmental purchasing </w:t>
            </w:r>
          </w:p>
        </w:tc>
      </w:tr>
      <w:tr w:rsidTr="00265C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rPr>
                <w:rStyle w:val="SpecialBold"/>
              </w:rPr>
              <w:t>Formal and informal mechanisms may include</w:t>
            </w:r>
          </w:p>
        </w:tc>
        <w:tc>
          <w:tcPr>
            <w:tcW w:w="4500" w:type="dxa"/>
            <w:tcBorders>
              <w:top w:val="nil"/>
              <w:left w:val="nil"/>
              <w:bottom w:val="nil"/>
              <w:right w:val="nil"/>
            </w:tcBorders>
            <w:tcMar>
              <w:top w:w="0" w:type="dxa"/>
              <w:left w:w="62" w:type="dxa"/>
              <w:bottom w:w="0" w:type="dxa"/>
              <w:right w:w="62" w:type="dxa"/>
            </w:tcMar>
          </w:tcPr>
          <w:p w:rsidR="00000000" w:rsidRPr="00C07A28" w:rsidP="00C07A28">
            <w:pPr>
              <w:pStyle w:val="BodyText"/>
            </w:pPr>
            <w:r w:rsidRPr="00C07A28">
              <w:t>non-confrontational interaction</w:t>
            </w:r>
          </w:p>
          <w:p w:rsidR="00000000" w:rsidRPr="00C07A28" w:rsidP="00C07A28">
            <w:pPr>
              <w:pStyle w:val="BodyText"/>
            </w:pPr>
            <w:r w:rsidRPr="00C07A28">
              <w:t>hospitality</w:t>
            </w:r>
          </w:p>
          <w:p w:rsidR="00000000" w:rsidRPr="00C07A28" w:rsidP="00C07A28">
            <w:pPr>
              <w:pStyle w:val="BodyText"/>
            </w:pPr>
            <w:r w:rsidRPr="00C07A28">
              <w:t>formal contract variations</w:t>
            </w:r>
          </w:p>
          <w:p w:rsidR="00000000" w:rsidP="00C07A28">
            <w:pPr>
              <w:pStyle w:val="BodyText"/>
              <w:rPr>
                <w:lang w:val="en-NZ"/>
              </w:rPr>
            </w:pPr>
            <w:r w:rsidRPr="00C07A28">
              <w:t xml:space="preserve">formal negotiations </w:t>
            </w:r>
          </w:p>
        </w:tc>
      </w:tr>
      <w:tr w:rsidTr="00265C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rPr>
                <w:rStyle w:val="SpecialBold"/>
              </w:rPr>
              <w:t>Contract ma</w:t>
            </w:r>
            <w:r w:rsidRPr="00C07A28">
              <w:rPr>
                <w:rStyle w:val="SpecialBold"/>
              </w:rPr>
              <w:t>nagement plan may include</w:t>
            </w:r>
          </w:p>
        </w:tc>
        <w:tc>
          <w:tcPr>
            <w:tcW w:w="4500" w:type="dxa"/>
            <w:tcBorders>
              <w:top w:val="nil"/>
              <w:left w:val="nil"/>
              <w:bottom w:val="nil"/>
              <w:right w:val="nil"/>
            </w:tcBorders>
            <w:tcMar>
              <w:top w:w="0" w:type="dxa"/>
              <w:left w:w="62" w:type="dxa"/>
              <w:bottom w:w="0" w:type="dxa"/>
              <w:right w:w="62" w:type="dxa"/>
            </w:tcMar>
          </w:tcPr>
          <w:p w:rsidR="00000000" w:rsidRPr="00C07A28" w:rsidP="00C07A28">
            <w:pPr>
              <w:pStyle w:val="BodyText"/>
            </w:pPr>
            <w:r w:rsidRPr="00C07A28">
              <w:t>risk management plan</w:t>
            </w:r>
          </w:p>
          <w:p w:rsidR="00000000" w:rsidRPr="00C07A28" w:rsidP="00C07A28">
            <w:pPr>
              <w:pStyle w:val="BodyText"/>
            </w:pPr>
            <w:r w:rsidRPr="00C07A28">
              <w:t>contingency plan</w:t>
            </w:r>
          </w:p>
          <w:p w:rsidR="00000000" w:rsidRPr="00C07A28" w:rsidP="00C07A28">
            <w:pPr>
              <w:pStyle w:val="BodyText"/>
            </w:pPr>
            <w:r w:rsidRPr="00C07A28">
              <w:t>communication/public relations plans</w:t>
            </w:r>
          </w:p>
          <w:p w:rsidR="00000000" w:rsidRPr="00C07A28" w:rsidP="00C07A28">
            <w:pPr>
              <w:pStyle w:val="BodyText"/>
            </w:pPr>
            <w:r w:rsidRPr="00C07A28">
              <w:t>human resource management plan</w:t>
            </w:r>
          </w:p>
          <w:p w:rsidR="00000000" w:rsidRPr="00C07A28" w:rsidP="00C07A28">
            <w:pPr>
              <w:pStyle w:val="BodyText"/>
            </w:pPr>
            <w:r w:rsidRPr="00C07A28">
              <w:t>disposal plan</w:t>
            </w:r>
          </w:p>
          <w:p w:rsidR="00000000" w:rsidRPr="00C07A28" w:rsidP="00C07A28">
            <w:pPr>
              <w:pStyle w:val="BodyText"/>
            </w:pPr>
            <w:r w:rsidRPr="00C07A28">
              <w:t>contract review plan</w:t>
            </w:r>
          </w:p>
          <w:p w:rsidR="00000000" w:rsidRPr="00C07A28" w:rsidP="00C07A28">
            <w:pPr>
              <w:pStyle w:val="BodyText"/>
            </w:pPr>
            <w:r w:rsidRPr="00C07A28">
              <w:t>setting up routines</w:t>
            </w:r>
          </w:p>
          <w:p w:rsidR="00000000" w:rsidRPr="00C07A28" w:rsidP="00C07A28">
            <w:pPr>
              <w:pStyle w:val="BodyText"/>
            </w:pPr>
            <w:r w:rsidRPr="00C07A28">
              <w:t>checking quality assurance systems</w:t>
            </w:r>
          </w:p>
          <w:p w:rsidR="00000000" w:rsidRPr="00C07A28" w:rsidP="00C07A28">
            <w:pPr>
              <w:pStyle w:val="BodyText"/>
            </w:pPr>
            <w:r w:rsidRPr="00C07A28">
              <w:t>transfer of legal responsibility</w:t>
            </w:r>
          </w:p>
          <w:p w:rsidR="00000000" w:rsidRPr="00C07A28" w:rsidP="00C07A28">
            <w:pPr>
              <w:pStyle w:val="BodyText"/>
            </w:pPr>
            <w:r w:rsidRPr="00C07A28">
              <w:t>insurances</w:t>
            </w:r>
          </w:p>
          <w:p w:rsidR="00000000" w:rsidRPr="00C07A28" w:rsidP="00C07A28">
            <w:pPr>
              <w:pStyle w:val="BodyText"/>
            </w:pPr>
            <w:r w:rsidRPr="00C07A28">
              <w:t>strategies to avoid implied acceptance of varied conditions through non-enforcement of contractual obligations</w:t>
            </w:r>
          </w:p>
          <w:p w:rsidR="00000000" w:rsidRPr="00C07A28" w:rsidP="00C07A28">
            <w:pPr>
              <w:pStyle w:val="BodyText"/>
            </w:pPr>
            <w:r w:rsidRPr="00C07A28">
              <w:t>environmental/green issues</w:t>
            </w:r>
          </w:p>
          <w:p w:rsidR="00000000" w:rsidP="00C07A28">
            <w:pPr>
              <w:pStyle w:val="BodyText"/>
              <w:rPr>
                <w:lang w:val="en-NZ"/>
              </w:rPr>
            </w:pPr>
            <w:r w:rsidRPr="00C07A28">
              <w:t xml:space="preserve">industry policy </w:t>
            </w:r>
          </w:p>
        </w:tc>
      </w:tr>
      <w:tr w:rsidTr="00265C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rPr>
                <w:rStyle w:val="SpecialBold"/>
              </w:rPr>
              <w:t>Contracts may include</w:t>
            </w:r>
          </w:p>
        </w:tc>
        <w:tc>
          <w:tcPr>
            <w:tcW w:w="4500" w:type="dxa"/>
            <w:tcBorders>
              <w:top w:val="nil"/>
              <w:left w:val="nil"/>
              <w:bottom w:val="nil"/>
              <w:right w:val="nil"/>
            </w:tcBorders>
            <w:tcMar>
              <w:top w:w="0" w:type="dxa"/>
              <w:left w:w="62" w:type="dxa"/>
              <w:bottom w:w="0" w:type="dxa"/>
              <w:right w:w="62" w:type="dxa"/>
            </w:tcMar>
          </w:tcPr>
          <w:p w:rsidR="00000000" w:rsidRPr="00C07A28" w:rsidP="00C07A28">
            <w:pPr>
              <w:pStyle w:val="BodyText"/>
            </w:pPr>
            <w:r w:rsidRPr="00C07A28">
              <w:t>memoranda of understanding/memoranda of agreement</w:t>
            </w:r>
          </w:p>
          <w:p w:rsidR="00000000" w:rsidRPr="00C07A28" w:rsidP="00C07A28">
            <w:pPr>
              <w:pStyle w:val="BodyText"/>
            </w:pPr>
            <w:r w:rsidRPr="00C07A28">
              <w:t>in-house option d</w:t>
            </w:r>
            <w:r w:rsidRPr="00C07A28">
              <w:t>irectives</w:t>
            </w:r>
          </w:p>
          <w:p w:rsidR="00000000" w:rsidRPr="00C07A28" w:rsidP="00C07A28">
            <w:pPr>
              <w:pStyle w:val="BodyText"/>
            </w:pPr>
            <w:r w:rsidRPr="00C07A28">
              <w:t>common use arrangements/standing offers</w:t>
            </w:r>
          </w:p>
          <w:p w:rsidR="00000000" w:rsidRPr="00C07A28" w:rsidP="00C07A28">
            <w:pPr>
              <w:pStyle w:val="BodyText"/>
            </w:pPr>
            <w:r w:rsidRPr="00C07A28">
              <w:t>inter/intra-government agreements</w:t>
            </w:r>
          </w:p>
          <w:p w:rsidR="00000000" w:rsidRPr="00C07A28" w:rsidP="00C07A28">
            <w:pPr>
              <w:pStyle w:val="BodyText"/>
            </w:pPr>
            <w:r w:rsidRPr="00C07A28">
              <w:t>letters of intent</w:t>
            </w:r>
          </w:p>
          <w:p w:rsidR="00000000" w:rsidRPr="00C07A28" w:rsidP="00C07A28">
            <w:pPr>
              <w:pStyle w:val="BodyText"/>
            </w:pPr>
            <w:r w:rsidRPr="00C07A28">
              <w:t>licensing</w:t>
            </w:r>
          </w:p>
          <w:p w:rsidR="00000000" w:rsidRPr="00C07A28" w:rsidP="00C07A28">
            <w:pPr>
              <w:pStyle w:val="BodyText"/>
            </w:pPr>
            <w:r w:rsidRPr="00C07A28">
              <w:t>purchases from suppliers</w:t>
            </w:r>
          </w:p>
          <w:p w:rsidR="00000000" w:rsidP="00C07A28">
            <w:pPr>
              <w:pStyle w:val="BodyText"/>
              <w:rPr>
                <w:lang w:val="en-NZ"/>
              </w:rPr>
            </w:pPr>
            <w:r w:rsidRPr="00C07A28">
              <w:t xml:space="preserve">standing offers </w:t>
            </w:r>
          </w:p>
        </w:tc>
      </w:tr>
      <w:tr w:rsidTr="00265C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rPr>
                <w:rStyle w:val="SpecialBold"/>
              </w:rPr>
              <w:t>Risks might include</w:t>
            </w:r>
          </w:p>
        </w:tc>
        <w:tc>
          <w:tcPr>
            <w:tcW w:w="4500" w:type="dxa"/>
            <w:tcBorders>
              <w:top w:val="nil"/>
              <w:left w:val="nil"/>
              <w:bottom w:val="nil"/>
              <w:right w:val="nil"/>
            </w:tcBorders>
            <w:tcMar>
              <w:top w:w="0" w:type="dxa"/>
              <w:left w:w="62" w:type="dxa"/>
              <w:bottom w:w="0" w:type="dxa"/>
              <w:right w:w="62" w:type="dxa"/>
            </w:tcMar>
          </w:tcPr>
          <w:p w:rsidR="00000000" w:rsidRPr="00C07A28" w:rsidP="00C07A28">
            <w:pPr>
              <w:pStyle w:val="BodyText"/>
            </w:pPr>
            <w:r w:rsidRPr="00C07A28">
              <w:t>suppliers' inability to meet agreements</w:t>
            </w:r>
          </w:p>
          <w:p w:rsidR="00000000" w:rsidRPr="00C07A28" w:rsidP="00C07A28">
            <w:pPr>
              <w:pStyle w:val="BodyText"/>
            </w:pPr>
            <w:r w:rsidRPr="00C07A28">
              <w:t>end users' or buyers' inability to meet obligations</w:t>
            </w:r>
          </w:p>
          <w:p w:rsidR="00000000" w:rsidRPr="00C07A28" w:rsidP="00C07A28">
            <w:pPr>
              <w:pStyle w:val="BodyText"/>
            </w:pPr>
            <w:r w:rsidRPr="00C07A28">
              <w:t>limited number of suppliers</w:t>
            </w:r>
          </w:p>
          <w:p w:rsidR="00000000" w:rsidRPr="00C07A28" w:rsidP="00C07A28">
            <w:pPr>
              <w:pStyle w:val="BodyText"/>
            </w:pPr>
            <w:r w:rsidRPr="00C07A28">
              <w:t>client considerations not fully understood</w:t>
            </w:r>
          </w:p>
          <w:p w:rsidR="00000000" w:rsidRPr="00C07A28" w:rsidP="00C07A28">
            <w:pPr>
              <w:pStyle w:val="BodyText"/>
            </w:pPr>
            <w:r w:rsidRPr="00C07A28">
              <w:t>options for people with limited language/literacy skills</w:t>
            </w:r>
          </w:p>
          <w:p w:rsidR="00000000" w:rsidRPr="00C07A28" w:rsidP="00C07A28">
            <w:pPr>
              <w:pStyle w:val="BodyText"/>
            </w:pPr>
            <w:r w:rsidRPr="00C07A28">
              <w:t>implications if dependence on one supplier is enshrined versus risks in lack</w:t>
            </w:r>
            <w:r w:rsidRPr="00C07A28">
              <w:t xml:space="preserve"> of continuity and consistency in services provided</w:t>
            </w:r>
          </w:p>
          <w:p w:rsidR="00000000" w:rsidP="00C07A28">
            <w:pPr>
              <w:pStyle w:val="BodyText"/>
              <w:rPr>
                <w:lang w:val="en-NZ"/>
              </w:rPr>
            </w:pPr>
            <w:r w:rsidRPr="00C07A28">
              <w:t xml:space="preserve">other environmental influences </w:t>
            </w:r>
          </w:p>
        </w:tc>
      </w:tr>
      <w:tr w:rsidTr="00265C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rPr>
                <w:rStyle w:val="SpecialBold"/>
              </w:rPr>
              <w:t>Variation to agreements may include arise from</w:t>
            </w:r>
          </w:p>
        </w:tc>
        <w:tc>
          <w:tcPr>
            <w:tcW w:w="4500" w:type="dxa"/>
            <w:tcBorders>
              <w:top w:val="nil"/>
              <w:left w:val="nil"/>
              <w:bottom w:val="nil"/>
              <w:right w:val="nil"/>
            </w:tcBorders>
            <w:tcMar>
              <w:top w:w="0" w:type="dxa"/>
              <w:left w:w="62" w:type="dxa"/>
              <w:bottom w:w="0" w:type="dxa"/>
              <w:right w:w="62" w:type="dxa"/>
            </w:tcMar>
          </w:tcPr>
          <w:p w:rsidR="00000000" w:rsidRPr="00C07A28" w:rsidP="00C07A28">
            <w:pPr>
              <w:pStyle w:val="BodyText"/>
            </w:pPr>
            <w:r w:rsidRPr="00C07A28">
              <w:t>change of scope</w:t>
            </w:r>
          </w:p>
          <w:p w:rsidR="00000000" w:rsidRPr="00C07A28" w:rsidP="00C07A28">
            <w:pPr>
              <w:pStyle w:val="BodyText"/>
            </w:pPr>
            <w:r w:rsidRPr="00C07A28">
              <w:t>negotiation of new terms and conditions</w:t>
            </w:r>
          </w:p>
          <w:p w:rsidR="00000000" w:rsidRPr="00C07A28" w:rsidP="00C07A28">
            <w:pPr>
              <w:pStyle w:val="BodyText"/>
            </w:pPr>
            <w:r w:rsidRPr="00C07A28">
              <w:t>dissolution of contracts</w:t>
            </w:r>
          </w:p>
          <w:p w:rsidR="00000000" w:rsidP="00C07A28">
            <w:pPr>
              <w:pStyle w:val="BodyText"/>
              <w:rPr>
                <w:lang w:val="en-NZ"/>
              </w:rPr>
            </w:pPr>
            <w:r w:rsidRPr="00C07A28">
              <w:t xml:space="preserve">inability to deliver </w:t>
            </w:r>
          </w:p>
        </w:tc>
      </w:tr>
      <w:tr w:rsidTr="00265C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rPr>
                <w:rStyle w:val="SpecialBold"/>
              </w:rPr>
              <w:t>Early signs of under</w:t>
            </w:r>
            <w:r w:rsidRPr="00C07A28">
              <w:t>-</w:t>
            </w:r>
            <w:r w:rsidRPr="00C07A28">
              <w:rPr>
                <w:rStyle w:val="SpecialBold"/>
              </w:rPr>
              <w:t>performance may be detected through</w:t>
            </w:r>
          </w:p>
        </w:tc>
        <w:tc>
          <w:tcPr>
            <w:tcW w:w="4500" w:type="dxa"/>
            <w:tcBorders>
              <w:top w:val="nil"/>
              <w:left w:val="nil"/>
              <w:bottom w:val="nil"/>
              <w:right w:val="nil"/>
            </w:tcBorders>
            <w:tcMar>
              <w:top w:w="0" w:type="dxa"/>
              <w:left w:w="62" w:type="dxa"/>
              <w:bottom w:w="0" w:type="dxa"/>
              <w:right w:w="62" w:type="dxa"/>
            </w:tcMar>
          </w:tcPr>
          <w:p w:rsidR="00000000" w:rsidRPr="00C07A28" w:rsidP="00C07A28">
            <w:pPr>
              <w:pStyle w:val="BodyText"/>
            </w:pPr>
            <w:r w:rsidRPr="00C07A28">
              <w:t>tracking milestones</w:t>
            </w:r>
          </w:p>
          <w:p w:rsidR="00000000" w:rsidRPr="00C07A28" w:rsidP="00C07A28">
            <w:pPr>
              <w:pStyle w:val="BodyText"/>
            </w:pPr>
            <w:r w:rsidRPr="00C07A28">
              <w:t>regular meetings</w:t>
            </w:r>
          </w:p>
          <w:p w:rsidR="00000000" w:rsidRPr="00C07A28" w:rsidP="00C07A28">
            <w:pPr>
              <w:pStyle w:val="BodyText"/>
            </w:pPr>
            <w:r w:rsidRPr="00C07A28">
              <w:t>meeting records and follow-ups</w:t>
            </w:r>
          </w:p>
          <w:p w:rsidR="00000000" w:rsidRPr="00C07A28" w:rsidP="00C07A28">
            <w:pPr>
              <w:pStyle w:val="BodyText"/>
            </w:pPr>
            <w:r w:rsidRPr="00C07A28">
              <w:t>file management - audit trail</w:t>
            </w:r>
          </w:p>
          <w:p w:rsidR="00000000" w:rsidRPr="00C07A28" w:rsidP="00C07A28">
            <w:pPr>
              <w:pStyle w:val="BodyText"/>
            </w:pPr>
            <w:r w:rsidRPr="00C07A28">
              <w:t>stakeholder surveys on performance</w:t>
            </w:r>
          </w:p>
          <w:p w:rsidR="00000000" w:rsidP="00C07A28">
            <w:pPr>
              <w:pStyle w:val="BodyText"/>
              <w:rPr>
                <w:lang w:val="en-NZ"/>
              </w:rPr>
            </w:pPr>
            <w:r w:rsidRPr="00C07A28">
              <w:t xml:space="preserve">ongoing review of deliverables  </w:t>
            </w:r>
          </w:p>
        </w:tc>
      </w:tr>
      <w:tr w:rsidTr="00265C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rPr>
                <w:rStyle w:val="SpecialBold"/>
              </w:rPr>
              <w:t>Actions to improve performance may include</w:t>
            </w:r>
          </w:p>
        </w:tc>
        <w:tc>
          <w:tcPr>
            <w:tcW w:w="4500" w:type="dxa"/>
            <w:tcBorders>
              <w:top w:val="nil"/>
              <w:left w:val="nil"/>
              <w:bottom w:val="nil"/>
              <w:right w:val="nil"/>
            </w:tcBorders>
            <w:tcMar>
              <w:top w:w="0" w:type="dxa"/>
              <w:left w:w="62" w:type="dxa"/>
              <w:bottom w:w="0" w:type="dxa"/>
              <w:right w:w="62" w:type="dxa"/>
            </w:tcMar>
          </w:tcPr>
          <w:p w:rsidR="00000000" w:rsidRPr="00C07A28" w:rsidP="00C07A28">
            <w:pPr>
              <w:pStyle w:val="BodyText"/>
            </w:pPr>
            <w:r w:rsidRPr="00C07A28">
              <w:t>discussion with contractor</w:t>
            </w:r>
          </w:p>
          <w:p w:rsidR="00000000" w:rsidRPr="00C07A28" w:rsidP="00C07A28">
            <w:pPr>
              <w:pStyle w:val="BodyText"/>
            </w:pPr>
            <w:r w:rsidRPr="00C07A28">
              <w:t>regular interaction</w:t>
            </w:r>
          </w:p>
          <w:p w:rsidR="00000000" w:rsidRPr="00C07A28" w:rsidP="00C07A28">
            <w:pPr>
              <w:pStyle w:val="BodyText"/>
            </w:pPr>
            <w:r w:rsidRPr="00C07A28">
              <w:t>ongoing performance feedback</w:t>
            </w:r>
          </w:p>
          <w:p w:rsidR="00000000" w:rsidP="00C07A28">
            <w:pPr>
              <w:pStyle w:val="BodyText"/>
              <w:rPr>
                <w:lang w:val="en-NZ"/>
              </w:rPr>
            </w:pPr>
            <w:r w:rsidRPr="00C07A28">
              <w:t xml:space="preserve">expert advice </w:t>
            </w:r>
          </w:p>
        </w:tc>
      </w:tr>
      <w:tr w:rsidTr="00265C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rPr>
                <w:rStyle w:val="SpecialBold"/>
              </w:rPr>
              <w:t>Disputes may include</w:t>
            </w:r>
          </w:p>
        </w:tc>
        <w:tc>
          <w:tcPr>
            <w:tcW w:w="4500" w:type="dxa"/>
            <w:tcBorders>
              <w:top w:val="nil"/>
              <w:left w:val="nil"/>
              <w:bottom w:val="nil"/>
              <w:right w:val="nil"/>
            </w:tcBorders>
            <w:tcMar>
              <w:top w:w="0" w:type="dxa"/>
              <w:left w:w="62" w:type="dxa"/>
              <w:bottom w:w="0" w:type="dxa"/>
              <w:right w:w="62" w:type="dxa"/>
            </w:tcMar>
          </w:tcPr>
          <w:p w:rsidR="00000000" w:rsidRPr="00C07A28" w:rsidP="00C07A28">
            <w:pPr>
              <w:pStyle w:val="BodyText"/>
            </w:pPr>
            <w:r w:rsidRPr="00C07A28">
              <w:t xml:space="preserve">disputes over:     </w:t>
            </w:r>
          </w:p>
          <w:p w:rsidR="00000000" w:rsidRPr="00C07A28" w:rsidP="00C07A28">
            <w:pPr>
              <w:pStyle w:val="BodyText"/>
            </w:pPr>
            <w:r w:rsidRPr="00C07A28">
              <w:t>requirements</w:t>
            </w:r>
          </w:p>
          <w:p w:rsidR="00000000" w:rsidRPr="00C07A28" w:rsidP="00C07A28">
            <w:pPr>
              <w:pStyle w:val="BodyText"/>
            </w:pPr>
            <w:r w:rsidRPr="00C07A28">
              <w:t>delivery schedules</w:t>
            </w:r>
          </w:p>
          <w:p w:rsidR="00000000" w:rsidRPr="00C07A28" w:rsidP="00C07A28">
            <w:pPr>
              <w:pStyle w:val="BodyText"/>
            </w:pPr>
            <w:r w:rsidRPr="00C07A28">
              <w:t>price changes</w:t>
            </w:r>
          </w:p>
          <w:p w:rsidR="00000000" w:rsidRPr="00C07A28" w:rsidP="00C07A28">
            <w:pPr>
              <w:pStyle w:val="BodyText"/>
            </w:pPr>
            <w:r w:rsidRPr="00C07A28">
              <w:t>additional tasking</w:t>
            </w:r>
          </w:p>
          <w:p w:rsidR="00000000" w:rsidRPr="00C07A28" w:rsidP="00C07A28">
            <w:pPr>
              <w:pStyle w:val="BodyText"/>
            </w:pPr>
            <w:r w:rsidRPr="00C07A28">
              <w:t>payment schedules</w:t>
            </w:r>
          </w:p>
          <w:p w:rsidR="00000000" w:rsidRPr="00C07A28" w:rsidP="00C07A28">
            <w:pPr>
              <w:pStyle w:val="BodyText"/>
            </w:pPr>
          </w:p>
          <w:p w:rsidR="00000000" w:rsidRPr="00C07A28" w:rsidP="00C07A28">
            <w:pPr>
              <w:pStyle w:val="BodyText"/>
            </w:pPr>
            <w:r w:rsidRPr="00C07A28">
              <w:t xml:space="preserve">complaints from third parties  </w:t>
            </w:r>
          </w:p>
          <w:p w:rsidR="00000000" w:rsidP="00C07A28">
            <w:pPr>
              <w:pStyle w:val="BodyText"/>
              <w:rPr>
                <w:lang w:val="en-NZ"/>
              </w:rPr>
            </w:pPr>
            <w:r w:rsidRPr="00C07A28">
              <w:t xml:space="preserve">formal </w:t>
            </w:r>
            <w:r w:rsidRPr="00C07A28">
              <w:t xml:space="preserve">versus informal eg unethical versus criminal behaviour  </w:t>
            </w:r>
          </w:p>
        </w:tc>
      </w:tr>
      <w:tr w:rsidTr="00265C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rPr>
                <w:rStyle w:val="SpecialBold"/>
              </w:rPr>
              <w:t>Techniques available to resolve disputes include</w:t>
            </w:r>
          </w:p>
        </w:tc>
        <w:tc>
          <w:tcPr>
            <w:tcW w:w="4500" w:type="dxa"/>
            <w:tcBorders>
              <w:top w:val="nil"/>
              <w:left w:val="nil"/>
              <w:bottom w:val="nil"/>
              <w:right w:val="nil"/>
            </w:tcBorders>
            <w:tcMar>
              <w:top w:w="0" w:type="dxa"/>
              <w:left w:w="62" w:type="dxa"/>
              <w:bottom w:w="0" w:type="dxa"/>
              <w:right w:w="62" w:type="dxa"/>
            </w:tcMar>
          </w:tcPr>
          <w:p w:rsidR="00000000" w:rsidRPr="00C07A28" w:rsidP="00C07A28">
            <w:pPr>
              <w:pStyle w:val="BodyText"/>
            </w:pPr>
            <w:r w:rsidRPr="00C07A28">
              <w:t>conference</w:t>
            </w:r>
          </w:p>
          <w:p w:rsidR="00000000" w:rsidRPr="00C07A28" w:rsidP="00C07A28">
            <w:pPr>
              <w:pStyle w:val="BodyText"/>
            </w:pPr>
            <w:r w:rsidRPr="00C07A28">
              <w:t>negotiation</w:t>
            </w:r>
          </w:p>
          <w:p w:rsidR="00000000" w:rsidRPr="00C07A28" w:rsidP="00C07A28">
            <w:pPr>
              <w:pStyle w:val="BodyText"/>
            </w:pPr>
            <w:r w:rsidRPr="00C07A28">
              <w:t>mediation</w:t>
            </w:r>
          </w:p>
          <w:p w:rsidR="00000000" w:rsidRPr="00C07A28" w:rsidP="00C07A28">
            <w:pPr>
              <w:pStyle w:val="BodyText"/>
            </w:pPr>
            <w:r w:rsidRPr="00C07A28">
              <w:t>arbitration</w:t>
            </w:r>
          </w:p>
          <w:p w:rsidR="00000000" w:rsidRPr="00C07A28" w:rsidP="00C07A28">
            <w:pPr>
              <w:pStyle w:val="BodyText"/>
            </w:pPr>
            <w:r w:rsidRPr="00C07A28">
              <w:t>resort to contractual agreements</w:t>
            </w:r>
          </w:p>
          <w:p w:rsidR="00000000" w:rsidP="00C07A28">
            <w:pPr>
              <w:pStyle w:val="BodyText"/>
              <w:rPr>
                <w:lang w:val="en-NZ"/>
              </w:rPr>
            </w:pPr>
            <w:r w:rsidRPr="00C07A28">
              <w:t xml:space="preserve">legal considerations </w:t>
            </w:r>
          </w:p>
        </w:tc>
      </w:tr>
      <w:tr w:rsidTr="00265C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rPr>
                <w:rStyle w:val="SpecialBold"/>
              </w:rPr>
              <w:t>Negotiation of issues may include</w:t>
            </w:r>
          </w:p>
        </w:tc>
        <w:tc>
          <w:tcPr>
            <w:tcW w:w="4500" w:type="dxa"/>
            <w:tcBorders>
              <w:top w:val="nil"/>
              <w:left w:val="nil"/>
              <w:bottom w:val="nil"/>
              <w:right w:val="nil"/>
            </w:tcBorders>
            <w:tcMar>
              <w:top w:w="0" w:type="dxa"/>
              <w:left w:w="62" w:type="dxa"/>
              <w:bottom w:w="0" w:type="dxa"/>
              <w:right w:w="62" w:type="dxa"/>
            </w:tcMar>
          </w:tcPr>
          <w:p w:rsidR="00000000" w:rsidRPr="00C07A28" w:rsidP="00C07A28">
            <w:pPr>
              <w:pStyle w:val="BodyText"/>
            </w:pPr>
            <w:r w:rsidRPr="00C07A28">
              <w:t>contract variations</w:t>
            </w:r>
          </w:p>
          <w:p w:rsidR="00000000" w:rsidRPr="00C07A28" w:rsidP="00C07A28">
            <w:pPr>
              <w:pStyle w:val="BodyText"/>
            </w:pPr>
            <w:r w:rsidRPr="00C07A28">
              <w:t>continuous improvement</w:t>
            </w:r>
          </w:p>
          <w:p w:rsidR="00000000" w:rsidRPr="00C07A28" w:rsidP="00C07A28">
            <w:pPr>
              <w:pStyle w:val="BodyText"/>
            </w:pPr>
            <w:r w:rsidRPr="00C07A28">
              <w:t>innovations</w:t>
            </w:r>
          </w:p>
          <w:p w:rsidR="00000000" w:rsidRPr="00C07A28" w:rsidP="00C07A28">
            <w:pPr>
              <w:pStyle w:val="BodyText"/>
            </w:pPr>
            <w:r w:rsidRPr="00C07A28">
              <w:t>non-compliance</w:t>
            </w:r>
          </w:p>
          <w:p w:rsidR="00000000" w:rsidP="00C07A28">
            <w:pPr>
              <w:pStyle w:val="BodyText"/>
              <w:rPr>
                <w:lang w:val="en-NZ"/>
              </w:rPr>
            </w:pPr>
            <w:r w:rsidRPr="00C07A28">
              <w:t xml:space="preserve">consequences </w:t>
            </w:r>
          </w:p>
        </w:tc>
      </w:tr>
      <w:tr w:rsidTr="00265C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rPr>
                <w:rStyle w:val="SpecialBold"/>
              </w:rPr>
              <w:t>Actions</w:t>
            </w:r>
            <w:r w:rsidRPr="00C07A28">
              <w:t xml:space="preserve"> (</w:t>
            </w:r>
            <w:r w:rsidRPr="00C07A28">
              <w:rPr>
                <w:rStyle w:val="SpecialBold"/>
              </w:rPr>
              <w:t>as a result of unresolved conflict</w:t>
            </w:r>
            <w:r w:rsidRPr="00C07A28">
              <w:t xml:space="preserve">) </w:t>
            </w:r>
            <w:r w:rsidRPr="00C07A28">
              <w:rPr>
                <w:rStyle w:val="SpecialBold"/>
              </w:rPr>
              <w:t>may include</w:t>
            </w:r>
          </w:p>
        </w:tc>
        <w:tc>
          <w:tcPr>
            <w:tcW w:w="4500" w:type="dxa"/>
            <w:tcBorders>
              <w:top w:val="nil"/>
              <w:left w:val="nil"/>
              <w:bottom w:val="nil"/>
              <w:right w:val="nil"/>
            </w:tcBorders>
            <w:tcMar>
              <w:top w:w="0" w:type="dxa"/>
              <w:left w:w="62" w:type="dxa"/>
              <w:bottom w:w="0" w:type="dxa"/>
              <w:right w:w="62" w:type="dxa"/>
            </w:tcMar>
          </w:tcPr>
          <w:p w:rsidR="00000000" w:rsidRPr="00C07A28" w:rsidP="00C07A28">
            <w:pPr>
              <w:pStyle w:val="BodyText"/>
            </w:pPr>
            <w:r w:rsidRPr="00C07A28">
              <w:t>mediation</w:t>
            </w:r>
          </w:p>
          <w:p w:rsidR="00000000" w:rsidRPr="00C07A28" w:rsidP="00C07A28">
            <w:pPr>
              <w:pStyle w:val="BodyText"/>
            </w:pPr>
            <w:r w:rsidRPr="00C07A28">
              <w:t>court action</w:t>
            </w:r>
          </w:p>
          <w:p w:rsidR="00000000" w:rsidP="00C07A28">
            <w:pPr>
              <w:pStyle w:val="BodyText"/>
              <w:rPr>
                <w:lang w:val="en-NZ"/>
              </w:rPr>
            </w:pPr>
            <w:r w:rsidRPr="00C07A28">
              <w:t xml:space="preserve">termination of contract </w:t>
            </w:r>
          </w:p>
        </w:tc>
      </w:tr>
      <w:tr w:rsidTr="00265C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rPr>
                <w:rStyle w:val="SpecialBold"/>
              </w:rPr>
              <w:t>Effective communication strategies may include</w:t>
            </w:r>
          </w:p>
        </w:tc>
        <w:tc>
          <w:tcPr>
            <w:tcW w:w="4500" w:type="dxa"/>
            <w:tcBorders>
              <w:top w:val="nil"/>
              <w:left w:val="nil"/>
              <w:bottom w:val="nil"/>
              <w:right w:val="nil"/>
            </w:tcBorders>
            <w:tcMar>
              <w:top w:w="0" w:type="dxa"/>
              <w:left w:w="62" w:type="dxa"/>
              <w:bottom w:w="0" w:type="dxa"/>
              <w:right w:w="62" w:type="dxa"/>
            </w:tcMar>
          </w:tcPr>
          <w:p w:rsidR="00000000" w:rsidRPr="00C07A28" w:rsidP="00C07A28">
            <w:pPr>
              <w:pStyle w:val="BodyText"/>
            </w:pPr>
            <w:r w:rsidRPr="00C07A28">
              <w:t>clear communicatio</w:t>
            </w:r>
            <w:r w:rsidRPr="00C07A28">
              <w:t>n</w:t>
            </w:r>
          </w:p>
          <w:p w:rsidR="00000000" w:rsidRPr="00C07A28" w:rsidP="00C07A28">
            <w:pPr>
              <w:pStyle w:val="BodyText"/>
            </w:pPr>
            <w:r w:rsidRPr="00C07A28">
              <w:t>understanding the needs of the service provider and the client</w:t>
            </w:r>
          </w:p>
          <w:p w:rsidR="00000000" w:rsidRPr="00C07A28" w:rsidP="00C07A28">
            <w:pPr>
              <w:pStyle w:val="BodyText"/>
            </w:pPr>
            <w:r w:rsidRPr="00C07A28">
              <w:t>setting regular times to talk, meet or check on progress</w:t>
            </w:r>
          </w:p>
          <w:p w:rsidR="00000000" w:rsidRPr="00C07A28" w:rsidP="00C07A28">
            <w:pPr>
              <w:pStyle w:val="BodyText"/>
            </w:pPr>
            <w:r w:rsidRPr="00C07A28">
              <w:t>protocols for dealing with other stakeholders</w:t>
            </w:r>
          </w:p>
          <w:p w:rsidR="00000000" w:rsidRPr="00C07A28" w:rsidP="00C07A28">
            <w:pPr>
              <w:pStyle w:val="BodyText"/>
            </w:pPr>
            <w:r w:rsidRPr="00C07A28">
              <w:t>emergency contact arrangements</w:t>
            </w:r>
          </w:p>
          <w:p w:rsidR="00000000" w:rsidRPr="00C07A28" w:rsidP="00C07A28">
            <w:pPr>
              <w:pStyle w:val="BodyText"/>
            </w:pPr>
            <w:r w:rsidRPr="00C07A28">
              <w:t>a diary system to monitor milestones, timeframes, receipt</w:t>
            </w:r>
            <w:r w:rsidRPr="00C07A28">
              <w:t xml:space="preserve"> of deliverables etc</w:t>
            </w:r>
          </w:p>
          <w:p w:rsidR="00000000" w:rsidP="00C07A28">
            <w:pPr>
              <w:pStyle w:val="BodyText"/>
              <w:rPr>
                <w:lang w:val="en-NZ"/>
              </w:rPr>
            </w:pPr>
            <w:r w:rsidRPr="00C07A28">
              <w:t xml:space="preserve">strategies for ensuring information flow at critical stages of the contract </w:t>
            </w:r>
          </w:p>
        </w:tc>
      </w:tr>
      <w:tr w:rsidTr="00265C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7A28">
            <w:pPr>
              <w:pStyle w:val="BodyText"/>
              <w:rPr>
                <w:lang w:val="en-NZ"/>
              </w:rPr>
            </w:pPr>
            <w:r w:rsidRPr="00C07A28">
              <w:rPr>
                <w:rStyle w:val="SpecialBold"/>
              </w:rPr>
              <w:t>Organisational purposes may include</w:t>
            </w:r>
          </w:p>
        </w:tc>
        <w:tc>
          <w:tcPr>
            <w:tcW w:w="4500" w:type="dxa"/>
            <w:tcBorders>
              <w:top w:val="nil"/>
              <w:left w:val="nil"/>
              <w:bottom w:val="nil"/>
              <w:right w:val="nil"/>
            </w:tcBorders>
            <w:tcMar>
              <w:top w:w="0" w:type="dxa"/>
              <w:left w:w="62" w:type="dxa"/>
              <w:bottom w:w="0" w:type="dxa"/>
              <w:right w:w="62" w:type="dxa"/>
            </w:tcMar>
          </w:tcPr>
          <w:p w:rsidR="00000000" w:rsidRPr="00C07A28" w:rsidP="00C07A28">
            <w:pPr>
              <w:pStyle w:val="BodyText"/>
            </w:pPr>
            <w:r w:rsidRPr="00C07A28">
              <w:t>probity</w:t>
            </w:r>
          </w:p>
          <w:p w:rsidR="00000000" w:rsidRPr="00C07A28" w:rsidP="00C07A28">
            <w:pPr>
              <w:pStyle w:val="BodyText"/>
            </w:pPr>
            <w:r w:rsidRPr="00C07A28">
              <w:t>governance requirements</w:t>
            </w:r>
          </w:p>
          <w:p w:rsidR="00000000" w:rsidRPr="00C07A28" w:rsidP="00C07A28">
            <w:pPr>
              <w:pStyle w:val="BodyText"/>
            </w:pPr>
            <w:r w:rsidRPr="00C07A28">
              <w:t xml:space="preserve">relevant details extracted, collated and arranged in a format for reports and other documents </w:t>
            </w:r>
          </w:p>
        </w:tc>
      </w:tr>
    </w:tbl>
    <w:p w:rsidR="00000000" w:rsidRPr="00C07A28" w:rsidP="00C07A28">
      <w:pPr>
        <w:pStyle w:val="BodyText"/>
      </w:pPr>
    </w:p>
    <w:p w:rsidR="00000000" w:rsidRPr="00C07A28" w:rsidP="00C07A28">
      <w:pPr>
        <w:pStyle w:val="AllowPageBreak"/>
      </w:pPr>
    </w:p>
    <w:p w:rsidR="00000000" w:rsidRPr="00C07A28" w:rsidP="00C07A28">
      <w:pPr>
        <w:pStyle w:val="Heading1"/>
      </w:pPr>
      <w:bookmarkStart w:id="12" w:name="O_312520"/>
      <w:bookmarkEnd w:id="12"/>
      <w:r w:rsidRPr="00C07A28">
        <w:t>Unit Sector(s)</w:t>
      </w:r>
    </w:p>
    <w:p w:rsidR="00000000" w:rsidRPr="00C07A28" w:rsidP="00C07A28">
      <w:pPr>
        <w:pStyle w:val="Heading1"/>
      </w:pPr>
      <w:bookmarkStart w:id="13" w:name="O_312519"/>
      <w:bookmarkEnd w:id="13"/>
      <w:r w:rsidRPr="00C07A28">
        <w:t>Competency field</w:t>
      </w:r>
    </w:p>
    <w:p w:rsidR="00000000" w:rsidRPr="00C07A28" w:rsidP="00C07A28">
      <w:pPr>
        <w:pStyle w:val="BodyText"/>
      </w:pPr>
      <w:r w:rsidRPr="00C07A28">
        <w:t>Procurement&amp;Contract Management</w:t>
      </w:r>
    </w:p>
    <w:p w:rsidR="00000000" w:rsidRPr="00C07A28" w:rsidP="00C07A28"/>
    <w:sectPr w:rsidSect="00C07A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A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5CFF" w:rsidP="00265C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A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CFF" w:rsidP="00C07A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65CFF" w:rsidP="00C07A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65CFF" w:rsidP="00C07A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A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5CFF" w:rsidP="00265CF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A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CFF" w:rsidP="00C07A28">
    <w:pPr>
      <w:pStyle w:val="Header"/>
      <w:framePr w:wrap="around"/>
    </w:pPr>
    <w:r>
      <w:fldChar w:fldCharType="begin"/>
    </w:r>
    <w:r>
      <w:instrText xml:space="preserve"> TITLE   \* MERGEFORMAT </w:instrText>
    </w:r>
    <w:r>
      <w:fldChar w:fldCharType="separate"/>
    </w:r>
    <w:r>
      <w:t>PSPPROC503A Manage contract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65CFF" w:rsidP="00C07A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A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7A28"/>
    <w:pPr>
      <w:spacing w:before="360" w:after="60"/>
      <w:outlineLvl w:val="0"/>
    </w:pPr>
    <w:rPr>
      <w:sz w:val="32"/>
    </w:rPr>
  </w:style>
  <w:style w:type="paragraph" w:styleId="Heading2">
    <w:name w:val="heading 2"/>
    <w:basedOn w:val="HeadingBase"/>
    <w:next w:val="BodyText"/>
    <w:link w:val="Heading2Char"/>
    <w:qFormat/>
    <w:rsid w:val="00C07A28"/>
    <w:pPr>
      <w:keepLines/>
      <w:spacing w:before="240" w:after="120"/>
      <w:outlineLvl w:val="1"/>
    </w:pPr>
    <w:rPr>
      <w:sz w:val="28"/>
      <w:szCs w:val="40"/>
    </w:rPr>
  </w:style>
  <w:style w:type="paragraph" w:styleId="Heading3">
    <w:name w:val="heading 3"/>
    <w:basedOn w:val="HeadingBase"/>
    <w:next w:val="BodyText"/>
    <w:link w:val="Heading3Char"/>
    <w:qFormat/>
    <w:rsid w:val="00C07A28"/>
    <w:pPr>
      <w:spacing w:before="180" w:after="120"/>
      <w:outlineLvl w:val="2"/>
    </w:pPr>
    <w:rPr>
      <w:spacing w:val="-10"/>
      <w:kern w:val="32"/>
    </w:rPr>
  </w:style>
  <w:style w:type="paragraph" w:styleId="Heading4">
    <w:name w:val="heading 4"/>
    <w:basedOn w:val="HeadingBase"/>
    <w:next w:val="BodyText"/>
    <w:link w:val="Heading4Char"/>
    <w:qFormat/>
    <w:rsid w:val="00C07A28"/>
    <w:pPr>
      <w:spacing w:before="160" w:after="120"/>
      <w:outlineLvl w:val="3"/>
    </w:pPr>
    <w:rPr>
      <w:sz w:val="22"/>
    </w:rPr>
  </w:style>
  <w:style w:type="paragraph" w:styleId="Heading5">
    <w:name w:val="heading 5"/>
    <w:basedOn w:val="HeadingBase"/>
    <w:next w:val="Normal"/>
    <w:link w:val="Heading5Char"/>
    <w:qFormat/>
    <w:rsid w:val="00C07A28"/>
    <w:pPr>
      <w:spacing w:before="80"/>
      <w:outlineLvl w:val="4"/>
    </w:pPr>
    <w:rPr>
      <w:color w:val="918585"/>
      <w:sz w:val="20"/>
    </w:rPr>
  </w:style>
  <w:style w:type="paragraph" w:styleId="Heading6">
    <w:name w:val="heading 6"/>
    <w:basedOn w:val="HeadingBase"/>
    <w:next w:val="Normal"/>
    <w:link w:val="Heading6Char"/>
    <w:qFormat/>
    <w:rsid w:val="00C07A28"/>
    <w:pPr>
      <w:spacing w:before="60"/>
      <w:outlineLvl w:val="5"/>
    </w:pPr>
    <w:rPr>
      <w:color w:val="918585"/>
      <w:sz w:val="20"/>
    </w:rPr>
  </w:style>
  <w:style w:type="paragraph" w:styleId="Heading7">
    <w:name w:val="heading 7"/>
    <w:basedOn w:val="Normal"/>
    <w:next w:val="Normal"/>
    <w:link w:val="Heading7Char"/>
    <w:qFormat/>
    <w:rsid w:val="00C07A28"/>
    <w:pPr>
      <w:ind w:left="720"/>
      <w:outlineLvl w:val="6"/>
    </w:pPr>
    <w:rPr>
      <w:i/>
    </w:rPr>
  </w:style>
  <w:style w:type="paragraph" w:styleId="Heading8">
    <w:name w:val="heading 8"/>
    <w:basedOn w:val="Normal"/>
    <w:next w:val="Normal"/>
    <w:link w:val="Heading8Char"/>
    <w:qFormat/>
    <w:rsid w:val="00C07A28"/>
    <w:pPr>
      <w:ind w:left="720"/>
      <w:outlineLvl w:val="7"/>
    </w:pPr>
    <w:rPr>
      <w:i/>
    </w:rPr>
  </w:style>
  <w:style w:type="paragraph" w:styleId="Heading9">
    <w:name w:val="heading 9"/>
    <w:basedOn w:val="Normal"/>
    <w:next w:val="Normal"/>
    <w:link w:val="Heading9Char"/>
    <w:qFormat/>
    <w:rsid w:val="00C07A28"/>
    <w:pPr>
      <w:ind w:left="720"/>
      <w:outlineLvl w:val="8"/>
    </w:pPr>
    <w:rPr>
      <w:i/>
    </w:rPr>
  </w:style>
  <w:style w:type="character" w:default="1" w:styleId="DefaultParagraphFont">
    <w:name w:val="Default Paragraph Font"/>
    <w:uiPriority w:val="1"/>
    <w:unhideWhenUsed/>
    <w:rsid w:val="00C07A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7A28"/>
  </w:style>
  <w:style w:type="character" w:customStyle="1" w:styleId="Heading1Char">
    <w:name w:val="Heading 1 Char"/>
    <w:link w:val="Heading1"/>
    <w:rsid w:val="00C07A28"/>
    <w:rPr>
      <w:rFonts w:ascii="Times New Roman" w:eastAsia="Times New Roman" w:hAnsi="Times New Roman" w:cs="Times New Roman"/>
      <w:b/>
      <w:sz w:val="32"/>
      <w:szCs w:val="20"/>
      <w:lang w:eastAsia="en-US"/>
    </w:rPr>
  </w:style>
  <w:style w:type="paragraph" w:styleId="BodyText">
    <w:name w:val="Body Text"/>
    <w:basedOn w:val="Normal"/>
    <w:link w:val="BodyTextChar"/>
    <w:rsid w:val="00C07A28"/>
    <w:pPr>
      <w:spacing w:before="120" w:after="120"/>
      <w:contextualSpacing/>
    </w:pPr>
    <w:rPr>
      <w:rFonts w:ascii="Times New Roman" w:hAnsi="Times New Roman"/>
      <w:sz w:val="24"/>
      <w:szCs w:val="22"/>
    </w:rPr>
  </w:style>
  <w:style w:type="character" w:customStyle="1" w:styleId="BodyTextChar">
    <w:name w:val="Body Text Char"/>
    <w:link w:val="BodyText"/>
    <w:rsid w:val="00C07A28"/>
    <w:rPr>
      <w:rFonts w:ascii="Times New Roman" w:eastAsia="Times New Roman" w:hAnsi="Times New Roman" w:cs="Times New Roman"/>
      <w:sz w:val="24"/>
      <w:lang w:val="en-US" w:eastAsia="en-US"/>
    </w:rPr>
  </w:style>
  <w:style w:type="paragraph" w:styleId="Footer">
    <w:name w:val="footer"/>
    <w:basedOn w:val="Normal"/>
    <w:link w:val="FooterChar"/>
    <w:rsid w:val="00C07A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07A28"/>
    <w:rPr>
      <w:rFonts w:ascii="Times New Roman" w:eastAsia="Times New Roman" w:hAnsi="Times New Roman" w:cs="Times New Roman"/>
      <w:sz w:val="16"/>
      <w:lang w:val="en-US" w:eastAsia="en-US"/>
    </w:rPr>
  </w:style>
  <w:style w:type="character" w:customStyle="1" w:styleId="SpecialBold">
    <w:name w:val="Special Bold"/>
    <w:rsid w:val="00C07A28"/>
    <w:rPr>
      <w:b/>
      <w:spacing w:val="0"/>
    </w:rPr>
  </w:style>
  <w:style w:type="paragraph" w:styleId="Header">
    <w:name w:val="header"/>
    <w:basedOn w:val="Normal"/>
    <w:link w:val="HeaderChar"/>
    <w:rsid w:val="00C07A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07A2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7A28"/>
    <w:pPr>
      <w:spacing w:before="240" w:after="120"/>
      <w:outlineLvl w:val="0"/>
    </w:pPr>
    <w:rPr>
      <w:rFonts w:ascii="Times New Roman" w:hAnsi="Times New Roman"/>
      <w:b/>
      <w:sz w:val="28"/>
    </w:rPr>
  </w:style>
  <w:style w:type="paragraph" w:customStyle="1" w:styleId="AllowPageBreak">
    <w:name w:val="AllowPageBreak"/>
    <w:rsid w:val="00C07A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07A28"/>
    <w:rPr>
      <w:rFonts w:ascii="Times New Roman" w:eastAsia="Times New Roman" w:hAnsi="Times New Roman" w:cs="Times New Roman"/>
      <w:b/>
      <w:sz w:val="28"/>
      <w:szCs w:val="40"/>
      <w:lang w:eastAsia="en-US"/>
    </w:rPr>
  </w:style>
  <w:style w:type="character" w:customStyle="1" w:styleId="Heading3Char">
    <w:name w:val="Heading 3 Char"/>
    <w:link w:val="Heading3"/>
    <w:rsid w:val="00C07A2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07A28"/>
    <w:rPr>
      <w:rFonts w:ascii="Times New Roman" w:eastAsia="Times New Roman" w:hAnsi="Times New Roman" w:cs="Times New Roman"/>
      <w:b/>
      <w:szCs w:val="20"/>
      <w:lang w:eastAsia="en-US"/>
    </w:rPr>
  </w:style>
  <w:style w:type="character" w:customStyle="1" w:styleId="Heading5Char">
    <w:name w:val="Heading 5 Char"/>
    <w:link w:val="Heading5"/>
    <w:rsid w:val="00C07A2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07A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7A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7A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7A28"/>
    <w:rPr>
      <w:rFonts w:ascii="Courier New" w:eastAsia="Times New Roman" w:hAnsi="Courier New" w:cs="Times New Roman"/>
      <w:i/>
      <w:szCs w:val="20"/>
      <w:lang w:val="en-US" w:eastAsia="en-US"/>
    </w:rPr>
  </w:style>
  <w:style w:type="paragraph" w:customStyle="1" w:styleId="HeadingBase">
    <w:name w:val="Heading Base"/>
    <w:rsid w:val="00C07A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7A28"/>
    <w:pPr>
      <w:tabs>
        <w:tab w:val="right" w:leader="dot" w:pos="9072"/>
      </w:tabs>
      <w:ind w:left="567"/>
    </w:pPr>
    <w:rPr>
      <w:szCs w:val="22"/>
    </w:rPr>
  </w:style>
  <w:style w:type="paragraph" w:customStyle="1" w:styleId="TOCBase">
    <w:name w:val="TOC Base"/>
    <w:rsid w:val="00C07A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7A28"/>
    <w:pPr>
      <w:tabs>
        <w:tab w:val="right" w:leader="dot" w:pos="9072"/>
      </w:tabs>
      <w:spacing w:before="40" w:after="40"/>
      <w:ind w:left="284"/>
    </w:pPr>
    <w:rPr>
      <w:rFonts w:ascii="Times New Roman" w:hAnsi="Times New Roman"/>
    </w:rPr>
  </w:style>
  <w:style w:type="paragraph" w:styleId="TOC1">
    <w:name w:val="toc 1"/>
    <w:basedOn w:val="TOCBase"/>
    <w:next w:val="Normal"/>
    <w:rsid w:val="00C07A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7A28"/>
    <w:pPr>
      <w:spacing w:before="5040"/>
      <w:jc w:val="center"/>
    </w:pPr>
    <w:rPr>
      <w:sz w:val="48"/>
      <w:szCs w:val="72"/>
      <w:lang w:val="en-US"/>
    </w:rPr>
  </w:style>
  <w:style w:type="character" w:customStyle="1" w:styleId="TitleChar">
    <w:name w:val="Title Char"/>
    <w:link w:val="Title"/>
    <w:rsid w:val="00C07A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7A28"/>
    <w:pPr>
      <w:tabs>
        <w:tab w:val="left" w:pos="3600"/>
        <w:tab w:val="left" w:pos="3958"/>
      </w:tabs>
    </w:pPr>
  </w:style>
  <w:style w:type="paragraph" w:styleId="List">
    <w:name w:val="List"/>
    <w:basedOn w:val="BodyText"/>
    <w:next w:val="BodyText"/>
    <w:rsid w:val="00C07A28"/>
    <w:pPr>
      <w:tabs>
        <w:tab w:val="left" w:pos="340"/>
      </w:tabs>
      <w:spacing w:before="60" w:after="60"/>
      <w:ind w:left="340" w:hanging="340"/>
    </w:pPr>
  </w:style>
  <w:style w:type="paragraph" w:styleId="ListBullet">
    <w:name w:val="List Bullet"/>
    <w:basedOn w:val="List"/>
    <w:rsid w:val="00C07A28"/>
    <w:pPr>
      <w:numPr>
        <w:numId w:val="11"/>
      </w:numPr>
      <w:tabs>
        <w:tab w:val="clear" w:pos="340"/>
      </w:tabs>
      <w:spacing w:before="40" w:after="40"/>
    </w:pPr>
  </w:style>
  <w:style w:type="paragraph" w:customStyle="1" w:styleId="Note">
    <w:name w:val="Note"/>
    <w:basedOn w:val="BodyText"/>
    <w:rsid w:val="00C07A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7A28"/>
    <w:pPr>
      <w:framePr w:wrap="auto" w:hAnchor="text" w:y="6049"/>
    </w:pPr>
    <w:rPr>
      <w:color w:val="000000"/>
      <w:sz w:val="40"/>
    </w:rPr>
  </w:style>
  <w:style w:type="paragraph" w:customStyle="1" w:styleId="TOCTitle">
    <w:name w:val="TOCTitle"/>
    <w:basedOn w:val="Heading1"/>
    <w:rsid w:val="00C07A28"/>
    <w:pPr>
      <w:spacing w:after="240"/>
      <w:jc w:val="center"/>
      <w:outlineLvl w:val="9"/>
    </w:pPr>
    <w:rPr>
      <w:caps/>
    </w:rPr>
  </w:style>
  <w:style w:type="paragraph" w:customStyle="1" w:styleId="Version">
    <w:name w:val="Version"/>
    <w:rsid w:val="00C07A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7A28"/>
    <w:pPr>
      <w:numPr>
        <w:numId w:val="12"/>
      </w:numPr>
      <w:tabs>
        <w:tab w:val="clear" w:pos="680"/>
      </w:tabs>
    </w:pPr>
  </w:style>
  <w:style w:type="paragraph" w:styleId="Index1">
    <w:name w:val="index 1"/>
    <w:basedOn w:val="Normal"/>
    <w:next w:val="Normal"/>
    <w:semiHidden/>
    <w:rsid w:val="00C07A28"/>
    <w:pPr>
      <w:keepNext w:val="0"/>
      <w:tabs>
        <w:tab w:val="right" w:pos="4176"/>
      </w:tabs>
      <w:ind w:left="198" w:hanging="198"/>
    </w:pPr>
    <w:rPr>
      <w:rFonts w:ascii="Garamond" w:hAnsi="Garamond"/>
    </w:rPr>
  </w:style>
  <w:style w:type="paragraph" w:styleId="IndexHeading">
    <w:name w:val="index heading"/>
    <w:basedOn w:val="Normal"/>
    <w:next w:val="Index1"/>
    <w:semiHidden/>
    <w:rsid w:val="00C07A28"/>
    <w:pPr>
      <w:spacing w:before="120" w:after="120"/>
    </w:pPr>
    <w:rPr>
      <w:rFonts w:ascii="Arial" w:hAnsi="Arial"/>
      <w:b/>
      <w:color w:val="918585"/>
      <w:sz w:val="24"/>
    </w:rPr>
  </w:style>
  <w:style w:type="paragraph" w:customStyle="1" w:styleId="Chapter">
    <w:name w:val="Chapter"/>
    <w:basedOn w:val="Normal"/>
    <w:rsid w:val="00C07A28"/>
    <w:pPr>
      <w:spacing w:before="240"/>
    </w:pPr>
    <w:rPr>
      <w:rFonts w:ascii="Times New Roman" w:hAnsi="Times New Roman"/>
      <w:smallCaps/>
      <w:spacing w:val="80"/>
      <w:sz w:val="28"/>
    </w:rPr>
  </w:style>
  <w:style w:type="paragraph" w:customStyle="1" w:styleId="InChapter">
    <w:name w:val="InChapter"/>
    <w:basedOn w:val="Heading3"/>
    <w:rsid w:val="00C07A28"/>
    <w:pPr>
      <w:spacing w:after="240"/>
      <w:outlineLvl w:val="9"/>
    </w:pPr>
    <w:rPr>
      <w:noProof/>
    </w:rPr>
  </w:style>
  <w:style w:type="paragraph" w:styleId="Index2">
    <w:name w:val="index 2"/>
    <w:basedOn w:val="Normal"/>
    <w:next w:val="Normal"/>
    <w:semiHidden/>
    <w:rsid w:val="00C07A28"/>
    <w:pPr>
      <w:tabs>
        <w:tab w:val="right" w:pos="4176"/>
      </w:tabs>
      <w:ind w:left="568" w:hanging="284"/>
    </w:pPr>
    <w:rPr>
      <w:rFonts w:ascii="Garamond" w:hAnsi="Garamond"/>
    </w:rPr>
  </w:style>
  <w:style w:type="paragraph" w:customStyle="1" w:styleId="Byline">
    <w:name w:val="Byline"/>
    <w:rsid w:val="00C07A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7A28"/>
    <w:pPr>
      <w:tabs>
        <w:tab w:val="clear" w:pos="3600"/>
        <w:tab w:val="clear" w:pos="3958"/>
      </w:tabs>
      <w:jc w:val="right"/>
    </w:pPr>
  </w:style>
  <w:style w:type="character" w:styleId="Emphasis">
    <w:name w:val="Emphasis"/>
    <w:qFormat/>
    <w:rsid w:val="00C07A28"/>
    <w:rPr>
      <w:i/>
    </w:rPr>
  </w:style>
  <w:style w:type="paragraph" w:styleId="Caption">
    <w:name w:val="caption"/>
    <w:basedOn w:val="BodyText"/>
    <w:next w:val="Normal"/>
    <w:qFormat/>
    <w:rsid w:val="00C07A28"/>
    <w:pPr>
      <w:framePr w:w="2268" w:hSpace="181" w:vSpace="181" w:wrap="around" w:vAnchor="text" w:hAnchor="page" w:x="1135" w:y="285" w:anchorLock="1"/>
    </w:pPr>
    <w:rPr>
      <w:i/>
    </w:rPr>
  </w:style>
  <w:style w:type="paragraph" w:customStyle="1" w:styleId="MiniTOCTitle">
    <w:name w:val="MiniTOCTitle"/>
    <w:basedOn w:val="Heading4"/>
    <w:rsid w:val="00C07A28"/>
    <w:pPr>
      <w:spacing w:before="240"/>
      <w:outlineLvl w:val="9"/>
    </w:pPr>
    <w:rPr>
      <w:noProof/>
      <w:sz w:val="24"/>
    </w:rPr>
  </w:style>
  <w:style w:type="paragraph" w:customStyle="1" w:styleId="MiniTOCItem">
    <w:name w:val="MiniTOCItem"/>
    <w:basedOn w:val="ListBullet"/>
    <w:rsid w:val="00C07A28"/>
    <w:pPr>
      <w:numPr>
        <w:numId w:val="0"/>
      </w:numPr>
      <w:tabs>
        <w:tab w:val="right" w:leader="dot" w:pos="6521"/>
      </w:tabs>
      <w:spacing w:before="0" w:after="0"/>
    </w:pPr>
  </w:style>
  <w:style w:type="paragraph" w:customStyle="1" w:styleId="TOFTitle">
    <w:name w:val="TOFTitle"/>
    <w:basedOn w:val="TOCTitle"/>
    <w:rsid w:val="00C07A28"/>
  </w:style>
  <w:style w:type="paragraph" w:styleId="TableofFigures">
    <w:name w:val="table of figures"/>
    <w:basedOn w:val="Normal"/>
    <w:next w:val="Normal"/>
    <w:semiHidden/>
    <w:rsid w:val="00C07A28"/>
    <w:pPr>
      <w:tabs>
        <w:tab w:val="right" w:leader="dot" w:pos="9072"/>
      </w:tabs>
      <w:ind w:left="970" w:hanging="403"/>
    </w:pPr>
    <w:rPr>
      <w:rFonts w:ascii="Times New Roman" w:hAnsi="Times New Roman"/>
      <w:b/>
    </w:rPr>
  </w:style>
  <w:style w:type="paragraph" w:styleId="ListNumber">
    <w:name w:val="List Number"/>
    <w:basedOn w:val="List"/>
    <w:rsid w:val="00C07A28"/>
    <w:pPr>
      <w:numPr>
        <w:numId w:val="9"/>
      </w:numPr>
    </w:pPr>
  </w:style>
  <w:style w:type="character" w:customStyle="1" w:styleId="WingdingSymbols">
    <w:name w:val="Wingding Symbols"/>
    <w:rsid w:val="00C07A28"/>
    <w:rPr>
      <w:rFonts w:ascii="Wingdings" w:hAnsi="Wingdings"/>
    </w:rPr>
  </w:style>
  <w:style w:type="paragraph" w:customStyle="1" w:styleId="TableHeading">
    <w:name w:val="Table Heading"/>
    <w:basedOn w:val="HeadingBase"/>
    <w:rsid w:val="00C07A28"/>
    <w:pPr>
      <w:keepLines/>
      <w:pBdr>
        <w:bottom w:val="single" w:sz="6" w:space="1" w:color="918585"/>
      </w:pBdr>
      <w:spacing w:before="240"/>
    </w:pPr>
  </w:style>
  <w:style w:type="character" w:customStyle="1" w:styleId="HotSpot">
    <w:name w:val="HotSpot"/>
    <w:rsid w:val="00C07A28"/>
    <w:rPr>
      <w:color w:val="0033CC"/>
      <w:u w:val="none"/>
    </w:rPr>
  </w:style>
  <w:style w:type="paragraph" w:customStyle="1" w:styleId="BodyTextRight">
    <w:name w:val="Body Text Right"/>
    <w:basedOn w:val="BodyText"/>
    <w:rsid w:val="00C07A28"/>
    <w:pPr>
      <w:spacing w:before="0" w:after="0"/>
      <w:jc w:val="right"/>
    </w:pPr>
  </w:style>
  <w:style w:type="paragraph" w:styleId="Index3">
    <w:name w:val="index 3"/>
    <w:basedOn w:val="ListNumber2"/>
    <w:next w:val="Normal"/>
    <w:semiHidden/>
    <w:rsid w:val="00C07A28"/>
    <w:pPr>
      <w:numPr>
        <w:numId w:val="0"/>
      </w:numPr>
      <w:tabs>
        <w:tab w:val="right" w:leader="dot" w:pos="4176"/>
      </w:tabs>
    </w:pPr>
  </w:style>
  <w:style w:type="paragraph" w:styleId="ListNumber2">
    <w:name w:val="List Number 2"/>
    <w:basedOn w:val="List2"/>
    <w:rsid w:val="00C07A28"/>
    <w:pPr>
      <w:numPr>
        <w:numId w:val="8"/>
      </w:numPr>
      <w:tabs>
        <w:tab w:val="clear" w:pos="1060"/>
      </w:tabs>
    </w:pPr>
  </w:style>
  <w:style w:type="paragraph" w:customStyle="1" w:styleId="MarginNote">
    <w:name w:val="Margin Note"/>
    <w:basedOn w:val="BodyText"/>
    <w:rsid w:val="00C07A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7A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07A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7A28"/>
    <w:rPr>
      <w:sz w:val="32"/>
    </w:rPr>
  </w:style>
  <w:style w:type="paragraph" w:customStyle="1" w:styleId="HeadingProcedure">
    <w:name w:val="Heading Procedure"/>
    <w:basedOn w:val="HeadingBase"/>
    <w:next w:val="Normal"/>
    <w:rsid w:val="00C07A28"/>
    <w:pPr>
      <w:tabs>
        <w:tab w:val="left" w:pos="0"/>
      </w:tabs>
      <w:spacing w:before="120" w:after="60"/>
    </w:pPr>
    <w:rPr>
      <w:i/>
      <w:color w:val="918585"/>
      <w:sz w:val="22"/>
    </w:rPr>
  </w:style>
  <w:style w:type="paragraph" w:customStyle="1" w:styleId="TableBodyText">
    <w:name w:val="Table Body Text"/>
    <w:basedOn w:val="BodyText"/>
    <w:rsid w:val="00C07A28"/>
    <w:pPr>
      <w:spacing w:before="60" w:after="60"/>
    </w:pPr>
  </w:style>
  <w:style w:type="paragraph" w:styleId="ListContinue">
    <w:name w:val="List Continue"/>
    <w:basedOn w:val="List"/>
    <w:rsid w:val="00C07A28"/>
    <w:pPr>
      <w:ind w:firstLine="0"/>
    </w:pPr>
  </w:style>
  <w:style w:type="paragraph" w:customStyle="1" w:styleId="ListNote">
    <w:name w:val="List Note"/>
    <w:basedOn w:val="List"/>
    <w:rsid w:val="00C07A28"/>
    <w:pPr>
      <w:pBdr>
        <w:top w:val="single" w:sz="6" w:space="2" w:color="918585"/>
        <w:bottom w:val="single" w:sz="6" w:space="2" w:color="918585"/>
      </w:pBdr>
      <w:tabs>
        <w:tab w:val="left" w:pos="1021"/>
      </w:tabs>
      <w:ind w:firstLine="0"/>
    </w:pPr>
  </w:style>
  <w:style w:type="paragraph" w:customStyle="1" w:styleId="Warning">
    <w:name w:val="Warning"/>
    <w:basedOn w:val="BodyText"/>
    <w:rsid w:val="00C07A28"/>
    <w:pPr>
      <w:shd w:val="clear" w:color="auto" w:fill="D9D9D9"/>
      <w:tabs>
        <w:tab w:val="left" w:pos="992"/>
      </w:tabs>
      <w:ind w:left="119" w:right="119"/>
    </w:pPr>
    <w:rPr>
      <w:sz w:val="20"/>
    </w:rPr>
  </w:style>
  <w:style w:type="paragraph" w:customStyle="1" w:styleId="MarginIcons">
    <w:name w:val="Margin Icons"/>
    <w:basedOn w:val="BodyText"/>
    <w:rsid w:val="00C07A2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07A28"/>
    <w:rPr>
      <w:rFonts w:ascii="Courier New" w:hAnsi="Courier New"/>
    </w:rPr>
  </w:style>
  <w:style w:type="paragraph" w:customStyle="1" w:styleId="NoteBullet">
    <w:name w:val="Note Bullet"/>
    <w:basedOn w:val="Note"/>
    <w:rsid w:val="00C07A28"/>
    <w:pPr>
      <w:tabs>
        <w:tab w:val="clear" w:pos="680"/>
      </w:tabs>
      <w:spacing w:before="60" w:after="60"/>
    </w:pPr>
  </w:style>
  <w:style w:type="paragraph" w:customStyle="1" w:styleId="SubHeading2">
    <w:name w:val="SubHeading2"/>
    <w:basedOn w:val="HeadingBase"/>
    <w:rsid w:val="00C07A28"/>
    <w:pPr>
      <w:spacing w:before="240" w:after="60"/>
    </w:pPr>
    <w:rPr>
      <w:sz w:val="20"/>
    </w:rPr>
  </w:style>
  <w:style w:type="paragraph" w:customStyle="1" w:styleId="SubHeading1">
    <w:name w:val="SubHeading1"/>
    <w:basedOn w:val="HeadingBase"/>
    <w:rsid w:val="00C07A28"/>
    <w:pPr>
      <w:spacing w:before="240" w:after="60"/>
    </w:pPr>
    <w:rPr>
      <w:color w:val="918585"/>
      <w:sz w:val="22"/>
    </w:rPr>
  </w:style>
  <w:style w:type="paragraph" w:customStyle="1" w:styleId="SideHeading">
    <w:name w:val="Side Heading"/>
    <w:basedOn w:val="HeadingBase"/>
    <w:rsid w:val="00C07A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7A28"/>
    <w:pPr>
      <w:numPr>
        <w:numId w:val="10"/>
      </w:numPr>
    </w:pPr>
  </w:style>
  <w:style w:type="paragraph" w:styleId="PlainText">
    <w:name w:val="Plain Text"/>
    <w:basedOn w:val="Normal"/>
    <w:link w:val="PlainTextChar"/>
    <w:rsid w:val="00C07A28"/>
    <w:rPr>
      <w:sz w:val="20"/>
    </w:rPr>
  </w:style>
  <w:style w:type="character" w:customStyle="1" w:styleId="PlainTextChar">
    <w:name w:val="Plain Text Char"/>
    <w:basedOn w:val="DefaultParagraphFont"/>
    <w:link w:val="PlainText"/>
    <w:rsid w:val="00C07A28"/>
    <w:rPr>
      <w:rFonts w:ascii="Courier New" w:eastAsia="Times New Roman" w:hAnsi="Courier New" w:cs="Times New Roman"/>
      <w:sz w:val="20"/>
      <w:szCs w:val="20"/>
      <w:lang w:val="en-US" w:eastAsia="en-US"/>
    </w:rPr>
  </w:style>
  <w:style w:type="character" w:customStyle="1" w:styleId="MenuOption">
    <w:name w:val="Menu Option"/>
    <w:rsid w:val="00C07A28"/>
    <w:rPr>
      <w:b/>
      <w:smallCaps/>
    </w:rPr>
  </w:style>
  <w:style w:type="paragraph" w:customStyle="1" w:styleId="TableListNumber">
    <w:name w:val="Table List Number"/>
    <w:basedOn w:val="ListNumber"/>
    <w:rsid w:val="00C07A28"/>
    <w:pPr>
      <w:numPr>
        <w:numId w:val="0"/>
      </w:numPr>
    </w:pPr>
  </w:style>
  <w:style w:type="paragraph" w:styleId="TOC4">
    <w:name w:val="toc 4"/>
    <w:basedOn w:val="TOCBase"/>
    <w:next w:val="Normal"/>
    <w:semiHidden/>
    <w:rsid w:val="00C07A28"/>
    <w:pPr>
      <w:tabs>
        <w:tab w:val="right" w:leader="dot" w:pos="9071"/>
      </w:tabs>
      <w:ind w:left="1701"/>
    </w:pPr>
  </w:style>
  <w:style w:type="paragraph" w:customStyle="1" w:styleId="ListAlpha">
    <w:name w:val="List Alpha"/>
    <w:basedOn w:val="List"/>
    <w:rsid w:val="00C07A28"/>
    <w:pPr>
      <w:numPr>
        <w:numId w:val="7"/>
      </w:numPr>
    </w:pPr>
  </w:style>
  <w:style w:type="paragraph" w:customStyle="1" w:styleId="ListAlpha2">
    <w:name w:val="List Alpha 2"/>
    <w:basedOn w:val="List2"/>
    <w:rsid w:val="00C07A28"/>
    <w:pPr>
      <w:numPr>
        <w:numId w:val="6"/>
      </w:numPr>
    </w:pPr>
  </w:style>
  <w:style w:type="paragraph" w:styleId="List2">
    <w:name w:val="List 2"/>
    <w:basedOn w:val="BodyText"/>
    <w:rsid w:val="00C07A28"/>
    <w:pPr>
      <w:tabs>
        <w:tab w:val="left" w:pos="680"/>
      </w:tabs>
      <w:spacing w:before="60" w:after="60"/>
      <w:ind w:left="680" w:hanging="340"/>
    </w:pPr>
  </w:style>
  <w:style w:type="paragraph" w:styleId="List3">
    <w:name w:val="List 3"/>
    <w:basedOn w:val="BodyText"/>
    <w:rsid w:val="00C07A28"/>
    <w:pPr>
      <w:tabs>
        <w:tab w:val="left" w:pos="1021"/>
      </w:tabs>
      <w:spacing w:before="60" w:after="60"/>
      <w:ind w:left="1020" w:hanging="340"/>
    </w:pPr>
  </w:style>
  <w:style w:type="paragraph" w:styleId="List4">
    <w:name w:val="List 4"/>
    <w:basedOn w:val="BodyText"/>
    <w:rsid w:val="00C07A28"/>
    <w:pPr>
      <w:tabs>
        <w:tab w:val="left" w:pos="1361"/>
      </w:tabs>
      <w:spacing w:before="60" w:after="60"/>
      <w:ind w:left="1361" w:hanging="340"/>
    </w:pPr>
  </w:style>
  <w:style w:type="paragraph" w:styleId="List5">
    <w:name w:val="List 5"/>
    <w:basedOn w:val="BodyText"/>
    <w:rsid w:val="00C07A28"/>
    <w:pPr>
      <w:tabs>
        <w:tab w:val="left" w:pos="1701"/>
      </w:tabs>
      <w:spacing w:before="60" w:after="60"/>
      <w:ind w:left="1701" w:hanging="340"/>
    </w:pPr>
  </w:style>
  <w:style w:type="paragraph" w:styleId="ListBullet3">
    <w:name w:val="List Bullet 3"/>
    <w:basedOn w:val="List3"/>
    <w:rsid w:val="00C07A28"/>
    <w:pPr>
      <w:numPr>
        <w:numId w:val="13"/>
      </w:numPr>
      <w:tabs>
        <w:tab w:val="clear" w:pos="1021"/>
      </w:tabs>
      <w:ind w:left="1037" w:hanging="357"/>
    </w:pPr>
  </w:style>
  <w:style w:type="paragraph" w:styleId="ListBullet4">
    <w:name w:val="List Bullet 4"/>
    <w:basedOn w:val="List4"/>
    <w:rsid w:val="00C07A28"/>
    <w:pPr>
      <w:numPr>
        <w:numId w:val="1"/>
      </w:numPr>
    </w:pPr>
  </w:style>
  <w:style w:type="paragraph" w:styleId="ListBullet5">
    <w:name w:val="List Bullet 5"/>
    <w:basedOn w:val="List5"/>
    <w:rsid w:val="00C07A28"/>
    <w:pPr>
      <w:numPr>
        <w:numId w:val="2"/>
      </w:numPr>
    </w:pPr>
  </w:style>
  <w:style w:type="paragraph" w:styleId="ListContinue2">
    <w:name w:val="List Continue 2"/>
    <w:basedOn w:val="List2"/>
    <w:rsid w:val="00C07A28"/>
    <w:pPr>
      <w:ind w:firstLine="0"/>
    </w:pPr>
  </w:style>
  <w:style w:type="paragraph" w:styleId="ListContinue3">
    <w:name w:val="List Continue 3"/>
    <w:basedOn w:val="List3"/>
    <w:rsid w:val="00C07A28"/>
    <w:pPr>
      <w:ind w:left="1021" w:firstLine="0"/>
    </w:pPr>
  </w:style>
  <w:style w:type="paragraph" w:styleId="ListContinue4">
    <w:name w:val="List Continue 4"/>
    <w:basedOn w:val="List4"/>
    <w:rsid w:val="00C07A28"/>
    <w:pPr>
      <w:ind w:firstLine="0"/>
    </w:pPr>
  </w:style>
  <w:style w:type="paragraph" w:styleId="ListContinue5">
    <w:name w:val="List Continue 5"/>
    <w:basedOn w:val="List5"/>
    <w:rsid w:val="00C07A28"/>
    <w:pPr>
      <w:ind w:firstLine="0"/>
    </w:pPr>
  </w:style>
  <w:style w:type="paragraph" w:styleId="ListNumber3">
    <w:name w:val="List Number 3"/>
    <w:basedOn w:val="List3"/>
    <w:rsid w:val="00C07A28"/>
    <w:pPr>
      <w:numPr>
        <w:numId w:val="3"/>
      </w:numPr>
    </w:pPr>
  </w:style>
  <w:style w:type="paragraph" w:styleId="ListNumber4">
    <w:name w:val="List Number 4"/>
    <w:basedOn w:val="List4"/>
    <w:rsid w:val="00C07A28"/>
    <w:pPr>
      <w:numPr>
        <w:numId w:val="4"/>
      </w:numPr>
    </w:pPr>
  </w:style>
  <w:style w:type="paragraph" w:styleId="ListNumber5">
    <w:name w:val="List Number 5"/>
    <w:basedOn w:val="List5"/>
    <w:rsid w:val="00C07A28"/>
    <w:pPr>
      <w:numPr>
        <w:numId w:val="5"/>
      </w:numPr>
    </w:pPr>
  </w:style>
  <w:style w:type="paragraph" w:styleId="BlockText">
    <w:name w:val="Block Text"/>
    <w:basedOn w:val="Normal"/>
    <w:rsid w:val="00C07A28"/>
    <w:pPr>
      <w:spacing w:after="120"/>
      <w:ind w:left="1440" w:right="1440"/>
    </w:pPr>
  </w:style>
  <w:style w:type="character" w:customStyle="1" w:styleId="Subscript">
    <w:name w:val="Subscript"/>
    <w:rsid w:val="00C07A28"/>
    <w:rPr>
      <w:sz w:val="16"/>
      <w:vertAlign w:val="subscript"/>
    </w:rPr>
  </w:style>
  <w:style w:type="character" w:customStyle="1" w:styleId="Superscript">
    <w:name w:val="Superscript"/>
    <w:rsid w:val="00C07A28"/>
    <w:rPr>
      <w:sz w:val="16"/>
      <w:vertAlign w:val="superscript"/>
    </w:rPr>
  </w:style>
  <w:style w:type="character" w:customStyle="1" w:styleId="Symbols">
    <w:name w:val="Symbols"/>
    <w:rsid w:val="00C07A28"/>
    <w:rPr>
      <w:rFonts w:ascii="Symbol" w:hAnsi="Symbol"/>
    </w:rPr>
  </w:style>
  <w:style w:type="character" w:customStyle="1" w:styleId="MenuOptions">
    <w:name w:val="Menu Options"/>
    <w:rsid w:val="00C07A28"/>
    <w:rPr>
      <w:rFonts w:ascii="Arial Narrow" w:hAnsi="Arial Narrow"/>
      <w:smallCaps/>
    </w:rPr>
  </w:style>
  <w:style w:type="character" w:customStyle="1" w:styleId="Buttons">
    <w:name w:val="Buttons"/>
    <w:rsid w:val="00C07A28"/>
    <w:rPr>
      <w:b/>
    </w:rPr>
  </w:style>
  <w:style w:type="character" w:customStyle="1" w:styleId="Underlined">
    <w:name w:val="Underlined"/>
    <w:rsid w:val="00C07A28"/>
    <w:rPr>
      <w:u w:val="single"/>
    </w:rPr>
  </w:style>
  <w:style w:type="paragraph" w:customStyle="1" w:styleId="TableBodyTextRight">
    <w:name w:val="Table Body Text Right"/>
    <w:basedOn w:val="TableBodyText"/>
    <w:rsid w:val="00C07A28"/>
    <w:pPr>
      <w:widowControl w:val="0"/>
      <w:autoSpaceDE w:val="0"/>
      <w:autoSpaceDN w:val="0"/>
      <w:adjustRightInd w:val="0"/>
      <w:jc w:val="right"/>
    </w:pPr>
    <w:rPr>
      <w:rFonts w:cs="Arial"/>
      <w:szCs w:val="18"/>
    </w:rPr>
  </w:style>
  <w:style w:type="paragraph" w:customStyle="1" w:styleId="CopyrightText">
    <w:name w:val="Copyright Text"/>
    <w:basedOn w:val="BodyText"/>
    <w:rsid w:val="00C07A28"/>
    <w:rPr>
      <w:sz w:val="18"/>
    </w:rPr>
  </w:style>
  <w:style w:type="paragraph" w:customStyle="1" w:styleId="BodySmallRight">
    <w:name w:val="Body Small Right"/>
    <w:basedOn w:val="BodyTextRight"/>
    <w:rsid w:val="00C07A28"/>
    <w:rPr>
      <w:sz w:val="18"/>
      <w:szCs w:val="18"/>
    </w:rPr>
  </w:style>
  <w:style w:type="paragraph" w:customStyle="1" w:styleId="MarginEdition">
    <w:name w:val="Margin Edition"/>
    <w:basedOn w:val="MarginNote"/>
    <w:rsid w:val="00C07A28"/>
    <w:pPr>
      <w:spacing w:before="0" w:after="0"/>
    </w:pPr>
    <w:rPr>
      <w:rFonts w:ascii="Times New Roman" w:hAnsi="Times New Roman"/>
      <w:color w:val="999999"/>
    </w:rPr>
  </w:style>
  <w:style w:type="paragraph" w:customStyle="1" w:styleId="Spacer">
    <w:name w:val="Spacer"/>
    <w:basedOn w:val="Normal"/>
    <w:rsid w:val="00C07A28"/>
    <w:rPr>
      <w:sz w:val="2"/>
      <w:szCs w:val="2"/>
    </w:rPr>
  </w:style>
  <w:style w:type="character" w:customStyle="1" w:styleId="Small">
    <w:name w:val="Small"/>
    <w:rsid w:val="00C07A28"/>
    <w:rPr>
      <w:sz w:val="16"/>
    </w:rPr>
  </w:style>
  <w:style w:type="paragraph" w:customStyle="1" w:styleId="WideTable">
    <w:name w:val="Wide Table"/>
    <w:basedOn w:val="Normal"/>
    <w:rsid w:val="00C07A28"/>
    <w:pPr>
      <w:ind w:left="-1418"/>
    </w:pPr>
    <w:rPr>
      <w:sz w:val="2"/>
      <w:szCs w:val="2"/>
    </w:rPr>
  </w:style>
  <w:style w:type="character" w:styleId="PageNumber">
    <w:name w:val="page number"/>
    <w:rsid w:val="00C07A28"/>
  </w:style>
  <w:style w:type="paragraph" w:styleId="Quote">
    <w:name w:val="Quote"/>
    <w:basedOn w:val="Heading1"/>
    <w:link w:val="QuoteChar"/>
    <w:qFormat/>
    <w:rsid w:val="00C07A28"/>
    <w:rPr>
      <w:b w:val="0"/>
      <w:sz w:val="72"/>
      <w:szCs w:val="72"/>
      <w:lang w:val="en-NZ"/>
    </w:rPr>
  </w:style>
  <w:style w:type="character" w:customStyle="1" w:styleId="QuoteChar">
    <w:name w:val="Quote Char"/>
    <w:link w:val="Quote"/>
    <w:rsid w:val="00C07A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7A28"/>
    <w:pPr>
      <w:pageBreakBefore/>
    </w:pPr>
  </w:style>
  <w:style w:type="paragraph" w:customStyle="1" w:styleId="Border">
    <w:name w:val="Border"/>
    <w:basedOn w:val="Normal"/>
    <w:qFormat/>
    <w:rsid w:val="00C07A28"/>
    <w:pPr>
      <w:pBdr>
        <w:top w:val="single" w:sz="18" w:space="1" w:color="auto"/>
      </w:pBdr>
    </w:pPr>
    <w:rPr>
      <w:rFonts w:ascii="Times New Roman" w:hAnsi="Times New Roman"/>
      <w:color w:val="FFFFFF"/>
      <w:sz w:val="2"/>
    </w:rPr>
  </w:style>
  <w:style w:type="character" w:styleId="IntenseEmphasis">
    <w:name w:val="Intense Emphasis"/>
    <w:uiPriority w:val="21"/>
    <w:qFormat/>
    <w:rsid w:val="00C07A28"/>
    <w:rPr>
      <w:b/>
      <w:bCs/>
      <w:i/>
      <w:iCs/>
      <w:color w:val="auto"/>
    </w:rPr>
  </w:style>
  <w:style w:type="paragraph" w:styleId="IntenseQuote">
    <w:name w:val="Intense Quote"/>
    <w:basedOn w:val="Normal"/>
    <w:next w:val="Normal"/>
    <w:link w:val="IntenseQuoteChar"/>
    <w:uiPriority w:val="30"/>
    <w:qFormat/>
    <w:rsid w:val="00C07A2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07A28"/>
    <w:rPr>
      <w:rFonts w:ascii="Courier New" w:eastAsia="Times New Roman" w:hAnsi="Courier New" w:cs="Times New Roman"/>
      <w:b/>
      <w:bCs/>
      <w:i/>
      <w:iCs/>
      <w:szCs w:val="20"/>
      <w:lang w:val="en-US" w:eastAsia="en-US"/>
    </w:rPr>
  </w:style>
  <w:style w:type="character" w:styleId="SubtleReference">
    <w:name w:val="Subtle Reference"/>
    <w:uiPriority w:val="31"/>
    <w:qFormat/>
    <w:rsid w:val="00C07A28"/>
    <w:rPr>
      <w:smallCaps/>
      <w:color w:val="auto"/>
      <w:u w:val="single"/>
    </w:rPr>
  </w:style>
  <w:style w:type="character" w:styleId="IntenseReference">
    <w:name w:val="Intense Reference"/>
    <w:uiPriority w:val="32"/>
    <w:qFormat/>
    <w:rsid w:val="00C07A28"/>
    <w:rPr>
      <w:b/>
      <w:bCs/>
      <w:smallCaps/>
      <w:color w:val="auto"/>
      <w:spacing w:val="5"/>
      <w:u w:val="single"/>
    </w:rPr>
  </w:style>
  <w:style w:type="paragraph" w:customStyle="1" w:styleId="2ColumnHeading">
    <w:name w:val="2Column Heading"/>
    <w:basedOn w:val="BodyText"/>
    <w:qFormat/>
    <w:rsid w:val="00C07A28"/>
    <w:pPr>
      <w:spacing w:after="60"/>
      <w:ind w:left="-2268"/>
    </w:pPr>
    <w:rPr>
      <w:b/>
    </w:rPr>
  </w:style>
  <w:style w:type="paragraph" w:customStyle="1" w:styleId="Heading1TOC">
    <w:name w:val="Heading1 TOC"/>
    <w:basedOn w:val="Normal"/>
    <w:qFormat/>
    <w:rsid w:val="00C07A28"/>
    <w:pPr>
      <w:spacing w:before="240" w:after="120"/>
    </w:pPr>
    <w:rPr>
      <w:rFonts w:ascii="Times New Roman" w:hAnsi="Times New Roman"/>
      <w:b/>
      <w:sz w:val="32"/>
    </w:rPr>
  </w:style>
  <w:style w:type="paragraph" w:customStyle="1" w:styleId="Heading2TOC">
    <w:name w:val="Heading2 TOC"/>
    <w:basedOn w:val="Normal"/>
    <w:qFormat/>
    <w:rsid w:val="00C07A28"/>
    <w:pPr>
      <w:spacing w:before="240" w:after="60"/>
    </w:pPr>
    <w:rPr>
      <w:rFonts w:ascii="Times New Roman" w:hAnsi="Times New Roman"/>
      <w:b/>
      <w:sz w:val="28"/>
    </w:rPr>
  </w:style>
  <w:style w:type="character" w:customStyle="1" w:styleId="Underline">
    <w:name w:val="Underline"/>
    <w:qFormat/>
    <w:rsid w:val="00C07A28"/>
    <w:rPr>
      <w:u w:val="single"/>
    </w:rPr>
  </w:style>
  <w:style w:type="character" w:customStyle="1" w:styleId="BoldandItalics">
    <w:name w:val="Bold and Italics"/>
    <w:qFormat/>
    <w:rsid w:val="00C07A28"/>
    <w:rPr>
      <w:b/>
      <w:i/>
      <w:u w:val="none"/>
    </w:rPr>
  </w:style>
  <w:style w:type="paragraph" w:styleId="BalloonText">
    <w:name w:val="Balloon Text"/>
    <w:basedOn w:val="Normal"/>
    <w:link w:val="BalloonTextChar"/>
    <w:rsid w:val="00C07A28"/>
    <w:rPr>
      <w:rFonts w:ascii="Tahoma" w:hAnsi="Tahoma" w:cs="Tahoma"/>
      <w:sz w:val="16"/>
      <w:szCs w:val="16"/>
    </w:rPr>
  </w:style>
  <w:style w:type="character" w:customStyle="1" w:styleId="BalloonTextChar">
    <w:name w:val="Balloon Text Char"/>
    <w:link w:val="BalloonText"/>
    <w:rsid w:val="00C07A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7A2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07A2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1780</Words>
  <Characters>11752</Characters>
  <Application>Microsoft Office Word</Application>
  <DocSecurity>0</DocSecurity>
  <Lines>437</Lines>
  <Paragraphs>259</Paragraphs>
  <ScaleCrop>false</ScaleCrop>
  <Company>Author-it Software Corporation Ltd.</Company>
  <LinksUpToDate>false</LinksUpToDate>
  <CharactersWithSpaces>13344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PSPPROC503A Manage contract performance</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2012-05-26T08:22:00Z</dcterms:created>
  <dcterms:modified xsi:type="dcterms:W3CDTF">2012-05-26T08:22:00Z</dcterms:modified>
</cp:coreProperties>
</file>