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226E" w:rsidP="00A2226E">
      <w:pPr>
        <w:pStyle w:val="Title"/>
      </w:pPr>
      <w:r>
        <w:fldChar w:fldCharType="begin"/>
      </w:r>
      <w:r>
        <w:instrText xml:space="preserve"> TITLE   \* MERGEFORMAT </w:instrText>
      </w:r>
      <w:r>
        <w:fldChar w:fldCharType="separate"/>
      </w:r>
      <w:r>
        <w:t>PSPPROC501A Manage contract risk</w:t>
      </w:r>
      <w:r>
        <w:fldChar w:fldCharType="end"/>
      </w:r>
    </w:p>
    <w:p w:rsidR="00A2226E" w:rsidP="00A2226E">
      <w:pPr>
        <w:pStyle w:val="Version"/>
        <w:sectPr w:rsidSect="00E331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3174" w:rsidP="00E33174">
      <w:pPr>
        <w:pStyle w:val="SuperHeading"/>
      </w:pPr>
      <w:r w:rsidRPr="00E33174">
        <w:t>PSPPROC501A Manage contract risk</w:t>
      </w:r>
    </w:p>
    <w:p w:rsidR="00000000" w:rsidRPr="00E33174" w:rsidP="00E33174">
      <w:pPr>
        <w:pStyle w:val="Heading1"/>
      </w:pPr>
      <w:bookmarkStart w:id="1" w:name="O_312451"/>
      <w:bookmarkEnd w:id="1"/>
      <w:r w:rsidRPr="00E33174">
        <w:t>Modification History</w:t>
      </w:r>
    </w:p>
    <w:p w:rsidR="00000000" w:rsidRPr="00E33174" w:rsidP="00E33174">
      <w:pPr>
        <w:pStyle w:val="Heading1"/>
      </w:pPr>
      <w:bookmarkStart w:id="2" w:name="O_312450"/>
      <w:bookmarkEnd w:id="2"/>
      <w:r w:rsidRPr="00E33174">
        <w:t>Unit Descriptor</w:t>
      </w:r>
    </w:p>
    <w:p w:rsidR="00000000" w:rsidRPr="00E33174" w:rsidP="00E33174">
      <w:pPr>
        <w:pStyle w:val="BodyText"/>
      </w:pPr>
      <w:r w:rsidRPr="00E33174">
        <w:t>This unit covers management of risks associated with contracts. It includes assessing risk, and preparing, implementing and reviewing a risk management p</w:t>
      </w:r>
      <w:r w:rsidRPr="00E33174">
        <w:t>lan.</w:t>
      </w:r>
    </w:p>
    <w:p w:rsidR="00000000" w:rsidRPr="00E33174" w:rsidP="00E33174">
      <w:pPr>
        <w:pStyle w:val="BodyText"/>
      </w:pPr>
      <w:r w:rsidRPr="00E33174">
        <w:t>In practice, managing contract risk may overlap with other public sector generalist and specialist work activities such as acting ethically, complying with legislation, providing client service, providing leadership, developing policy, undertaking neg</w:t>
      </w:r>
      <w:r w:rsidRPr="00E33174">
        <w:t xml:space="preserve">otiations etc. </w:t>
      </w:r>
    </w:p>
    <w:p w:rsidR="00000000" w:rsidRPr="00E33174" w:rsidP="00E33174">
      <w:pPr>
        <w:pStyle w:val="BodyText"/>
      </w:pPr>
      <w:r w:rsidRPr="00E33174">
        <w:t xml:space="preserve">This is one of 4 units of competency in the </w:t>
      </w:r>
      <w:r w:rsidRPr="00E33174">
        <w:rPr>
          <w:rStyle w:val="SpecialBold"/>
        </w:rPr>
        <w:t xml:space="preserve">Procurement&amp;Contract Management </w:t>
      </w:r>
      <w:r w:rsidRPr="00E33174">
        <w:t>Competency field that address the requirements of contract management performed by specialist contract managers.</w:t>
      </w:r>
    </w:p>
    <w:p w:rsidR="00000000" w:rsidRPr="00E33174" w:rsidP="00E33174">
      <w:pPr>
        <w:pStyle w:val="BodyText"/>
      </w:pPr>
      <w:r w:rsidRPr="00E33174">
        <w:t>Related units are:</w:t>
      </w:r>
    </w:p>
    <w:p w:rsidR="00000000" w:rsidRPr="00E33174" w:rsidP="00E33174">
      <w:pPr>
        <w:pStyle w:val="BodyText"/>
      </w:pPr>
      <w:r w:rsidRPr="00E33174">
        <w:t>PSPPROC502A Establish contract m</w:t>
      </w:r>
      <w:r w:rsidRPr="00E33174">
        <w:t>anagement arrangements PSPPROC503A Manage contract performancePSPPROC504A Finalise contracts</w:t>
      </w:r>
    </w:p>
    <w:p w:rsidR="00000000" w:rsidRPr="00E33174" w:rsidP="00E33174">
      <w:pPr>
        <w:pStyle w:val="BodyText"/>
      </w:pPr>
      <w:r w:rsidRPr="00E33174">
        <w:t xml:space="preserve">This is a new unit of competency, added to the </w:t>
      </w:r>
      <w:r w:rsidRPr="00E33174">
        <w:rPr>
          <w:rStyle w:val="SpecialBold"/>
        </w:rPr>
        <w:t xml:space="preserve">Procurement&amp;Contract Management </w:t>
      </w:r>
      <w:r w:rsidRPr="00E33174">
        <w:t>Competency field of the Training Package in 2004.</w:t>
      </w:r>
    </w:p>
    <w:p w:rsidR="00000000" w:rsidRPr="00E33174" w:rsidP="00E33174">
      <w:pPr>
        <w:pStyle w:val="AllowPageBreak"/>
      </w:pPr>
    </w:p>
    <w:p w:rsidR="00000000" w:rsidRPr="00E33174" w:rsidP="00E33174">
      <w:pPr>
        <w:pStyle w:val="Heading1"/>
      </w:pPr>
      <w:bookmarkStart w:id="3" w:name="O_312449"/>
      <w:bookmarkEnd w:id="3"/>
      <w:r w:rsidRPr="00E33174">
        <w:t>Application of th</w:t>
      </w:r>
      <w:r w:rsidRPr="00E33174">
        <w:t>e Unit</w:t>
      </w:r>
    </w:p>
    <w:p w:rsidR="00000000" w:rsidRPr="00E33174" w:rsidP="00E33174">
      <w:pPr>
        <w:pStyle w:val="Heading1"/>
      </w:pPr>
      <w:bookmarkStart w:id="4" w:name="O_312448"/>
      <w:bookmarkEnd w:id="4"/>
      <w:r w:rsidRPr="00E33174">
        <w:t>Licensing/Regulatory Information</w:t>
      </w:r>
    </w:p>
    <w:p w:rsidR="00000000" w:rsidRPr="00E33174" w:rsidP="00E33174">
      <w:pPr>
        <w:pStyle w:val="Heading1"/>
      </w:pPr>
      <w:bookmarkStart w:id="5" w:name="O_312447"/>
      <w:bookmarkEnd w:id="5"/>
      <w:r w:rsidRPr="00E33174">
        <w:t>Pre-Requisites</w:t>
      </w:r>
    </w:p>
    <w:p w:rsidR="00000000" w:rsidRPr="00E33174" w:rsidP="00E33174">
      <w:pPr>
        <w:pStyle w:val="Heading1"/>
      </w:pPr>
      <w:bookmarkStart w:id="6" w:name="O_312440"/>
      <w:bookmarkEnd w:id="6"/>
      <w:r w:rsidRPr="00E33174">
        <w:t>Employability Skills Information</w:t>
      </w:r>
    </w:p>
    <w:p w:rsidR="00000000" w:rsidRPr="00E33174" w:rsidP="00E33174">
      <w:pPr>
        <w:pStyle w:val="BodyText"/>
      </w:pPr>
      <w:r w:rsidRPr="00E33174">
        <w:t>This unit contains employability skills.</w:t>
      </w:r>
    </w:p>
    <w:p w:rsidR="00000000" w:rsidRPr="00E33174" w:rsidP="00E33174">
      <w:pPr>
        <w:pStyle w:val="AllowPageBreak"/>
      </w:pPr>
    </w:p>
    <w:p w:rsidR="00000000" w:rsidRPr="00E33174" w:rsidP="00E33174">
      <w:pPr>
        <w:pStyle w:val="Heading1"/>
      </w:pPr>
      <w:bookmarkStart w:id="7" w:name="O_312446"/>
      <w:bookmarkEnd w:id="7"/>
      <w:r w:rsidRPr="00E33174">
        <w:t>Elements and Performance Criteria Pre-Content</w:t>
      </w:r>
    </w:p>
    <w:p w:rsidR="00000000" w:rsidRPr="00E33174" w:rsidP="00E33174">
      <w:pPr>
        <w:pStyle w:val="BodyText"/>
      </w:pPr>
      <w:r w:rsidRPr="00E33174">
        <w:t>Elements are the essential outcomes of the unit of competency.</w:t>
      </w:r>
    </w:p>
    <w:p w:rsidR="00000000" w:rsidRPr="00E33174" w:rsidP="00E33174">
      <w:pPr>
        <w:pStyle w:val="BodyText"/>
      </w:pPr>
      <w:r w:rsidRPr="00E33174">
        <w:t xml:space="preserve">Together, performance criteria specify the requirements for competent performance. Text in </w:t>
      </w:r>
      <w:r w:rsidRPr="00E33174">
        <w:rPr>
          <w:rStyle w:val="SpecialBold"/>
        </w:rPr>
        <w:t xml:space="preserve">bold italics  </w:t>
      </w:r>
      <w:r w:rsidRPr="00E33174">
        <w:t>is explained in the Range Statement following.</w:t>
      </w:r>
    </w:p>
    <w:p w:rsidR="00000000" w:rsidRPr="00E33174" w:rsidP="00E33174">
      <w:pPr>
        <w:pStyle w:val="AllowPageBreak"/>
      </w:pPr>
    </w:p>
    <w:p w:rsidR="00000000" w:rsidRPr="00E33174" w:rsidP="00E33174">
      <w:pPr>
        <w:pStyle w:val="Heading1"/>
      </w:pPr>
      <w:bookmarkStart w:id="8" w:name="O_312452"/>
      <w:bookmarkEnd w:id="8"/>
      <w:r w:rsidRPr="00E33174">
        <w:t>Elements and Performance</w:t>
      </w:r>
      <w:r w:rsidRPr="00E33174">
        <w:t xml:space="preserve"> Criteria</w:t>
      </w:r>
    </w:p>
    <w:tbl>
      <w:tblPr>
        <w:tblW w:w="0" w:type="auto"/>
        <w:tblLayout w:type="fixed"/>
        <w:tblCellMar>
          <w:left w:w="62" w:type="dxa"/>
          <w:right w:w="62" w:type="dxa"/>
        </w:tblCellMar>
        <w:tblLook w:val="0000"/>
      </w:tblPr>
      <w:tblGrid>
        <w:gridCol w:w="400"/>
        <w:gridCol w:w="3000"/>
        <w:gridCol w:w="500"/>
        <w:gridCol w:w="5100"/>
      </w:tblGrid>
      <w:tr w:rsidTr="00A2226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rPr>
                <w:rStyle w:val="SpecialBold"/>
              </w:rPr>
              <w:t>Elements and Performance Criteria</w:t>
            </w:r>
          </w:p>
        </w:tc>
      </w:tr>
      <w:tr w:rsidTr="00A2226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33174" w:rsidP="00E33174">
            <w:pPr>
              <w:pStyle w:val="BodyText"/>
            </w:pPr>
            <w:r w:rsidRPr="00E3317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rPr>
                <w:rStyle w:val="SpecialBold"/>
              </w:rPr>
              <w:t>Performance Criteria</w:t>
            </w:r>
          </w:p>
        </w:tc>
      </w:tr>
      <w:tr w:rsidTr="00A2226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33174" w:rsidP="00E33174">
            <w:pPr>
              <w:pStyle w:val="BodyText"/>
            </w:pPr>
            <w:r w:rsidRPr="00E33174">
              <w:t>1</w:t>
            </w:r>
          </w:p>
        </w:tc>
        <w:tc>
          <w:tcPr>
            <w:tcW w:w="3000" w:type="dxa"/>
            <w:vMerge w:val="restart"/>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rPr>
                <w:rStyle w:val="SpecialBold"/>
              </w:rPr>
              <w:t>Assess risk</w:t>
            </w:r>
          </w:p>
        </w:tc>
        <w:tc>
          <w:tcPr>
            <w:tcW w:w="500" w:type="dxa"/>
            <w:tcBorders>
              <w:top w:val="nil"/>
              <w:left w:val="nil"/>
              <w:bottom w:val="nil"/>
              <w:right w:val="nil"/>
            </w:tcBorders>
            <w:tcMar>
              <w:top w:w="0" w:type="dxa"/>
              <w:left w:w="62" w:type="dxa"/>
              <w:bottom w:w="0" w:type="dxa"/>
              <w:right w:w="62" w:type="dxa"/>
            </w:tcMar>
          </w:tcPr>
          <w:p w:rsidR="00000000" w:rsidRPr="00E33174" w:rsidP="00E33174">
            <w:pPr>
              <w:pStyle w:val="BodyText"/>
            </w:pPr>
            <w:r w:rsidRPr="00E33174">
              <w:t>1.1</w:t>
            </w:r>
          </w:p>
        </w:tc>
        <w:tc>
          <w:tcPr>
            <w:tcW w:w="51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rPr>
                <w:rStyle w:val="SpecialBold"/>
              </w:rPr>
              <w:t>Legislation, policies</w:t>
            </w:r>
            <w:r w:rsidRPr="00E33174">
              <w:t>, business processes and resources impacting on the contract are identified</w:t>
            </w:r>
          </w:p>
        </w:tc>
      </w:tr>
      <w:tr w:rsidTr="00A222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t>1.2</w:t>
            </w:r>
          </w:p>
        </w:tc>
        <w:tc>
          <w:tcPr>
            <w:tcW w:w="51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t>Contract deliverables and internal inputs necessary for effective contract performance are identified</w:t>
            </w:r>
          </w:p>
        </w:tc>
      </w:tr>
      <w:tr w:rsidTr="00A222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t>1.3</w:t>
            </w:r>
          </w:p>
        </w:tc>
        <w:tc>
          <w:tcPr>
            <w:tcW w:w="51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t>Critical success factors necessary for the achievement of contract deliverables are identified and confirmed</w:t>
            </w:r>
          </w:p>
        </w:tc>
      </w:tr>
      <w:tr w:rsidTr="00A222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t>1.4</w:t>
            </w:r>
          </w:p>
        </w:tc>
        <w:tc>
          <w:tcPr>
            <w:tcW w:w="51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t xml:space="preserve">Non-trivial business risks relating to the contract are identified </w:t>
            </w:r>
          </w:p>
        </w:tc>
      </w:tr>
      <w:tr w:rsidTr="00A222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t>1.5</w:t>
            </w:r>
          </w:p>
        </w:tc>
        <w:tc>
          <w:tcPr>
            <w:tcW w:w="51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t>Causes of risk are analysed and their potential impact is determined</w:t>
            </w:r>
          </w:p>
        </w:tc>
      </w:tr>
      <w:tr w:rsidTr="00A222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t>1.6</w:t>
            </w:r>
          </w:p>
        </w:tc>
        <w:tc>
          <w:tcPr>
            <w:tcW w:w="51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t xml:space="preserve">Likelihood of risks is determined and </w:t>
            </w:r>
            <w:r w:rsidRPr="00E33174">
              <w:rPr>
                <w:rStyle w:val="SpecialBold"/>
              </w:rPr>
              <w:t xml:space="preserve">risk ratings </w:t>
            </w:r>
            <w:r w:rsidRPr="00E33174">
              <w:t>are developed</w:t>
            </w:r>
          </w:p>
        </w:tc>
      </w:tr>
      <w:tr w:rsidTr="00A2226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33174" w:rsidP="00E33174">
            <w:pPr>
              <w:pStyle w:val="BodyText"/>
            </w:pPr>
            <w:r w:rsidRPr="00E33174">
              <w:t>2</w:t>
            </w:r>
          </w:p>
        </w:tc>
        <w:tc>
          <w:tcPr>
            <w:tcW w:w="3000" w:type="dxa"/>
            <w:vMerge w:val="restart"/>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rPr>
                <w:rStyle w:val="SpecialBold"/>
              </w:rPr>
              <w:t xml:space="preserve"> Prepare risk management plan</w:t>
            </w:r>
          </w:p>
        </w:tc>
        <w:tc>
          <w:tcPr>
            <w:tcW w:w="5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t>2.1</w:t>
            </w:r>
          </w:p>
        </w:tc>
        <w:tc>
          <w:tcPr>
            <w:tcW w:w="51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t xml:space="preserve">A preliminary </w:t>
            </w:r>
            <w:r w:rsidRPr="00E33174">
              <w:rPr>
                <w:rStyle w:val="SpecialBold"/>
              </w:rPr>
              <w:t xml:space="preserve">risk management </w:t>
            </w:r>
            <w:r w:rsidRPr="00E33174">
              <w:t>plan is developed that addresses risks identified in the planning phase of the contract</w:t>
            </w:r>
          </w:p>
        </w:tc>
      </w:tr>
      <w:tr w:rsidTr="00A222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t>2.2</w:t>
            </w:r>
          </w:p>
        </w:tc>
        <w:tc>
          <w:tcPr>
            <w:tcW w:w="51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t>Risks that will be accepted and those requiring treatment are identified</w:t>
            </w:r>
          </w:p>
        </w:tc>
      </w:tr>
      <w:tr w:rsidTr="00A222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t>2.3</w:t>
            </w:r>
          </w:p>
        </w:tc>
        <w:tc>
          <w:tcPr>
            <w:tcW w:w="51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t>Treatments that reduce risks to an acceptable level</w:t>
            </w:r>
            <w:r w:rsidRPr="00E33174">
              <w:t xml:space="preserve"> are designed in accordance with organisational requirements</w:t>
            </w:r>
          </w:p>
        </w:tc>
      </w:tr>
      <w:tr w:rsidTr="00A222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t>2.4</w:t>
            </w:r>
          </w:p>
        </w:tc>
        <w:tc>
          <w:tcPr>
            <w:tcW w:w="51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t>A plan for implementing new treatments, additional controls or modifications to existing controls is developed</w:t>
            </w:r>
          </w:p>
        </w:tc>
      </w:tr>
      <w:tr w:rsidTr="00A222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t>2.5</w:t>
            </w:r>
          </w:p>
        </w:tc>
        <w:tc>
          <w:tcPr>
            <w:tcW w:w="51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t>Where risks relate to the business context, risk mana</w:t>
            </w:r>
            <w:r w:rsidRPr="00E33174">
              <w:t>gement policies and procedures are reviewed and developed/amended</w:t>
            </w:r>
          </w:p>
        </w:tc>
      </w:tr>
      <w:tr w:rsidTr="00A222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t>2.6</w:t>
            </w:r>
          </w:p>
        </w:tc>
        <w:tc>
          <w:tcPr>
            <w:tcW w:w="51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t>Risk level is re-checked in the contract development phase, and the risk management plan is reviewed and adjusted to cover contract management risks not already identified</w:t>
            </w:r>
          </w:p>
        </w:tc>
      </w:tr>
      <w:tr w:rsidTr="00A2226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33174" w:rsidP="00E33174">
            <w:pPr>
              <w:pStyle w:val="BodyText"/>
            </w:pPr>
            <w:r w:rsidRPr="00E33174">
              <w:t>3</w:t>
            </w:r>
          </w:p>
        </w:tc>
        <w:tc>
          <w:tcPr>
            <w:tcW w:w="3000" w:type="dxa"/>
            <w:vMerge w:val="restart"/>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rPr>
                <w:rStyle w:val="SpecialBold"/>
              </w:rPr>
              <w:t xml:space="preserve"> Impleme</w:t>
            </w:r>
            <w:r w:rsidRPr="00E33174">
              <w:rPr>
                <w:rStyle w:val="SpecialBold"/>
              </w:rPr>
              <w:t>nt and review risk management plan</w:t>
            </w:r>
          </w:p>
        </w:tc>
        <w:tc>
          <w:tcPr>
            <w:tcW w:w="500" w:type="dxa"/>
            <w:tcBorders>
              <w:top w:val="nil"/>
              <w:left w:val="nil"/>
              <w:bottom w:val="nil"/>
              <w:right w:val="nil"/>
            </w:tcBorders>
            <w:tcMar>
              <w:top w:w="0" w:type="dxa"/>
              <w:left w:w="62" w:type="dxa"/>
              <w:bottom w:w="0" w:type="dxa"/>
              <w:right w:w="62" w:type="dxa"/>
            </w:tcMar>
          </w:tcPr>
          <w:p w:rsidR="00000000" w:rsidRPr="00E33174" w:rsidP="00E33174">
            <w:pPr>
              <w:pStyle w:val="BodyText"/>
            </w:pPr>
            <w:r w:rsidRPr="00E33174">
              <w:t>3.1</w:t>
            </w:r>
          </w:p>
        </w:tc>
        <w:tc>
          <w:tcPr>
            <w:tcW w:w="51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rPr>
                <w:rStyle w:val="SpecialBold"/>
              </w:rPr>
              <w:t xml:space="preserve">Risk controls </w:t>
            </w:r>
            <w:r w:rsidRPr="00E33174">
              <w:t>and treatments are implemented in accordance with the treatment plan</w:t>
            </w:r>
          </w:p>
        </w:tc>
      </w:tr>
      <w:tr w:rsidTr="00A222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t>3.2</w:t>
            </w:r>
          </w:p>
        </w:tc>
        <w:tc>
          <w:tcPr>
            <w:tcW w:w="51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t>The risk management plan is implemented, and regularly reviewed and revised to include potential or emerging risks during the life of the contract</w:t>
            </w:r>
          </w:p>
        </w:tc>
      </w:tr>
      <w:tr w:rsidTr="00A2226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t>3.3</w:t>
            </w:r>
          </w:p>
        </w:tc>
        <w:tc>
          <w:tcPr>
            <w:tcW w:w="5100" w:type="dxa"/>
            <w:tcBorders>
              <w:top w:val="nil"/>
              <w:left w:val="nil"/>
              <w:bottom w:val="nil"/>
              <w:right w:val="nil"/>
            </w:tcBorders>
            <w:tcMar>
              <w:top w:w="0" w:type="dxa"/>
              <w:left w:w="62" w:type="dxa"/>
              <w:bottom w:w="0" w:type="dxa"/>
              <w:right w:w="62" w:type="dxa"/>
            </w:tcMar>
          </w:tcPr>
          <w:p w:rsidR="00000000" w:rsidRPr="00E33174" w:rsidP="00E33174">
            <w:pPr>
              <w:pStyle w:val="BodyText"/>
            </w:pPr>
            <w:r w:rsidRPr="00E33174">
              <w:t>Review results are used to improve risk treatments and controls</w:t>
            </w:r>
          </w:p>
        </w:tc>
      </w:tr>
    </w:tbl>
    <w:p w:rsidR="00000000" w:rsidRPr="00E33174" w:rsidP="00E33174">
      <w:pPr>
        <w:pStyle w:val="BodyText"/>
      </w:pPr>
    </w:p>
    <w:p w:rsidR="00000000" w:rsidRPr="00E33174" w:rsidP="00E33174">
      <w:pPr>
        <w:pStyle w:val="AllowPageBreak"/>
      </w:pPr>
    </w:p>
    <w:p w:rsidR="00000000" w:rsidRPr="00E33174" w:rsidP="00E33174">
      <w:pPr>
        <w:pStyle w:val="Heading1"/>
      </w:pPr>
      <w:bookmarkStart w:id="9" w:name="O_312445"/>
      <w:bookmarkEnd w:id="9"/>
      <w:r w:rsidRPr="00E33174">
        <w:t>Required Skills and</w:t>
      </w:r>
      <w:r w:rsidRPr="00E33174">
        <w:t xml:space="preserve"> Knowledge</w:t>
      </w:r>
    </w:p>
    <w:tbl>
      <w:tblPr>
        <w:tblW w:w="0" w:type="auto"/>
        <w:tblLayout w:type="fixed"/>
        <w:tblCellMar>
          <w:left w:w="62" w:type="dxa"/>
          <w:right w:w="62" w:type="dxa"/>
        </w:tblCellMar>
        <w:tblLook w:val="0000"/>
      </w:tblPr>
      <w:tblGrid>
        <w:gridCol w:w="9000"/>
      </w:tblGrid>
      <w:tr w:rsidTr="00A222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rPr>
                <w:rStyle w:val="SpecialBold"/>
              </w:rPr>
              <w:t xml:space="preserve">   REQUIRED SKILLS AND KNOWLEDGE</w:t>
            </w:r>
          </w:p>
        </w:tc>
      </w:tr>
      <w:tr w:rsidTr="00A222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t xml:space="preserve">This section describes the essential skills and knowledge and their level, required for this unit. </w:t>
            </w:r>
          </w:p>
        </w:tc>
      </w:tr>
      <w:tr w:rsidTr="00A222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33174" w:rsidP="00E33174">
            <w:pPr>
              <w:pStyle w:val="BodyText"/>
            </w:pPr>
            <w:r w:rsidRPr="00E33174">
              <w:rPr>
                <w:rStyle w:val="SpecialBold"/>
              </w:rPr>
              <w:t>Skill requirements</w:t>
            </w:r>
          </w:p>
          <w:p w:rsidR="00000000" w:rsidRPr="00E33174" w:rsidP="00E33174">
            <w:pPr>
              <w:pStyle w:val="BodyText"/>
            </w:pPr>
            <w:r w:rsidRPr="00E33174">
              <w:t xml:space="preserve">Look for evidence that confirms skills in: </w:t>
            </w:r>
          </w:p>
          <w:p w:rsidR="00000000" w:rsidRPr="00E33174" w:rsidP="00E33174">
            <w:pPr>
              <w:pStyle w:val="BodyText"/>
            </w:pPr>
            <w:r w:rsidRPr="00E33174">
              <w:t>analysing risks associated with procurement and contracting</w:t>
            </w:r>
          </w:p>
          <w:p w:rsidR="00000000" w:rsidRPr="00E33174" w:rsidP="00E33174">
            <w:pPr>
              <w:pStyle w:val="BodyText"/>
            </w:pPr>
            <w:r w:rsidRPr="00E33174">
              <w:t xml:space="preserve">interpreting complex, formal documents </w:t>
            </w:r>
          </w:p>
          <w:p w:rsidR="00000000" w:rsidRPr="00E33174" w:rsidP="00E33174">
            <w:pPr>
              <w:pStyle w:val="BodyText"/>
            </w:pPr>
            <w:r w:rsidRPr="00E33174">
              <w:t>writing plans requiring reasoning and precision of expression</w:t>
            </w:r>
          </w:p>
          <w:p w:rsidR="00000000" w:rsidRPr="00E33174" w:rsidP="00E33174">
            <w:pPr>
              <w:pStyle w:val="BodyText"/>
            </w:pPr>
            <w:r w:rsidRPr="00E33174">
              <w:t xml:space="preserve">responding to diversity, including gender and disability </w:t>
            </w:r>
          </w:p>
          <w:p w:rsidR="00000000" w:rsidP="00E33174">
            <w:pPr>
              <w:pStyle w:val="BodyText"/>
              <w:rPr>
                <w:lang w:val="en-NZ"/>
              </w:rPr>
            </w:pPr>
            <w:r w:rsidRPr="00E33174">
              <w:t>applying occupational health and saf</w:t>
            </w:r>
            <w:r w:rsidRPr="00E33174">
              <w:t xml:space="preserve">ety and environmental requirements in the context of contract risk management </w:t>
            </w:r>
          </w:p>
        </w:tc>
      </w:tr>
      <w:tr w:rsidTr="00A2226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33174" w:rsidP="00E33174">
            <w:pPr>
              <w:pStyle w:val="BodyText"/>
            </w:pPr>
            <w:r w:rsidRPr="00E33174">
              <w:rPr>
                <w:rStyle w:val="SpecialBold"/>
              </w:rPr>
              <w:t>Knowledge requirements</w:t>
            </w:r>
          </w:p>
          <w:p w:rsidR="00000000" w:rsidRPr="00E33174" w:rsidP="00E33174">
            <w:pPr>
              <w:pStyle w:val="BodyText"/>
            </w:pPr>
            <w:r w:rsidRPr="00E33174">
              <w:t>Look for evidence that confirms knowledge and understanding of:</w:t>
            </w:r>
          </w:p>
          <w:p w:rsidR="00000000" w:rsidRPr="00E33174" w:rsidP="00E33174">
            <w:pPr>
              <w:pStyle w:val="BodyText"/>
            </w:pPr>
            <w:r w:rsidRPr="00E33174">
              <w:t>Commonwealth/State/Territory Government legislation, policies, practices and guidelines r</w:t>
            </w:r>
            <w:r w:rsidRPr="00E33174">
              <w:t>elating to contract risk management, including environmental purchasing guidance</w:t>
            </w:r>
          </w:p>
          <w:p w:rsidR="00000000" w:rsidRPr="00E33174" w:rsidP="00E33174">
            <w:pPr>
              <w:pStyle w:val="BodyText"/>
            </w:pPr>
            <w:r w:rsidRPr="00E33174">
              <w:t>risk management procedures</w:t>
            </w:r>
          </w:p>
          <w:p w:rsidR="00000000" w:rsidRPr="00E33174" w:rsidP="00E33174">
            <w:pPr>
              <w:pStyle w:val="BodyText"/>
            </w:pPr>
            <w:r w:rsidRPr="00E33174">
              <w:t xml:space="preserve">probity principles and issues </w:t>
            </w:r>
          </w:p>
          <w:p w:rsidR="00000000" w:rsidRPr="00E33174" w:rsidP="00E33174">
            <w:pPr>
              <w:pStyle w:val="BodyText"/>
            </w:pPr>
            <w:r w:rsidRPr="00E33174">
              <w:t>risks associated with financial and accounting issues relevant to the contract</w:t>
            </w:r>
          </w:p>
          <w:p w:rsidR="00000000" w:rsidRPr="00E33174" w:rsidP="00E33174">
            <w:pPr>
              <w:pStyle w:val="BodyText"/>
            </w:pPr>
            <w:r w:rsidRPr="00E33174">
              <w:t>public sector legislation including oc</w:t>
            </w:r>
            <w:r w:rsidRPr="00E33174">
              <w:t>cupational health and safety and environment</w:t>
            </w:r>
          </w:p>
          <w:p w:rsidR="00000000" w:rsidRPr="00E33174" w:rsidP="00E33174">
            <w:pPr>
              <w:pStyle w:val="BodyText"/>
            </w:pPr>
            <w:r w:rsidRPr="00E33174">
              <w:t>aspects of law of contracts, trade practices law and commercial law relevant to contract risk management relating to complex procurement</w:t>
            </w:r>
          </w:p>
          <w:p w:rsidR="00000000" w:rsidRPr="00E33174" w:rsidP="00E33174">
            <w:pPr>
              <w:pStyle w:val="BodyText"/>
            </w:pPr>
            <w:r w:rsidRPr="00E33174">
              <w:t xml:space="preserve">equal employment opportunity, equity and diversity principles </w:t>
            </w:r>
          </w:p>
        </w:tc>
      </w:tr>
    </w:tbl>
    <w:p w:rsidR="00000000" w:rsidRPr="00E33174" w:rsidP="00E33174">
      <w:pPr>
        <w:pStyle w:val="BodyText"/>
      </w:pPr>
    </w:p>
    <w:p w:rsidR="00000000" w:rsidRPr="00E33174" w:rsidP="00E33174">
      <w:pPr>
        <w:pStyle w:val="AllowPageBreak"/>
      </w:pPr>
    </w:p>
    <w:p w:rsidR="00000000" w:rsidRPr="00E33174" w:rsidP="00E33174">
      <w:pPr>
        <w:pStyle w:val="Heading1"/>
      </w:pPr>
      <w:bookmarkStart w:id="10" w:name="O_312444"/>
      <w:bookmarkEnd w:id="10"/>
      <w:r w:rsidRPr="00E33174">
        <w:t>Evidence Guide</w:t>
      </w:r>
    </w:p>
    <w:tbl>
      <w:tblPr>
        <w:tblW w:w="0" w:type="auto"/>
        <w:tblLayout w:type="fixed"/>
        <w:tblCellMar>
          <w:left w:w="62" w:type="dxa"/>
          <w:right w:w="62" w:type="dxa"/>
        </w:tblCellMar>
        <w:tblLook w:val="0000"/>
      </w:tblPr>
      <w:tblGrid>
        <w:gridCol w:w="4500"/>
        <w:gridCol w:w="4500"/>
      </w:tblGrid>
      <w:tr w:rsidTr="00A2226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33174">
            <w:pPr>
              <w:pStyle w:val="BodyText"/>
              <w:rPr>
                <w:lang w:val="en-NZ"/>
              </w:rPr>
            </w:pPr>
          </w:p>
        </w:tc>
      </w:tr>
      <w:tr w:rsidTr="00A2226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t>The Evidence Guide specifies the evidence required to demonstrate achievement in the unit of competency as a whole. It must be read in conjunction with the Unit descriptor, Performance Criteria, the Range Statement and the Assessm</w:t>
            </w:r>
            <w:r w:rsidRPr="00E33174">
              <w:t xml:space="preserve">ent Guidelines for the Public Sector Training Package. </w:t>
            </w:r>
          </w:p>
        </w:tc>
      </w:tr>
      <w:tr w:rsidTr="00A222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E33174" w:rsidP="00E33174">
            <w:pPr>
              <w:pStyle w:val="BodyText"/>
            </w:pPr>
            <w:r w:rsidRPr="00E33174">
              <w:rPr>
                <w:rStyle w:val="SpecialBold"/>
              </w:rPr>
              <w:t>Units to be assessed together</w:t>
            </w:r>
          </w:p>
        </w:tc>
        <w:tc>
          <w:tcPr>
            <w:tcW w:w="4500" w:type="dxa"/>
            <w:tcBorders>
              <w:top w:val="nil"/>
              <w:left w:val="nil"/>
              <w:bottom w:val="nil"/>
              <w:right w:val="nil"/>
            </w:tcBorders>
            <w:tcMar>
              <w:top w:w="0" w:type="dxa"/>
              <w:left w:w="62" w:type="dxa"/>
              <w:bottom w:w="0" w:type="dxa"/>
              <w:right w:w="62" w:type="dxa"/>
            </w:tcMar>
          </w:tcPr>
          <w:p w:rsidR="00000000" w:rsidRPr="00E33174" w:rsidP="00E33174">
            <w:pPr>
              <w:pStyle w:val="BodyText"/>
            </w:pPr>
            <w:r w:rsidRPr="00E33174">
              <w:rPr>
                <w:rStyle w:val="SpecialBold"/>
              </w:rPr>
              <w:t>Pre</w:t>
            </w:r>
            <w:r w:rsidRPr="00E33174">
              <w:t>-</w:t>
            </w:r>
            <w:r w:rsidRPr="00E33174">
              <w:rPr>
                <w:rStyle w:val="SpecialBold"/>
              </w:rPr>
              <w:t>requisite units</w:t>
            </w:r>
            <w:r w:rsidRPr="00E33174">
              <w:t xml:space="preserve"> that </w:t>
            </w:r>
            <w:r w:rsidRPr="00E33174">
              <w:rPr>
                <w:rStyle w:val="SpecialBold"/>
              </w:rPr>
              <w:t>must</w:t>
            </w:r>
            <w:r w:rsidRPr="00E33174">
              <w:t xml:space="preserve"> be achieved </w:t>
            </w:r>
            <w:r w:rsidRPr="00E33174">
              <w:rPr>
                <w:rStyle w:val="SpecialBold"/>
              </w:rPr>
              <w:t>prior</w:t>
            </w:r>
            <w:r w:rsidRPr="00E33174">
              <w:t xml:space="preserve"> to this unit: </w:t>
            </w:r>
            <w:r w:rsidRPr="00E33174">
              <w:rPr>
                <w:rStyle w:val="SpecialBold"/>
              </w:rPr>
              <w:t>Nil</w:t>
            </w:r>
          </w:p>
          <w:p w:rsidR="00000000" w:rsidRPr="00E33174" w:rsidP="00E33174">
            <w:pPr>
              <w:pStyle w:val="BodyText"/>
            </w:pPr>
            <w:r w:rsidRPr="00E33174">
              <w:rPr>
                <w:rStyle w:val="SpecialBold"/>
              </w:rPr>
              <w:t>Co</w:t>
            </w:r>
            <w:r w:rsidRPr="00E33174">
              <w:t>-</w:t>
            </w:r>
            <w:r w:rsidRPr="00E33174">
              <w:rPr>
                <w:rStyle w:val="SpecialBold"/>
              </w:rPr>
              <w:t>requisite units</w:t>
            </w:r>
            <w:r w:rsidRPr="00E33174">
              <w:t xml:space="preserve"> that </w:t>
            </w:r>
            <w:r w:rsidRPr="00E33174">
              <w:rPr>
                <w:rStyle w:val="SpecialBold"/>
              </w:rPr>
              <w:t>must</w:t>
            </w:r>
            <w:r w:rsidRPr="00E33174">
              <w:t xml:space="preserve"> be assessed </w:t>
            </w:r>
            <w:r w:rsidRPr="00E33174">
              <w:rPr>
                <w:rStyle w:val="SpecialBold"/>
              </w:rPr>
              <w:t>with</w:t>
            </w:r>
            <w:r w:rsidRPr="00E33174">
              <w:t xml:space="preserve"> this unit: </w:t>
            </w:r>
            <w:r w:rsidRPr="00E33174">
              <w:rPr>
                <w:rStyle w:val="SpecialBold"/>
              </w:rPr>
              <w:t>Nil</w:t>
            </w:r>
          </w:p>
          <w:p w:rsidR="00000000" w:rsidRPr="00E33174" w:rsidP="00E33174">
            <w:pPr>
              <w:pStyle w:val="BodyText"/>
            </w:pPr>
            <w:r w:rsidRPr="00E33174">
              <w:rPr>
                <w:rStyle w:val="SpecialBold"/>
              </w:rPr>
              <w:t>Co</w:t>
            </w:r>
            <w:r w:rsidRPr="00E33174">
              <w:t>-</w:t>
            </w:r>
            <w:r w:rsidRPr="00E33174">
              <w:rPr>
                <w:rStyle w:val="SpecialBold"/>
              </w:rPr>
              <w:t>assessed units</w:t>
            </w:r>
            <w:r w:rsidRPr="00E33174">
              <w:t xml:space="preserve"> that </w:t>
            </w:r>
            <w:r w:rsidRPr="00E33174">
              <w:rPr>
                <w:rStyle w:val="SpecialBold"/>
              </w:rPr>
              <w:t>may</w:t>
            </w:r>
            <w:r w:rsidRPr="00E33174">
              <w:t xml:space="preserve"> be assessed with this unit to increase the efficiency and realism of the assessment process include, but are not limited to: </w:t>
            </w:r>
          </w:p>
          <w:p w:rsidR="00000000" w:rsidRPr="00E33174" w:rsidP="00E33174">
            <w:pPr>
              <w:pStyle w:val="BodyText"/>
            </w:pPr>
            <w:r w:rsidRPr="00E33174">
              <w:t xml:space="preserve">PSPETHC501B Promote the values and ethos of public service </w:t>
            </w:r>
          </w:p>
          <w:p w:rsidR="00000000" w:rsidRPr="00E33174" w:rsidP="00E33174">
            <w:pPr>
              <w:pStyle w:val="BodyText"/>
            </w:pPr>
            <w:r w:rsidRPr="00E33174">
              <w:t>PSPGOV504B Undertake research and analysis</w:t>
            </w:r>
          </w:p>
          <w:p w:rsidR="00000000" w:rsidRPr="00E33174" w:rsidP="00E33174">
            <w:pPr>
              <w:pStyle w:val="BodyText"/>
            </w:pPr>
            <w:r w:rsidRPr="00E33174">
              <w:t>PSPGOV505A Promote diversi</w:t>
            </w:r>
            <w:r w:rsidRPr="00E33174">
              <w:t xml:space="preserve">ty  </w:t>
            </w:r>
          </w:p>
          <w:p w:rsidR="00000000" w:rsidRPr="00E33174" w:rsidP="00E33174">
            <w:pPr>
              <w:pStyle w:val="BodyText"/>
            </w:pPr>
            <w:r w:rsidRPr="00E33174">
              <w:t>PSPGOV511A Provide leadership</w:t>
            </w:r>
          </w:p>
          <w:p w:rsidR="00000000" w:rsidRPr="00E33174" w:rsidP="00E33174">
            <w:pPr>
              <w:pStyle w:val="BodyText"/>
            </w:pPr>
            <w:r w:rsidRPr="00E33174">
              <w:t>PSPGOV517A Coordinate risk management</w:t>
            </w:r>
          </w:p>
          <w:p w:rsidR="00000000" w:rsidRPr="00E33174" w:rsidP="00E33174">
            <w:pPr>
              <w:pStyle w:val="BodyText"/>
            </w:pPr>
            <w:r w:rsidRPr="00E33174">
              <w:t>PSPLEGN501B Promote compliance with legislation in the public sector</w:t>
            </w:r>
          </w:p>
          <w:p w:rsidR="00000000" w:rsidRPr="00E33174" w:rsidP="00E33174">
            <w:pPr>
              <w:pStyle w:val="BodyText"/>
            </w:pPr>
            <w:r w:rsidRPr="00E33174">
              <w:t xml:space="preserve">PSPPROC502A Establish contract management arrangements </w:t>
            </w:r>
          </w:p>
          <w:p w:rsidR="00000000" w:rsidRPr="00E33174" w:rsidP="00E33174">
            <w:pPr>
              <w:pStyle w:val="BodyText"/>
            </w:pPr>
            <w:r w:rsidRPr="00E33174">
              <w:t>PSPPROC503A Manage contract performance</w:t>
            </w:r>
          </w:p>
          <w:p w:rsidR="00000000" w:rsidP="00E33174">
            <w:pPr>
              <w:pStyle w:val="BodyText"/>
              <w:rPr>
                <w:lang w:val="en-NZ"/>
              </w:rPr>
            </w:pPr>
            <w:r w:rsidRPr="00E33174">
              <w:t xml:space="preserve">PSPPROC504A Finalise contracts </w:t>
            </w:r>
          </w:p>
        </w:tc>
      </w:tr>
      <w:tr w:rsidTr="00A222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rPr>
                <w:rStyle w:val="SpecialBold"/>
              </w:rPr>
              <w:t>Overview of evidence requirements</w:t>
            </w:r>
          </w:p>
        </w:tc>
        <w:tc>
          <w:tcPr>
            <w:tcW w:w="4500" w:type="dxa"/>
            <w:tcBorders>
              <w:top w:val="nil"/>
              <w:left w:val="nil"/>
              <w:bottom w:val="nil"/>
              <w:right w:val="nil"/>
            </w:tcBorders>
            <w:tcMar>
              <w:top w:w="0" w:type="dxa"/>
              <w:left w:w="62" w:type="dxa"/>
              <w:bottom w:w="0" w:type="dxa"/>
              <w:right w:w="62" w:type="dxa"/>
            </w:tcMar>
          </w:tcPr>
          <w:p w:rsidR="00000000" w:rsidRPr="00E33174" w:rsidP="00E33174">
            <w:pPr>
              <w:pStyle w:val="BodyText"/>
            </w:pPr>
            <w:r w:rsidRPr="00E33174">
              <w:t xml:space="preserve">In addition to integrated demonstration of the elements and their related performance criteria, look for evidence that confirms: </w:t>
            </w:r>
          </w:p>
          <w:p w:rsidR="00000000" w:rsidRPr="00E33174" w:rsidP="00E33174">
            <w:pPr>
              <w:pStyle w:val="BodyText"/>
            </w:pPr>
            <w:r w:rsidRPr="00E33174">
              <w:t xml:space="preserve">the knowledge requirements of this unit </w:t>
            </w:r>
          </w:p>
          <w:p w:rsidR="00000000" w:rsidRPr="00E33174" w:rsidP="00E33174">
            <w:pPr>
              <w:pStyle w:val="BodyText"/>
            </w:pPr>
            <w:r w:rsidRPr="00E33174">
              <w:t>the skill requirem</w:t>
            </w:r>
            <w:r w:rsidRPr="00E33174">
              <w:t>ents of this unit</w:t>
            </w:r>
          </w:p>
          <w:p w:rsidR="00000000" w:rsidRPr="00E33174" w:rsidP="00E33174">
            <w:pPr>
              <w:pStyle w:val="BodyText"/>
            </w:pPr>
            <w:r w:rsidRPr="00E33174">
              <w:t>application of the Employability Skills as they relate to this unit (see Employability Summaries in Qualifications Framework)</w:t>
            </w:r>
          </w:p>
          <w:p w:rsidR="00000000" w:rsidP="00E33174">
            <w:pPr>
              <w:pStyle w:val="BodyText"/>
              <w:rPr>
                <w:lang w:val="en-NZ"/>
              </w:rPr>
            </w:pPr>
            <w:r w:rsidRPr="00E33174">
              <w:t xml:space="preserve">management of contract risk in a range of (3 or more) contexts (or occasions, over time)  </w:t>
            </w:r>
          </w:p>
        </w:tc>
      </w:tr>
      <w:tr w:rsidTr="00A222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rPr>
                <w:rStyle w:val="SpecialBold"/>
              </w:rPr>
              <w:t>Resources required t</w:t>
            </w:r>
            <w:r w:rsidRPr="00E33174">
              <w:rPr>
                <w:rStyle w:val="SpecialBold"/>
              </w:rPr>
              <w:t>o carry out assessment</w:t>
            </w:r>
          </w:p>
        </w:tc>
        <w:tc>
          <w:tcPr>
            <w:tcW w:w="4500" w:type="dxa"/>
            <w:tcBorders>
              <w:top w:val="nil"/>
              <w:left w:val="nil"/>
              <w:bottom w:val="nil"/>
              <w:right w:val="nil"/>
            </w:tcBorders>
            <w:tcMar>
              <w:top w:w="0" w:type="dxa"/>
              <w:left w:w="62" w:type="dxa"/>
              <w:bottom w:w="0" w:type="dxa"/>
              <w:right w:w="62" w:type="dxa"/>
            </w:tcMar>
          </w:tcPr>
          <w:p w:rsidR="00000000" w:rsidRPr="00E33174" w:rsidP="00E33174">
            <w:pPr>
              <w:pStyle w:val="BodyText"/>
            </w:pPr>
            <w:r w:rsidRPr="00E33174">
              <w:t xml:space="preserve">These resources include: </w:t>
            </w:r>
          </w:p>
          <w:p w:rsidR="00000000" w:rsidRPr="00E33174" w:rsidP="00E33174">
            <w:pPr>
              <w:pStyle w:val="BodyText"/>
            </w:pPr>
            <w:r w:rsidRPr="00E33174">
              <w:t xml:space="preserve">legislation, policy, procedures and protocols relating to contract risk management </w:t>
            </w:r>
          </w:p>
          <w:p w:rsidR="00000000" w:rsidP="00E33174">
            <w:pPr>
              <w:pStyle w:val="BodyText"/>
              <w:rPr>
                <w:lang w:val="en-NZ"/>
              </w:rPr>
            </w:pPr>
            <w:r w:rsidRPr="00E33174">
              <w:t xml:space="preserve">case studies and workplace scenarios to capture the range of contract risk situations likely to be encountered </w:t>
            </w:r>
          </w:p>
        </w:tc>
      </w:tr>
      <w:tr w:rsidTr="00A222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rPr>
                <w:rStyle w:val="SpecialBold"/>
              </w:rPr>
              <w:t xml:space="preserve">Where and </w:t>
            </w:r>
            <w:r w:rsidRPr="00E33174">
              <w:rPr>
                <w:rStyle w:val="SpecialBold"/>
              </w:rPr>
              <w:t>how to assess evidence</w:t>
            </w:r>
          </w:p>
        </w:tc>
        <w:tc>
          <w:tcPr>
            <w:tcW w:w="4500" w:type="dxa"/>
            <w:tcBorders>
              <w:top w:val="nil"/>
              <w:left w:val="nil"/>
              <w:bottom w:val="nil"/>
              <w:right w:val="nil"/>
            </w:tcBorders>
            <w:tcMar>
              <w:top w:w="0" w:type="dxa"/>
              <w:left w:w="62" w:type="dxa"/>
              <w:bottom w:w="0" w:type="dxa"/>
              <w:right w:w="62" w:type="dxa"/>
            </w:tcMar>
          </w:tcPr>
          <w:p w:rsidR="00000000" w:rsidRPr="00E33174" w:rsidP="00E33174">
            <w:pPr>
              <w:pStyle w:val="BodyText"/>
            </w:pPr>
            <w:r w:rsidRPr="00E33174">
              <w:t xml:space="preserve">Valid assessment of this unit requires:     </w:t>
            </w:r>
          </w:p>
          <w:p w:rsidR="00000000" w:rsidRPr="00E33174" w:rsidP="00E33174">
            <w:pPr>
              <w:pStyle w:val="BodyText"/>
            </w:pPr>
            <w:r w:rsidRPr="00E33174">
              <w:t>a workplace environment or one that closely resembles normal work practice and replicates the range of conditions likely to be encountered when managing contract risk, including coping wit</w:t>
            </w:r>
            <w:r w:rsidRPr="00E33174">
              <w:t>h difficulties, irregularities and breakdowns in routine</w:t>
            </w:r>
          </w:p>
          <w:p w:rsidR="00000000" w:rsidRPr="00E33174" w:rsidP="00E33174">
            <w:pPr>
              <w:pStyle w:val="BodyText"/>
            </w:pPr>
            <w:r w:rsidRPr="00E33174">
              <w:t xml:space="preserve">management of contract risk in a range of (3 or more) contexts (or occasions, over time) </w:t>
            </w:r>
          </w:p>
          <w:p w:rsidR="00000000" w:rsidRPr="00E33174" w:rsidP="00E33174">
            <w:pPr>
              <w:pStyle w:val="BodyText"/>
            </w:pPr>
            <w:r w:rsidRPr="00E33174">
              <w:t>Assessment methods should reflect workplace demands, such as literacy, and the needs of particular groups, such as:</w:t>
            </w:r>
          </w:p>
          <w:p w:rsidR="00000000" w:rsidRPr="00E33174" w:rsidP="00E33174">
            <w:pPr>
              <w:pStyle w:val="BodyText"/>
            </w:pPr>
            <w:r w:rsidRPr="00E33174">
              <w:t>people with disabilities</w:t>
            </w:r>
          </w:p>
          <w:p w:rsidR="00000000" w:rsidRPr="00E33174" w:rsidP="00E33174">
            <w:pPr>
              <w:pStyle w:val="BodyText"/>
            </w:pPr>
            <w:r w:rsidRPr="00E33174">
              <w:t>people from culturally and linguistically diverse backgrounds</w:t>
            </w:r>
          </w:p>
          <w:p w:rsidR="00000000" w:rsidRPr="00E33174" w:rsidP="00E33174">
            <w:pPr>
              <w:pStyle w:val="BodyText"/>
            </w:pPr>
            <w:r w:rsidRPr="00E33174">
              <w:t>Aboriginal and Torres Strait Islander people</w:t>
            </w:r>
          </w:p>
          <w:p w:rsidR="00000000" w:rsidRPr="00E33174" w:rsidP="00E33174">
            <w:pPr>
              <w:pStyle w:val="BodyText"/>
            </w:pPr>
            <w:r w:rsidRPr="00E33174">
              <w:t>women</w:t>
            </w:r>
          </w:p>
          <w:p w:rsidR="00000000" w:rsidRPr="00E33174" w:rsidP="00E33174">
            <w:pPr>
              <w:pStyle w:val="BodyText"/>
            </w:pPr>
            <w:r w:rsidRPr="00E33174">
              <w:t>yo</w:t>
            </w:r>
            <w:r w:rsidRPr="00E33174">
              <w:t>ung people</w:t>
            </w:r>
          </w:p>
          <w:p w:rsidR="00000000" w:rsidRPr="00E33174" w:rsidP="00E33174">
            <w:pPr>
              <w:pStyle w:val="BodyText"/>
            </w:pPr>
            <w:r w:rsidRPr="00E33174">
              <w:t>older people</w:t>
            </w:r>
          </w:p>
          <w:p w:rsidR="00000000" w:rsidRPr="00E33174" w:rsidP="00E33174">
            <w:pPr>
              <w:pStyle w:val="BodyText"/>
            </w:pPr>
            <w:r w:rsidRPr="00E33174">
              <w:t>people in rural and remote locations</w:t>
            </w:r>
          </w:p>
          <w:p w:rsidR="00000000" w:rsidRPr="00E33174" w:rsidP="00E33174">
            <w:pPr>
              <w:pStyle w:val="BodyText"/>
            </w:pPr>
            <w:r w:rsidRPr="00E33174">
              <w:t xml:space="preserve">Assessment methods suitable for valid and reliable assessment of this competency may include, but are not limited to, a combination of 2 or more of: </w:t>
            </w:r>
          </w:p>
          <w:p w:rsidR="00000000" w:rsidRPr="00E33174" w:rsidP="00E33174">
            <w:pPr>
              <w:pStyle w:val="BodyText"/>
            </w:pPr>
            <w:r w:rsidRPr="00E33174">
              <w:t>case studies</w:t>
            </w:r>
          </w:p>
          <w:p w:rsidR="00000000" w:rsidRPr="00E33174" w:rsidP="00E33174">
            <w:pPr>
              <w:pStyle w:val="BodyText"/>
            </w:pPr>
            <w:r w:rsidRPr="00E33174">
              <w:t xml:space="preserve">portfolios </w:t>
            </w:r>
          </w:p>
          <w:p w:rsidR="00000000" w:rsidRPr="00E33174" w:rsidP="00E33174">
            <w:pPr>
              <w:pStyle w:val="BodyText"/>
            </w:pPr>
            <w:r w:rsidRPr="00E33174">
              <w:t>questioning</w:t>
            </w:r>
          </w:p>
          <w:p w:rsidR="00000000" w:rsidRPr="00E33174" w:rsidP="00E33174">
            <w:pPr>
              <w:pStyle w:val="BodyText"/>
            </w:pPr>
            <w:r w:rsidRPr="00E33174">
              <w:t>scenario</w:t>
            </w:r>
            <w:r w:rsidRPr="00E33174">
              <w:t>s</w:t>
            </w:r>
          </w:p>
          <w:p w:rsidR="00000000" w:rsidP="00E33174">
            <w:pPr>
              <w:pStyle w:val="BodyText"/>
              <w:rPr>
                <w:lang w:val="en-NZ"/>
              </w:rPr>
            </w:pPr>
            <w:r w:rsidRPr="00E33174">
              <w:t xml:space="preserve">authenticated evidence from the workplace and/or training courses </w:t>
            </w:r>
          </w:p>
        </w:tc>
      </w:tr>
      <w:tr w:rsidTr="00A222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rPr>
                <w:rStyle w:val="SpecialBold"/>
              </w:rPr>
              <w:t>For consistency of assessment</w:t>
            </w:r>
          </w:p>
        </w:tc>
        <w:tc>
          <w:tcPr>
            <w:tcW w:w="4500" w:type="dxa"/>
            <w:tcBorders>
              <w:top w:val="nil"/>
              <w:left w:val="nil"/>
              <w:bottom w:val="nil"/>
              <w:right w:val="nil"/>
            </w:tcBorders>
            <w:tcMar>
              <w:top w:w="0" w:type="dxa"/>
              <w:left w:w="62" w:type="dxa"/>
              <w:bottom w:w="0" w:type="dxa"/>
              <w:right w:w="62" w:type="dxa"/>
            </w:tcMar>
          </w:tcPr>
          <w:p w:rsidR="00000000" w:rsidRPr="00E33174" w:rsidP="00E33174">
            <w:pPr>
              <w:pStyle w:val="BodyText"/>
            </w:pPr>
            <w:r w:rsidRPr="00E33174">
              <w:t>Evidence must be gathered over time in a range of contexts to ensure the person can achieve the unit outcome and apply the competency in different situation</w:t>
            </w:r>
            <w:r w:rsidRPr="00E33174">
              <w:t xml:space="preserve">s or environments </w:t>
            </w:r>
          </w:p>
        </w:tc>
      </w:tr>
    </w:tbl>
    <w:p w:rsidR="00000000" w:rsidRPr="00E33174" w:rsidP="00E33174">
      <w:pPr>
        <w:pStyle w:val="BodyText"/>
      </w:pPr>
    </w:p>
    <w:p w:rsidR="00000000" w:rsidRPr="00E33174" w:rsidP="00E33174">
      <w:pPr>
        <w:pStyle w:val="AllowPageBreak"/>
      </w:pPr>
    </w:p>
    <w:p w:rsidR="00000000" w:rsidRPr="00E33174" w:rsidP="00E33174">
      <w:pPr>
        <w:pStyle w:val="Heading1"/>
      </w:pPr>
      <w:bookmarkStart w:id="11" w:name="O_312443"/>
      <w:bookmarkEnd w:id="11"/>
      <w:r w:rsidRPr="00E33174">
        <w:t>Range Statement</w:t>
      </w:r>
    </w:p>
    <w:tbl>
      <w:tblPr>
        <w:tblW w:w="0" w:type="auto"/>
        <w:tblLayout w:type="fixed"/>
        <w:tblCellMar>
          <w:left w:w="62" w:type="dxa"/>
          <w:right w:w="62" w:type="dxa"/>
        </w:tblCellMar>
        <w:tblLook w:val="0000"/>
      </w:tblPr>
      <w:tblGrid>
        <w:gridCol w:w="4500"/>
        <w:gridCol w:w="4500"/>
      </w:tblGrid>
      <w:tr w:rsidTr="00A2226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rPr>
                <w:rStyle w:val="SpecialBold"/>
              </w:rPr>
              <w:t>RANGE STATEMENT</w:t>
            </w:r>
          </w:p>
        </w:tc>
      </w:tr>
      <w:tr w:rsidTr="00A2226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t xml:space="preserve">The Range Statement provides information about the context in which the unit of competency is carried out. The variables cater for differences </w:t>
            </w:r>
            <w:r w:rsidRPr="00E33174">
              <w:t>between States and Territories and the Commonwealth, and between organisations and workplaces. They allow for different work requirements, work practices and knowledge. The Range Statement also provides a focus for assessment. It relates to the unit as a w</w:t>
            </w:r>
            <w:r w:rsidRPr="00E33174">
              <w:t xml:space="preserve">hole. Text in </w:t>
            </w:r>
            <w:r w:rsidRPr="00E33174">
              <w:rPr>
                <w:rStyle w:val="SpecialBold"/>
              </w:rPr>
              <w:t>italics</w:t>
            </w:r>
            <w:r w:rsidRPr="00E33174">
              <w:t xml:space="preserve"> in the Performance Criteria is explained here. </w:t>
            </w:r>
          </w:p>
        </w:tc>
      </w:tr>
      <w:tr w:rsidTr="00A222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rPr>
                <w:rStyle w:val="SpecialBold"/>
              </w:rPr>
              <w:t>Information sources used to assess risk may include</w:t>
            </w:r>
          </w:p>
        </w:tc>
        <w:tc>
          <w:tcPr>
            <w:tcW w:w="4500" w:type="dxa"/>
            <w:tcBorders>
              <w:top w:val="nil"/>
              <w:left w:val="nil"/>
              <w:bottom w:val="nil"/>
              <w:right w:val="nil"/>
            </w:tcBorders>
            <w:tcMar>
              <w:top w:w="0" w:type="dxa"/>
              <w:left w:w="62" w:type="dxa"/>
              <w:bottom w:w="0" w:type="dxa"/>
              <w:right w:w="62" w:type="dxa"/>
            </w:tcMar>
          </w:tcPr>
          <w:p w:rsidR="00000000" w:rsidRPr="00E33174" w:rsidP="00E33174">
            <w:pPr>
              <w:pStyle w:val="BodyText"/>
            </w:pPr>
            <w:r w:rsidRPr="00E33174">
              <w:t>computer modelling</w:t>
            </w:r>
          </w:p>
          <w:p w:rsidR="00000000" w:rsidRPr="00E33174" w:rsidP="00E33174">
            <w:pPr>
              <w:pStyle w:val="BodyText"/>
            </w:pPr>
            <w:r w:rsidRPr="00E33174">
              <w:t>sensitivity analysis</w:t>
            </w:r>
          </w:p>
          <w:p w:rsidR="00000000" w:rsidRPr="00E33174" w:rsidP="00E33174">
            <w:pPr>
              <w:pStyle w:val="BodyText"/>
            </w:pPr>
            <w:r w:rsidRPr="00E33174">
              <w:t>structured interviews</w:t>
            </w:r>
          </w:p>
          <w:p w:rsidR="00000000" w:rsidRPr="00E33174" w:rsidP="00E33174">
            <w:pPr>
              <w:pStyle w:val="BodyText"/>
            </w:pPr>
            <w:r w:rsidRPr="00E33174">
              <w:t>statistical data</w:t>
            </w:r>
          </w:p>
          <w:p w:rsidR="00000000" w:rsidRPr="00E33174" w:rsidP="00E33174">
            <w:pPr>
              <w:pStyle w:val="BodyText"/>
            </w:pPr>
            <w:r w:rsidRPr="00E33174">
              <w:t>questionnaires</w:t>
            </w:r>
          </w:p>
          <w:p w:rsidR="00000000" w:rsidRPr="00E33174" w:rsidP="00E33174">
            <w:pPr>
              <w:pStyle w:val="BodyText"/>
            </w:pPr>
            <w:r w:rsidRPr="00E33174">
              <w:t>fault trees</w:t>
            </w:r>
          </w:p>
          <w:p w:rsidR="00000000" w:rsidP="00E33174">
            <w:pPr>
              <w:pStyle w:val="BodyText"/>
              <w:rPr>
                <w:lang w:val="en-NZ"/>
              </w:rPr>
            </w:pPr>
            <w:r w:rsidRPr="00E33174">
              <w:t>analysis of consequences -</w:t>
            </w:r>
            <w:r w:rsidRPr="00E33174">
              <w:t xml:space="preserve"> loss of money, time, labour, intangibles </w:t>
            </w:r>
          </w:p>
        </w:tc>
      </w:tr>
      <w:tr w:rsidTr="00A222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rPr>
                <w:rStyle w:val="SpecialBold"/>
              </w:rPr>
              <w:t>Legislation and policies may include</w:t>
            </w:r>
          </w:p>
        </w:tc>
        <w:tc>
          <w:tcPr>
            <w:tcW w:w="4500" w:type="dxa"/>
            <w:tcBorders>
              <w:top w:val="nil"/>
              <w:left w:val="nil"/>
              <w:bottom w:val="nil"/>
              <w:right w:val="nil"/>
            </w:tcBorders>
            <w:tcMar>
              <w:top w:w="0" w:type="dxa"/>
              <w:left w:w="62" w:type="dxa"/>
              <w:bottom w:w="0" w:type="dxa"/>
              <w:right w:w="62" w:type="dxa"/>
            </w:tcMar>
          </w:tcPr>
          <w:p w:rsidR="00000000" w:rsidRPr="00E33174" w:rsidP="00E33174">
            <w:pPr>
              <w:pStyle w:val="BodyText"/>
            </w:pPr>
            <w:r w:rsidRPr="00E33174">
              <w:t>Commonwealth and State/Territory legislation including equal employment opportunity and anti-discrimination law</w:t>
            </w:r>
          </w:p>
          <w:p w:rsidR="00000000" w:rsidRPr="00E33174" w:rsidP="00E33174">
            <w:pPr>
              <w:pStyle w:val="BodyText"/>
            </w:pPr>
            <w:r w:rsidRPr="00E33174">
              <w:t>national and international codes of practice and standards</w:t>
            </w:r>
          </w:p>
          <w:p w:rsidR="00000000" w:rsidRPr="00E33174" w:rsidP="00E33174">
            <w:pPr>
              <w:pStyle w:val="BodyText"/>
            </w:pPr>
            <w:r w:rsidRPr="00E33174">
              <w:t>the organisation's policies and practices</w:t>
            </w:r>
          </w:p>
          <w:p w:rsidR="00000000" w:rsidRPr="00E33174" w:rsidP="00E33174">
            <w:pPr>
              <w:pStyle w:val="BodyText"/>
            </w:pPr>
            <w:r w:rsidRPr="00E33174">
              <w:t>government policy</w:t>
            </w:r>
          </w:p>
          <w:p w:rsidR="00000000" w:rsidRPr="00E33174" w:rsidP="00E33174">
            <w:pPr>
              <w:pStyle w:val="BodyText"/>
            </w:pPr>
            <w:r w:rsidRPr="00E33174">
              <w:t>codes of conduct</w:t>
            </w:r>
          </w:p>
          <w:p w:rsidR="00000000" w:rsidP="00E33174">
            <w:pPr>
              <w:pStyle w:val="BodyText"/>
              <w:rPr>
                <w:lang w:val="en-NZ"/>
              </w:rPr>
            </w:pPr>
            <w:r w:rsidRPr="00E33174">
              <w:t xml:space="preserve">national competition policy </w:t>
            </w:r>
          </w:p>
        </w:tc>
      </w:tr>
      <w:tr w:rsidTr="00A222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rPr>
                <w:rStyle w:val="SpecialBold"/>
              </w:rPr>
              <w:t>Risk ratings</w:t>
            </w:r>
          </w:p>
        </w:tc>
        <w:tc>
          <w:tcPr>
            <w:tcW w:w="4500" w:type="dxa"/>
            <w:tcBorders>
              <w:top w:val="nil"/>
              <w:left w:val="nil"/>
              <w:bottom w:val="nil"/>
              <w:right w:val="nil"/>
            </w:tcBorders>
            <w:tcMar>
              <w:top w:w="0" w:type="dxa"/>
              <w:left w:w="62" w:type="dxa"/>
              <w:bottom w:w="0" w:type="dxa"/>
              <w:right w:w="62" w:type="dxa"/>
            </w:tcMar>
          </w:tcPr>
          <w:p w:rsidR="00000000" w:rsidRPr="00E33174" w:rsidP="00E33174">
            <w:pPr>
              <w:pStyle w:val="BodyText"/>
            </w:pPr>
            <w:r w:rsidRPr="00E33174">
              <w:t xml:space="preserve">differentiate between risks that have:   </w:t>
            </w:r>
          </w:p>
          <w:p w:rsidR="00000000" w:rsidRPr="00E33174" w:rsidP="00E33174">
            <w:pPr>
              <w:pStyle w:val="BodyText"/>
            </w:pPr>
            <w:r w:rsidRPr="00E33174">
              <w:t xml:space="preserve">high impact/consequence/likelihood and those having </w:t>
            </w:r>
          </w:p>
          <w:p w:rsidR="00000000" w:rsidP="00E33174">
            <w:pPr>
              <w:pStyle w:val="BodyText"/>
              <w:rPr>
                <w:lang w:val="en-NZ"/>
              </w:rPr>
            </w:pPr>
            <w:r w:rsidRPr="00E33174">
              <w:t xml:space="preserve">low impact/consequence/likelihood </w:t>
            </w:r>
          </w:p>
        </w:tc>
      </w:tr>
      <w:tr w:rsidTr="00A222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rPr>
                <w:rStyle w:val="SpecialBold"/>
              </w:rPr>
              <w:t xml:space="preserve">Risk </w:t>
            </w:r>
            <w:r w:rsidRPr="00E33174">
              <w:rPr>
                <w:rStyle w:val="SpecialBold"/>
              </w:rPr>
              <w:t>management is</w:t>
            </w:r>
          </w:p>
        </w:tc>
        <w:tc>
          <w:tcPr>
            <w:tcW w:w="4500" w:type="dxa"/>
            <w:tcBorders>
              <w:top w:val="nil"/>
              <w:left w:val="nil"/>
              <w:bottom w:val="nil"/>
              <w:right w:val="nil"/>
            </w:tcBorders>
            <w:tcMar>
              <w:top w:w="0" w:type="dxa"/>
              <w:left w:w="62" w:type="dxa"/>
              <w:bottom w:w="0" w:type="dxa"/>
              <w:right w:w="62" w:type="dxa"/>
            </w:tcMar>
          </w:tcPr>
          <w:p w:rsidR="00000000" w:rsidRPr="00E33174" w:rsidP="00E33174">
            <w:pPr>
              <w:pStyle w:val="BodyText"/>
            </w:pPr>
            <w:r w:rsidRPr="00E33174">
              <w:t>a logical and systematic process of identifying, analysing, assessing, treating, and monitoring risks related with any strategy, plan, process, program or procedure that will enable the organisation to minimise losses and maximise opportuniti</w:t>
            </w:r>
            <w:r w:rsidRPr="00E33174">
              <w:t>es</w:t>
            </w:r>
          </w:p>
          <w:p w:rsidR="00000000" w:rsidRPr="00E33174" w:rsidP="00E33174">
            <w:pPr>
              <w:pStyle w:val="BodyText"/>
            </w:pPr>
            <w:r w:rsidRPr="00E33174">
              <w:t xml:space="preserve">often considered in relation to an organisation's:   </w:t>
            </w:r>
          </w:p>
          <w:p w:rsidR="00000000" w:rsidRPr="00E33174" w:rsidP="00E33174">
            <w:pPr>
              <w:pStyle w:val="BodyText"/>
            </w:pPr>
            <w:r w:rsidRPr="00E33174">
              <w:t>people</w:t>
            </w:r>
          </w:p>
          <w:p w:rsidR="00000000" w:rsidRPr="00E33174" w:rsidP="00E33174">
            <w:pPr>
              <w:pStyle w:val="BodyText"/>
            </w:pPr>
            <w:r w:rsidRPr="00E33174">
              <w:t>assets and physical environment</w:t>
            </w:r>
          </w:p>
          <w:p w:rsidR="00000000" w:rsidRPr="00E33174" w:rsidP="00E33174">
            <w:pPr>
              <w:pStyle w:val="BodyText"/>
            </w:pPr>
            <w:r w:rsidRPr="00E33174">
              <w:t>reputation and image</w:t>
            </w:r>
          </w:p>
          <w:p w:rsidR="00000000" w:rsidRPr="00E33174" w:rsidP="00E33174">
            <w:pPr>
              <w:pStyle w:val="BodyText"/>
            </w:pPr>
            <w:r w:rsidRPr="00E33174">
              <w:t>legal issues</w:t>
            </w:r>
          </w:p>
          <w:p w:rsidR="00000000" w:rsidRPr="00E33174" w:rsidP="00E33174">
            <w:pPr>
              <w:pStyle w:val="BodyText"/>
            </w:pPr>
            <w:r w:rsidRPr="00E33174">
              <w:t>business continuity</w:t>
            </w:r>
          </w:p>
          <w:p w:rsidR="00000000" w:rsidRPr="00E33174" w:rsidP="00E33174">
            <w:pPr>
              <w:pStyle w:val="BodyText"/>
            </w:pPr>
            <w:r w:rsidRPr="00E33174">
              <w:t>finances</w:t>
            </w:r>
          </w:p>
          <w:p w:rsidR="00000000" w:rsidP="00E33174">
            <w:pPr>
              <w:pStyle w:val="BodyText"/>
              <w:rPr>
                <w:lang w:val="en-NZ"/>
              </w:rPr>
            </w:pPr>
            <w:r w:rsidRPr="00E33174">
              <w:t xml:space="preserve">stated outcomes </w:t>
            </w:r>
          </w:p>
        </w:tc>
      </w:tr>
      <w:tr w:rsidTr="00A2226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3174">
            <w:pPr>
              <w:pStyle w:val="BodyText"/>
              <w:rPr>
                <w:lang w:val="en-NZ"/>
              </w:rPr>
            </w:pPr>
            <w:r w:rsidRPr="00E33174">
              <w:rPr>
                <w:rStyle w:val="SpecialBold"/>
              </w:rPr>
              <w:t>Risk controls may include</w:t>
            </w:r>
          </w:p>
        </w:tc>
        <w:tc>
          <w:tcPr>
            <w:tcW w:w="4500" w:type="dxa"/>
            <w:tcBorders>
              <w:top w:val="nil"/>
              <w:left w:val="nil"/>
              <w:bottom w:val="nil"/>
              <w:right w:val="nil"/>
            </w:tcBorders>
            <w:tcMar>
              <w:top w:w="0" w:type="dxa"/>
              <w:left w:w="62" w:type="dxa"/>
              <w:bottom w:w="0" w:type="dxa"/>
              <w:right w:w="62" w:type="dxa"/>
            </w:tcMar>
          </w:tcPr>
          <w:p w:rsidR="00000000" w:rsidRPr="00E33174" w:rsidP="00E33174">
            <w:pPr>
              <w:pStyle w:val="BodyText"/>
            </w:pPr>
            <w:r w:rsidRPr="00E33174">
              <w:t>hierarchy of controls</w:t>
            </w:r>
          </w:p>
          <w:p w:rsidR="00000000" w:rsidRPr="00E33174" w:rsidP="00E33174">
            <w:pPr>
              <w:pStyle w:val="BodyText"/>
            </w:pPr>
            <w:r w:rsidRPr="00E33174">
              <w:t>aversion</w:t>
            </w:r>
          </w:p>
          <w:p w:rsidR="00000000" w:rsidRPr="00E33174" w:rsidP="00E33174">
            <w:pPr>
              <w:pStyle w:val="BodyText"/>
            </w:pPr>
            <w:r w:rsidRPr="00E33174">
              <w:t>risk mitigation</w:t>
            </w:r>
          </w:p>
          <w:p w:rsidR="00000000" w:rsidRPr="00E33174" w:rsidP="00E33174">
            <w:pPr>
              <w:pStyle w:val="BodyText"/>
            </w:pPr>
            <w:r w:rsidRPr="00E33174">
              <w:t>reduction in likelihood</w:t>
            </w:r>
          </w:p>
          <w:p w:rsidR="00000000" w:rsidRPr="00E33174" w:rsidP="00E33174">
            <w:pPr>
              <w:pStyle w:val="BodyText"/>
            </w:pPr>
            <w:r w:rsidRPr="00E33174">
              <w:t>reduction of consequences</w:t>
            </w:r>
          </w:p>
          <w:p w:rsidR="00000000" w:rsidRPr="00E33174" w:rsidP="00E33174">
            <w:pPr>
              <w:pStyle w:val="BodyText"/>
            </w:pPr>
            <w:r w:rsidRPr="00E33174">
              <w:t>transfer of responsibility</w:t>
            </w:r>
          </w:p>
          <w:p w:rsidR="00000000" w:rsidRPr="00E33174" w:rsidP="00E33174">
            <w:pPr>
              <w:pStyle w:val="BodyText"/>
            </w:pPr>
            <w:r w:rsidRPr="00E33174">
              <w:t xml:space="preserve">retention </w:t>
            </w:r>
          </w:p>
        </w:tc>
      </w:tr>
    </w:tbl>
    <w:p w:rsidR="00000000" w:rsidRPr="00E33174" w:rsidP="00E33174">
      <w:pPr>
        <w:pStyle w:val="BodyText"/>
      </w:pPr>
    </w:p>
    <w:p w:rsidR="00000000" w:rsidRPr="00E33174" w:rsidP="00E33174">
      <w:pPr>
        <w:pStyle w:val="AllowPageBreak"/>
      </w:pPr>
    </w:p>
    <w:p w:rsidR="00000000" w:rsidRPr="00E33174" w:rsidP="00E33174">
      <w:pPr>
        <w:pStyle w:val="Heading1"/>
      </w:pPr>
      <w:bookmarkStart w:id="12" w:name="O_312442"/>
      <w:bookmarkEnd w:id="12"/>
      <w:r w:rsidRPr="00E33174">
        <w:t>Unit Sector(s)</w:t>
      </w:r>
    </w:p>
    <w:p w:rsidR="00000000" w:rsidRPr="00E33174" w:rsidP="00E33174">
      <w:pPr>
        <w:pStyle w:val="Heading1"/>
      </w:pPr>
      <w:bookmarkStart w:id="13" w:name="O_312441"/>
      <w:bookmarkEnd w:id="13"/>
      <w:r w:rsidRPr="00E33174">
        <w:t>Competency field</w:t>
      </w:r>
    </w:p>
    <w:p w:rsidR="00000000" w:rsidRPr="00E33174" w:rsidP="00E33174">
      <w:pPr>
        <w:pStyle w:val="BodyText"/>
      </w:pPr>
      <w:r w:rsidRPr="00E33174">
        <w:t>Procurement&amp;Contract Management</w:t>
      </w:r>
    </w:p>
    <w:p w:rsidR="00000000" w:rsidRPr="00E33174" w:rsidP="00E33174"/>
    <w:sectPr w:rsidSect="00E331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1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226E" w:rsidP="00A222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1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26E" w:rsidP="00E331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2226E" w:rsidP="00E331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2226E" w:rsidP="00E331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1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226E" w:rsidP="00A2226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1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26E" w:rsidP="00E33174">
    <w:pPr>
      <w:pStyle w:val="Header"/>
      <w:framePr w:wrap="around"/>
    </w:pPr>
    <w:r>
      <w:fldChar w:fldCharType="begin"/>
    </w:r>
    <w:r>
      <w:instrText xml:space="preserve"> TITLE   \* MERGEFORMAT </w:instrText>
    </w:r>
    <w:r>
      <w:fldChar w:fldCharType="separate"/>
    </w:r>
    <w:r>
      <w:t>PSPPROC501A Manage contract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2226E" w:rsidP="00E331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1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3174"/>
    <w:pPr>
      <w:spacing w:before="360" w:after="60"/>
      <w:outlineLvl w:val="0"/>
    </w:pPr>
    <w:rPr>
      <w:sz w:val="32"/>
    </w:rPr>
  </w:style>
  <w:style w:type="paragraph" w:styleId="Heading2">
    <w:name w:val="heading 2"/>
    <w:basedOn w:val="HeadingBase"/>
    <w:next w:val="BodyText"/>
    <w:link w:val="Heading2Char"/>
    <w:qFormat/>
    <w:rsid w:val="00E33174"/>
    <w:pPr>
      <w:keepLines/>
      <w:spacing w:before="240" w:after="120"/>
      <w:outlineLvl w:val="1"/>
    </w:pPr>
    <w:rPr>
      <w:sz w:val="28"/>
      <w:szCs w:val="40"/>
    </w:rPr>
  </w:style>
  <w:style w:type="paragraph" w:styleId="Heading3">
    <w:name w:val="heading 3"/>
    <w:basedOn w:val="HeadingBase"/>
    <w:next w:val="BodyText"/>
    <w:link w:val="Heading3Char"/>
    <w:qFormat/>
    <w:rsid w:val="00E33174"/>
    <w:pPr>
      <w:spacing w:before="180" w:after="120"/>
      <w:outlineLvl w:val="2"/>
    </w:pPr>
    <w:rPr>
      <w:spacing w:val="-10"/>
      <w:kern w:val="32"/>
    </w:rPr>
  </w:style>
  <w:style w:type="paragraph" w:styleId="Heading4">
    <w:name w:val="heading 4"/>
    <w:basedOn w:val="HeadingBase"/>
    <w:next w:val="BodyText"/>
    <w:link w:val="Heading4Char"/>
    <w:qFormat/>
    <w:rsid w:val="00E33174"/>
    <w:pPr>
      <w:spacing w:before="160" w:after="120"/>
      <w:outlineLvl w:val="3"/>
    </w:pPr>
    <w:rPr>
      <w:sz w:val="22"/>
    </w:rPr>
  </w:style>
  <w:style w:type="paragraph" w:styleId="Heading5">
    <w:name w:val="heading 5"/>
    <w:basedOn w:val="HeadingBase"/>
    <w:next w:val="Normal"/>
    <w:link w:val="Heading5Char"/>
    <w:qFormat/>
    <w:rsid w:val="00E33174"/>
    <w:pPr>
      <w:spacing w:before="80"/>
      <w:outlineLvl w:val="4"/>
    </w:pPr>
    <w:rPr>
      <w:color w:val="918585"/>
      <w:sz w:val="20"/>
    </w:rPr>
  </w:style>
  <w:style w:type="paragraph" w:styleId="Heading6">
    <w:name w:val="heading 6"/>
    <w:basedOn w:val="HeadingBase"/>
    <w:next w:val="Normal"/>
    <w:link w:val="Heading6Char"/>
    <w:qFormat/>
    <w:rsid w:val="00E33174"/>
    <w:pPr>
      <w:spacing w:before="60"/>
      <w:outlineLvl w:val="5"/>
    </w:pPr>
    <w:rPr>
      <w:color w:val="918585"/>
      <w:sz w:val="20"/>
    </w:rPr>
  </w:style>
  <w:style w:type="paragraph" w:styleId="Heading7">
    <w:name w:val="heading 7"/>
    <w:basedOn w:val="Normal"/>
    <w:next w:val="Normal"/>
    <w:link w:val="Heading7Char"/>
    <w:qFormat/>
    <w:rsid w:val="00E33174"/>
    <w:pPr>
      <w:ind w:left="720"/>
      <w:outlineLvl w:val="6"/>
    </w:pPr>
    <w:rPr>
      <w:i/>
    </w:rPr>
  </w:style>
  <w:style w:type="paragraph" w:styleId="Heading8">
    <w:name w:val="heading 8"/>
    <w:basedOn w:val="Normal"/>
    <w:next w:val="Normal"/>
    <w:link w:val="Heading8Char"/>
    <w:qFormat/>
    <w:rsid w:val="00E33174"/>
    <w:pPr>
      <w:ind w:left="720"/>
      <w:outlineLvl w:val="7"/>
    </w:pPr>
    <w:rPr>
      <w:i/>
    </w:rPr>
  </w:style>
  <w:style w:type="paragraph" w:styleId="Heading9">
    <w:name w:val="heading 9"/>
    <w:basedOn w:val="Normal"/>
    <w:next w:val="Normal"/>
    <w:link w:val="Heading9Char"/>
    <w:qFormat/>
    <w:rsid w:val="00E33174"/>
    <w:pPr>
      <w:ind w:left="720"/>
      <w:outlineLvl w:val="8"/>
    </w:pPr>
    <w:rPr>
      <w:i/>
    </w:rPr>
  </w:style>
  <w:style w:type="character" w:default="1" w:styleId="DefaultParagraphFont">
    <w:name w:val="Default Paragraph Font"/>
    <w:uiPriority w:val="1"/>
    <w:unhideWhenUsed/>
    <w:rsid w:val="00E331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3174"/>
  </w:style>
  <w:style w:type="character" w:customStyle="1" w:styleId="Heading1Char">
    <w:name w:val="Heading 1 Char"/>
    <w:link w:val="Heading1"/>
    <w:rsid w:val="00E33174"/>
    <w:rPr>
      <w:rFonts w:ascii="Times New Roman" w:eastAsia="Times New Roman" w:hAnsi="Times New Roman" w:cs="Times New Roman"/>
      <w:b/>
      <w:sz w:val="32"/>
      <w:szCs w:val="20"/>
      <w:lang w:eastAsia="en-US"/>
    </w:rPr>
  </w:style>
  <w:style w:type="paragraph" w:styleId="BodyText">
    <w:name w:val="Body Text"/>
    <w:basedOn w:val="Normal"/>
    <w:link w:val="BodyTextChar"/>
    <w:rsid w:val="00E33174"/>
    <w:pPr>
      <w:spacing w:before="120" w:after="120"/>
      <w:contextualSpacing/>
    </w:pPr>
    <w:rPr>
      <w:rFonts w:ascii="Times New Roman" w:hAnsi="Times New Roman"/>
      <w:sz w:val="24"/>
      <w:szCs w:val="22"/>
    </w:rPr>
  </w:style>
  <w:style w:type="character" w:customStyle="1" w:styleId="BodyTextChar">
    <w:name w:val="Body Text Char"/>
    <w:link w:val="BodyText"/>
    <w:rsid w:val="00E33174"/>
    <w:rPr>
      <w:rFonts w:ascii="Times New Roman" w:eastAsia="Times New Roman" w:hAnsi="Times New Roman" w:cs="Times New Roman"/>
      <w:sz w:val="24"/>
      <w:lang w:val="en-US" w:eastAsia="en-US"/>
    </w:rPr>
  </w:style>
  <w:style w:type="paragraph" w:styleId="Footer">
    <w:name w:val="footer"/>
    <w:basedOn w:val="Normal"/>
    <w:link w:val="FooterChar"/>
    <w:rsid w:val="00E331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33174"/>
    <w:rPr>
      <w:rFonts w:ascii="Times New Roman" w:eastAsia="Times New Roman" w:hAnsi="Times New Roman" w:cs="Times New Roman"/>
      <w:sz w:val="16"/>
      <w:lang w:val="en-US" w:eastAsia="en-US"/>
    </w:rPr>
  </w:style>
  <w:style w:type="character" w:customStyle="1" w:styleId="SpecialBold">
    <w:name w:val="Special Bold"/>
    <w:rsid w:val="00E33174"/>
    <w:rPr>
      <w:b/>
      <w:spacing w:val="0"/>
    </w:rPr>
  </w:style>
  <w:style w:type="paragraph" w:styleId="Header">
    <w:name w:val="header"/>
    <w:basedOn w:val="Normal"/>
    <w:link w:val="HeaderChar"/>
    <w:rsid w:val="00E331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331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3174"/>
    <w:pPr>
      <w:spacing w:before="240" w:after="120"/>
      <w:outlineLvl w:val="0"/>
    </w:pPr>
    <w:rPr>
      <w:rFonts w:ascii="Times New Roman" w:hAnsi="Times New Roman"/>
      <w:b/>
      <w:sz w:val="28"/>
    </w:rPr>
  </w:style>
  <w:style w:type="paragraph" w:customStyle="1" w:styleId="AllowPageBreak">
    <w:name w:val="AllowPageBreak"/>
    <w:rsid w:val="00E331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33174"/>
    <w:rPr>
      <w:rFonts w:ascii="Times New Roman" w:eastAsia="Times New Roman" w:hAnsi="Times New Roman" w:cs="Times New Roman"/>
      <w:b/>
      <w:sz w:val="28"/>
      <w:szCs w:val="40"/>
      <w:lang w:eastAsia="en-US"/>
    </w:rPr>
  </w:style>
  <w:style w:type="character" w:customStyle="1" w:styleId="Heading3Char">
    <w:name w:val="Heading 3 Char"/>
    <w:link w:val="Heading3"/>
    <w:rsid w:val="00E3317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33174"/>
    <w:rPr>
      <w:rFonts w:ascii="Times New Roman" w:eastAsia="Times New Roman" w:hAnsi="Times New Roman" w:cs="Times New Roman"/>
      <w:b/>
      <w:szCs w:val="20"/>
      <w:lang w:eastAsia="en-US"/>
    </w:rPr>
  </w:style>
  <w:style w:type="character" w:customStyle="1" w:styleId="Heading5Char">
    <w:name w:val="Heading 5 Char"/>
    <w:link w:val="Heading5"/>
    <w:rsid w:val="00E3317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331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31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31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3174"/>
    <w:rPr>
      <w:rFonts w:ascii="Courier New" w:eastAsia="Times New Roman" w:hAnsi="Courier New" w:cs="Times New Roman"/>
      <w:i/>
      <w:szCs w:val="20"/>
      <w:lang w:val="en-US" w:eastAsia="en-US"/>
    </w:rPr>
  </w:style>
  <w:style w:type="paragraph" w:customStyle="1" w:styleId="HeadingBase">
    <w:name w:val="Heading Base"/>
    <w:rsid w:val="00E331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3174"/>
    <w:pPr>
      <w:tabs>
        <w:tab w:val="right" w:leader="dot" w:pos="9072"/>
      </w:tabs>
      <w:ind w:left="567"/>
    </w:pPr>
    <w:rPr>
      <w:szCs w:val="22"/>
    </w:rPr>
  </w:style>
  <w:style w:type="paragraph" w:customStyle="1" w:styleId="TOCBase">
    <w:name w:val="TOC Base"/>
    <w:rsid w:val="00E331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3174"/>
    <w:pPr>
      <w:tabs>
        <w:tab w:val="right" w:leader="dot" w:pos="9072"/>
      </w:tabs>
      <w:spacing w:before="40" w:after="40"/>
      <w:ind w:left="284"/>
    </w:pPr>
    <w:rPr>
      <w:rFonts w:ascii="Times New Roman" w:hAnsi="Times New Roman"/>
    </w:rPr>
  </w:style>
  <w:style w:type="paragraph" w:styleId="TOC1">
    <w:name w:val="toc 1"/>
    <w:basedOn w:val="TOCBase"/>
    <w:next w:val="Normal"/>
    <w:rsid w:val="00E331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3174"/>
    <w:pPr>
      <w:spacing w:before="5040"/>
      <w:jc w:val="center"/>
    </w:pPr>
    <w:rPr>
      <w:sz w:val="48"/>
      <w:szCs w:val="72"/>
      <w:lang w:val="en-US"/>
    </w:rPr>
  </w:style>
  <w:style w:type="character" w:customStyle="1" w:styleId="TitleChar">
    <w:name w:val="Title Char"/>
    <w:link w:val="Title"/>
    <w:rsid w:val="00E331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3174"/>
    <w:pPr>
      <w:tabs>
        <w:tab w:val="left" w:pos="3600"/>
        <w:tab w:val="left" w:pos="3958"/>
      </w:tabs>
    </w:pPr>
  </w:style>
  <w:style w:type="paragraph" w:styleId="List">
    <w:name w:val="List"/>
    <w:basedOn w:val="BodyText"/>
    <w:next w:val="BodyText"/>
    <w:rsid w:val="00E33174"/>
    <w:pPr>
      <w:tabs>
        <w:tab w:val="left" w:pos="340"/>
      </w:tabs>
      <w:spacing w:before="60" w:after="60"/>
      <w:ind w:left="340" w:hanging="340"/>
    </w:pPr>
  </w:style>
  <w:style w:type="paragraph" w:styleId="ListBullet">
    <w:name w:val="List Bullet"/>
    <w:basedOn w:val="List"/>
    <w:rsid w:val="00E33174"/>
    <w:pPr>
      <w:numPr>
        <w:numId w:val="11"/>
      </w:numPr>
      <w:tabs>
        <w:tab w:val="clear" w:pos="340"/>
      </w:tabs>
      <w:spacing w:before="40" w:after="40"/>
    </w:pPr>
  </w:style>
  <w:style w:type="paragraph" w:customStyle="1" w:styleId="Note">
    <w:name w:val="Note"/>
    <w:basedOn w:val="BodyText"/>
    <w:rsid w:val="00E331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3174"/>
    <w:pPr>
      <w:framePr w:wrap="auto" w:hAnchor="text" w:y="6049"/>
    </w:pPr>
    <w:rPr>
      <w:color w:val="000000"/>
      <w:sz w:val="40"/>
    </w:rPr>
  </w:style>
  <w:style w:type="paragraph" w:customStyle="1" w:styleId="TOCTitle">
    <w:name w:val="TOCTitle"/>
    <w:basedOn w:val="Heading1"/>
    <w:rsid w:val="00E33174"/>
    <w:pPr>
      <w:spacing w:after="240"/>
      <w:jc w:val="center"/>
      <w:outlineLvl w:val="9"/>
    </w:pPr>
    <w:rPr>
      <w:caps/>
    </w:rPr>
  </w:style>
  <w:style w:type="paragraph" w:customStyle="1" w:styleId="Version">
    <w:name w:val="Version"/>
    <w:rsid w:val="00E331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3174"/>
    <w:pPr>
      <w:numPr>
        <w:numId w:val="12"/>
      </w:numPr>
      <w:tabs>
        <w:tab w:val="clear" w:pos="680"/>
      </w:tabs>
    </w:pPr>
  </w:style>
  <w:style w:type="paragraph" w:styleId="Index1">
    <w:name w:val="index 1"/>
    <w:basedOn w:val="Normal"/>
    <w:next w:val="Normal"/>
    <w:semiHidden/>
    <w:rsid w:val="00E33174"/>
    <w:pPr>
      <w:keepNext w:val="0"/>
      <w:tabs>
        <w:tab w:val="right" w:pos="4176"/>
      </w:tabs>
      <w:ind w:left="198" w:hanging="198"/>
    </w:pPr>
    <w:rPr>
      <w:rFonts w:ascii="Garamond" w:hAnsi="Garamond"/>
    </w:rPr>
  </w:style>
  <w:style w:type="paragraph" w:styleId="IndexHeading">
    <w:name w:val="index heading"/>
    <w:basedOn w:val="Normal"/>
    <w:next w:val="Index1"/>
    <w:semiHidden/>
    <w:rsid w:val="00E33174"/>
    <w:pPr>
      <w:spacing w:before="120" w:after="120"/>
    </w:pPr>
    <w:rPr>
      <w:rFonts w:ascii="Arial" w:hAnsi="Arial"/>
      <w:b/>
      <w:color w:val="918585"/>
      <w:sz w:val="24"/>
    </w:rPr>
  </w:style>
  <w:style w:type="paragraph" w:customStyle="1" w:styleId="Chapter">
    <w:name w:val="Chapter"/>
    <w:basedOn w:val="Normal"/>
    <w:rsid w:val="00E33174"/>
    <w:pPr>
      <w:spacing w:before="240"/>
    </w:pPr>
    <w:rPr>
      <w:rFonts w:ascii="Times New Roman" w:hAnsi="Times New Roman"/>
      <w:smallCaps/>
      <w:spacing w:val="80"/>
      <w:sz w:val="28"/>
    </w:rPr>
  </w:style>
  <w:style w:type="paragraph" w:customStyle="1" w:styleId="InChapter">
    <w:name w:val="InChapter"/>
    <w:basedOn w:val="Heading3"/>
    <w:rsid w:val="00E33174"/>
    <w:pPr>
      <w:spacing w:after="240"/>
      <w:outlineLvl w:val="9"/>
    </w:pPr>
    <w:rPr>
      <w:noProof/>
    </w:rPr>
  </w:style>
  <w:style w:type="paragraph" w:styleId="Index2">
    <w:name w:val="index 2"/>
    <w:basedOn w:val="Normal"/>
    <w:next w:val="Normal"/>
    <w:semiHidden/>
    <w:rsid w:val="00E33174"/>
    <w:pPr>
      <w:tabs>
        <w:tab w:val="right" w:pos="4176"/>
      </w:tabs>
      <w:ind w:left="568" w:hanging="284"/>
    </w:pPr>
    <w:rPr>
      <w:rFonts w:ascii="Garamond" w:hAnsi="Garamond"/>
    </w:rPr>
  </w:style>
  <w:style w:type="paragraph" w:customStyle="1" w:styleId="Byline">
    <w:name w:val="Byline"/>
    <w:rsid w:val="00E331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3174"/>
    <w:pPr>
      <w:tabs>
        <w:tab w:val="clear" w:pos="3600"/>
        <w:tab w:val="clear" w:pos="3958"/>
      </w:tabs>
      <w:jc w:val="right"/>
    </w:pPr>
  </w:style>
  <w:style w:type="character" w:styleId="Emphasis">
    <w:name w:val="Emphasis"/>
    <w:qFormat/>
    <w:rsid w:val="00E33174"/>
    <w:rPr>
      <w:i/>
    </w:rPr>
  </w:style>
  <w:style w:type="paragraph" w:styleId="Caption">
    <w:name w:val="caption"/>
    <w:basedOn w:val="BodyText"/>
    <w:next w:val="Normal"/>
    <w:qFormat/>
    <w:rsid w:val="00E33174"/>
    <w:pPr>
      <w:framePr w:w="2268" w:hSpace="181" w:vSpace="181" w:wrap="around" w:vAnchor="text" w:hAnchor="page" w:x="1135" w:y="285" w:anchorLock="1"/>
    </w:pPr>
    <w:rPr>
      <w:i/>
    </w:rPr>
  </w:style>
  <w:style w:type="paragraph" w:customStyle="1" w:styleId="MiniTOCTitle">
    <w:name w:val="MiniTOCTitle"/>
    <w:basedOn w:val="Heading4"/>
    <w:rsid w:val="00E33174"/>
    <w:pPr>
      <w:spacing w:before="240"/>
      <w:outlineLvl w:val="9"/>
    </w:pPr>
    <w:rPr>
      <w:noProof/>
      <w:sz w:val="24"/>
    </w:rPr>
  </w:style>
  <w:style w:type="paragraph" w:customStyle="1" w:styleId="MiniTOCItem">
    <w:name w:val="MiniTOCItem"/>
    <w:basedOn w:val="ListBullet"/>
    <w:rsid w:val="00E33174"/>
    <w:pPr>
      <w:numPr>
        <w:numId w:val="0"/>
      </w:numPr>
      <w:tabs>
        <w:tab w:val="right" w:leader="dot" w:pos="6521"/>
      </w:tabs>
      <w:spacing w:before="0" w:after="0"/>
    </w:pPr>
  </w:style>
  <w:style w:type="paragraph" w:customStyle="1" w:styleId="TOFTitle">
    <w:name w:val="TOFTitle"/>
    <w:basedOn w:val="TOCTitle"/>
    <w:rsid w:val="00E33174"/>
  </w:style>
  <w:style w:type="paragraph" w:styleId="TableofFigures">
    <w:name w:val="table of figures"/>
    <w:basedOn w:val="Normal"/>
    <w:next w:val="Normal"/>
    <w:semiHidden/>
    <w:rsid w:val="00E33174"/>
    <w:pPr>
      <w:tabs>
        <w:tab w:val="right" w:leader="dot" w:pos="9072"/>
      </w:tabs>
      <w:ind w:left="970" w:hanging="403"/>
    </w:pPr>
    <w:rPr>
      <w:rFonts w:ascii="Times New Roman" w:hAnsi="Times New Roman"/>
      <w:b/>
    </w:rPr>
  </w:style>
  <w:style w:type="paragraph" w:styleId="ListNumber">
    <w:name w:val="List Number"/>
    <w:basedOn w:val="List"/>
    <w:rsid w:val="00E33174"/>
    <w:pPr>
      <w:numPr>
        <w:numId w:val="9"/>
      </w:numPr>
    </w:pPr>
  </w:style>
  <w:style w:type="character" w:customStyle="1" w:styleId="WingdingSymbols">
    <w:name w:val="Wingding Symbols"/>
    <w:rsid w:val="00E33174"/>
    <w:rPr>
      <w:rFonts w:ascii="Wingdings" w:hAnsi="Wingdings"/>
    </w:rPr>
  </w:style>
  <w:style w:type="paragraph" w:customStyle="1" w:styleId="TableHeading">
    <w:name w:val="Table Heading"/>
    <w:basedOn w:val="HeadingBase"/>
    <w:rsid w:val="00E33174"/>
    <w:pPr>
      <w:keepLines/>
      <w:pBdr>
        <w:bottom w:val="single" w:sz="6" w:space="1" w:color="918585"/>
      </w:pBdr>
      <w:spacing w:before="240"/>
    </w:pPr>
  </w:style>
  <w:style w:type="character" w:customStyle="1" w:styleId="HotSpot">
    <w:name w:val="HotSpot"/>
    <w:rsid w:val="00E33174"/>
    <w:rPr>
      <w:color w:val="0033CC"/>
      <w:u w:val="none"/>
    </w:rPr>
  </w:style>
  <w:style w:type="paragraph" w:customStyle="1" w:styleId="BodyTextRight">
    <w:name w:val="Body Text Right"/>
    <w:basedOn w:val="BodyText"/>
    <w:rsid w:val="00E33174"/>
    <w:pPr>
      <w:spacing w:before="0" w:after="0"/>
      <w:jc w:val="right"/>
    </w:pPr>
  </w:style>
  <w:style w:type="paragraph" w:styleId="Index3">
    <w:name w:val="index 3"/>
    <w:basedOn w:val="ListNumber2"/>
    <w:next w:val="Normal"/>
    <w:semiHidden/>
    <w:rsid w:val="00E33174"/>
    <w:pPr>
      <w:numPr>
        <w:numId w:val="0"/>
      </w:numPr>
      <w:tabs>
        <w:tab w:val="right" w:leader="dot" w:pos="4176"/>
      </w:tabs>
    </w:pPr>
  </w:style>
  <w:style w:type="paragraph" w:styleId="ListNumber2">
    <w:name w:val="List Number 2"/>
    <w:basedOn w:val="List2"/>
    <w:rsid w:val="00E33174"/>
    <w:pPr>
      <w:numPr>
        <w:numId w:val="8"/>
      </w:numPr>
      <w:tabs>
        <w:tab w:val="clear" w:pos="1060"/>
      </w:tabs>
    </w:pPr>
  </w:style>
  <w:style w:type="paragraph" w:customStyle="1" w:styleId="MarginNote">
    <w:name w:val="Margin Note"/>
    <w:basedOn w:val="BodyText"/>
    <w:rsid w:val="00E331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31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331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3174"/>
    <w:rPr>
      <w:sz w:val="32"/>
    </w:rPr>
  </w:style>
  <w:style w:type="paragraph" w:customStyle="1" w:styleId="HeadingProcedure">
    <w:name w:val="Heading Procedure"/>
    <w:basedOn w:val="HeadingBase"/>
    <w:next w:val="Normal"/>
    <w:rsid w:val="00E33174"/>
    <w:pPr>
      <w:tabs>
        <w:tab w:val="left" w:pos="0"/>
      </w:tabs>
      <w:spacing w:before="120" w:after="60"/>
    </w:pPr>
    <w:rPr>
      <w:i/>
      <w:color w:val="918585"/>
      <w:sz w:val="22"/>
    </w:rPr>
  </w:style>
  <w:style w:type="paragraph" w:customStyle="1" w:styleId="TableBodyText">
    <w:name w:val="Table Body Text"/>
    <w:basedOn w:val="BodyText"/>
    <w:rsid w:val="00E33174"/>
    <w:pPr>
      <w:spacing w:before="60" w:after="60"/>
    </w:pPr>
  </w:style>
  <w:style w:type="paragraph" w:styleId="ListContinue">
    <w:name w:val="List Continue"/>
    <w:basedOn w:val="List"/>
    <w:rsid w:val="00E33174"/>
    <w:pPr>
      <w:ind w:firstLine="0"/>
    </w:pPr>
  </w:style>
  <w:style w:type="paragraph" w:customStyle="1" w:styleId="ListNote">
    <w:name w:val="List Note"/>
    <w:basedOn w:val="List"/>
    <w:rsid w:val="00E33174"/>
    <w:pPr>
      <w:pBdr>
        <w:top w:val="single" w:sz="6" w:space="2" w:color="918585"/>
        <w:bottom w:val="single" w:sz="6" w:space="2" w:color="918585"/>
      </w:pBdr>
      <w:tabs>
        <w:tab w:val="left" w:pos="1021"/>
      </w:tabs>
      <w:ind w:firstLine="0"/>
    </w:pPr>
  </w:style>
  <w:style w:type="paragraph" w:customStyle="1" w:styleId="Warning">
    <w:name w:val="Warning"/>
    <w:basedOn w:val="BodyText"/>
    <w:rsid w:val="00E33174"/>
    <w:pPr>
      <w:shd w:val="clear" w:color="auto" w:fill="D9D9D9"/>
      <w:tabs>
        <w:tab w:val="left" w:pos="992"/>
      </w:tabs>
      <w:ind w:left="119" w:right="119"/>
    </w:pPr>
    <w:rPr>
      <w:sz w:val="20"/>
    </w:rPr>
  </w:style>
  <w:style w:type="paragraph" w:customStyle="1" w:styleId="MarginIcons">
    <w:name w:val="Margin Icons"/>
    <w:basedOn w:val="BodyText"/>
    <w:rsid w:val="00E3317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33174"/>
    <w:rPr>
      <w:rFonts w:ascii="Courier New" w:hAnsi="Courier New"/>
    </w:rPr>
  </w:style>
  <w:style w:type="paragraph" w:customStyle="1" w:styleId="NoteBullet">
    <w:name w:val="Note Bullet"/>
    <w:basedOn w:val="Note"/>
    <w:rsid w:val="00E33174"/>
    <w:pPr>
      <w:tabs>
        <w:tab w:val="clear" w:pos="680"/>
      </w:tabs>
      <w:spacing w:before="60" w:after="60"/>
    </w:pPr>
  </w:style>
  <w:style w:type="paragraph" w:customStyle="1" w:styleId="SubHeading2">
    <w:name w:val="SubHeading2"/>
    <w:basedOn w:val="HeadingBase"/>
    <w:rsid w:val="00E33174"/>
    <w:pPr>
      <w:spacing w:before="240" w:after="60"/>
    </w:pPr>
    <w:rPr>
      <w:sz w:val="20"/>
    </w:rPr>
  </w:style>
  <w:style w:type="paragraph" w:customStyle="1" w:styleId="SubHeading1">
    <w:name w:val="SubHeading1"/>
    <w:basedOn w:val="HeadingBase"/>
    <w:rsid w:val="00E33174"/>
    <w:pPr>
      <w:spacing w:before="240" w:after="60"/>
    </w:pPr>
    <w:rPr>
      <w:color w:val="918585"/>
      <w:sz w:val="22"/>
    </w:rPr>
  </w:style>
  <w:style w:type="paragraph" w:customStyle="1" w:styleId="SideHeading">
    <w:name w:val="Side Heading"/>
    <w:basedOn w:val="HeadingBase"/>
    <w:rsid w:val="00E331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3174"/>
    <w:pPr>
      <w:numPr>
        <w:numId w:val="10"/>
      </w:numPr>
    </w:pPr>
  </w:style>
  <w:style w:type="paragraph" w:styleId="PlainText">
    <w:name w:val="Plain Text"/>
    <w:basedOn w:val="Normal"/>
    <w:link w:val="PlainTextChar"/>
    <w:rsid w:val="00E33174"/>
    <w:rPr>
      <w:sz w:val="20"/>
    </w:rPr>
  </w:style>
  <w:style w:type="character" w:customStyle="1" w:styleId="PlainTextChar">
    <w:name w:val="Plain Text Char"/>
    <w:basedOn w:val="DefaultParagraphFont"/>
    <w:link w:val="PlainText"/>
    <w:rsid w:val="00E33174"/>
    <w:rPr>
      <w:rFonts w:ascii="Courier New" w:eastAsia="Times New Roman" w:hAnsi="Courier New" w:cs="Times New Roman"/>
      <w:sz w:val="20"/>
      <w:szCs w:val="20"/>
      <w:lang w:val="en-US" w:eastAsia="en-US"/>
    </w:rPr>
  </w:style>
  <w:style w:type="character" w:customStyle="1" w:styleId="MenuOption">
    <w:name w:val="Menu Option"/>
    <w:rsid w:val="00E33174"/>
    <w:rPr>
      <w:b/>
      <w:smallCaps/>
    </w:rPr>
  </w:style>
  <w:style w:type="paragraph" w:customStyle="1" w:styleId="TableListNumber">
    <w:name w:val="Table List Number"/>
    <w:basedOn w:val="ListNumber"/>
    <w:rsid w:val="00E33174"/>
    <w:pPr>
      <w:numPr>
        <w:numId w:val="0"/>
      </w:numPr>
    </w:pPr>
  </w:style>
  <w:style w:type="paragraph" w:styleId="TOC4">
    <w:name w:val="toc 4"/>
    <w:basedOn w:val="TOCBase"/>
    <w:next w:val="Normal"/>
    <w:semiHidden/>
    <w:rsid w:val="00E33174"/>
    <w:pPr>
      <w:tabs>
        <w:tab w:val="right" w:leader="dot" w:pos="9071"/>
      </w:tabs>
      <w:ind w:left="1701"/>
    </w:pPr>
  </w:style>
  <w:style w:type="paragraph" w:customStyle="1" w:styleId="ListAlpha">
    <w:name w:val="List Alpha"/>
    <w:basedOn w:val="List"/>
    <w:rsid w:val="00E33174"/>
    <w:pPr>
      <w:numPr>
        <w:numId w:val="7"/>
      </w:numPr>
    </w:pPr>
  </w:style>
  <w:style w:type="paragraph" w:customStyle="1" w:styleId="ListAlpha2">
    <w:name w:val="List Alpha 2"/>
    <w:basedOn w:val="List2"/>
    <w:rsid w:val="00E33174"/>
    <w:pPr>
      <w:numPr>
        <w:numId w:val="6"/>
      </w:numPr>
    </w:pPr>
  </w:style>
  <w:style w:type="paragraph" w:styleId="List2">
    <w:name w:val="List 2"/>
    <w:basedOn w:val="BodyText"/>
    <w:rsid w:val="00E33174"/>
    <w:pPr>
      <w:tabs>
        <w:tab w:val="left" w:pos="680"/>
      </w:tabs>
      <w:spacing w:before="60" w:after="60"/>
      <w:ind w:left="680" w:hanging="340"/>
    </w:pPr>
  </w:style>
  <w:style w:type="paragraph" w:styleId="List3">
    <w:name w:val="List 3"/>
    <w:basedOn w:val="BodyText"/>
    <w:rsid w:val="00E33174"/>
    <w:pPr>
      <w:tabs>
        <w:tab w:val="left" w:pos="1021"/>
      </w:tabs>
      <w:spacing w:before="60" w:after="60"/>
      <w:ind w:left="1020" w:hanging="340"/>
    </w:pPr>
  </w:style>
  <w:style w:type="paragraph" w:styleId="List4">
    <w:name w:val="List 4"/>
    <w:basedOn w:val="BodyText"/>
    <w:rsid w:val="00E33174"/>
    <w:pPr>
      <w:tabs>
        <w:tab w:val="left" w:pos="1361"/>
      </w:tabs>
      <w:spacing w:before="60" w:after="60"/>
      <w:ind w:left="1361" w:hanging="340"/>
    </w:pPr>
  </w:style>
  <w:style w:type="paragraph" w:styleId="List5">
    <w:name w:val="List 5"/>
    <w:basedOn w:val="BodyText"/>
    <w:rsid w:val="00E33174"/>
    <w:pPr>
      <w:tabs>
        <w:tab w:val="left" w:pos="1701"/>
      </w:tabs>
      <w:spacing w:before="60" w:after="60"/>
      <w:ind w:left="1701" w:hanging="340"/>
    </w:pPr>
  </w:style>
  <w:style w:type="paragraph" w:styleId="ListBullet3">
    <w:name w:val="List Bullet 3"/>
    <w:basedOn w:val="List3"/>
    <w:rsid w:val="00E33174"/>
    <w:pPr>
      <w:numPr>
        <w:numId w:val="13"/>
      </w:numPr>
      <w:tabs>
        <w:tab w:val="clear" w:pos="1021"/>
      </w:tabs>
      <w:ind w:left="1037" w:hanging="357"/>
    </w:pPr>
  </w:style>
  <w:style w:type="paragraph" w:styleId="ListBullet4">
    <w:name w:val="List Bullet 4"/>
    <w:basedOn w:val="List4"/>
    <w:rsid w:val="00E33174"/>
    <w:pPr>
      <w:numPr>
        <w:numId w:val="1"/>
      </w:numPr>
    </w:pPr>
  </w:style>
  <w:style w:type="paragraph" w:styleId="ListBullet5">
    <w:name w:val="List Bullet 5"/>
    <w:basedOn w:val="List5"/>
    <w:rsid w:val="00E33174"/>
    <w:pPr>
      <w:numPr>
        <w:numId w:val="2"/>
      </w:numPr>
    </w:pPr>
  </w:style>
  <w:style w:type="paragraph" w:styleId="ListContinue2">
    <w:name w:val="List Continue 2"/>
    <w:basedOn w:val="List2"/>
    <w:rsid w:val="00E33174"/>
    <w:pPr>
      <w:ind w:firstLine="0"/>
    </w:pPr>
  </w:style>
  <w:style w:type="paragraph" w:styleId="ListContinue3">
    <w:name w:val="List Continue 3"/>
    <w:basedOn w:val="List3"/>
    <w:rsid w:val="00E33174"/>
    <w:pPr>
      <w:ind w:left="1021" w:firstLine="0"/>
    </w:pPr>
  </w:style>
  <w:style w:type="paragraph" w:styleId="ListContinue4">
    <w:name w:val="List Continue 4"/>
    <w:basedOn w:val="List4"/>
    <w:rsid w:val="00E33174"/>
    <w:pPr>
      <w:ind w:firstLine="0"/>
    </w:pPr>
  </w:style>
  <w:style w:type="paragraph" w:styleId="ListContinue5">
    <w:name w:val="List Continue 5"/>
    <w:basedOn w:val="List5"/>
    <w:rsid w:val="00E33174"/>
    <w:pPr>
      <w:ind w:firstLine="0"/>
    </w:pPr>
  </w:style>
  <w:style w:type="paragraph" w:styleId="ListNumber3">
    <w:name w:val="List Number 3"/>
    <w:basedOn w:val="List3"/>
    <w:rsid w:val="00E33174"/>
    <w:pPr>
      <w:numPr>
        <w:numId w:val="3"/>
      </w:numPr>
    </w:pPr>
  </w:style>
  <w:style w:type="paragraph" w:styleId="ListNumber4">
    <w:name w:val="List Number 4"/>
    <w:basedOn w:val="List4"/>
    <w:rsid w:val="00E33174"/>
    <w:pPr>
      <w:numPr>
        <w:numId w:val="4"/>
      </w:numPr>
    </w:pPr>
  </w:style>
  <w:style w:type="paragraph" w:styleId="ListNumber5">
    <w:name w:val="List Number 5"/>
    <w:basedOn w:val="List5"/>
    <w:rsid w:val="00E33174"/>
    <w:pPr>
      <w:numPr>
        <w:numId w:val="5"/>
      </w:numPr>
    </w:pPr>
  </w:style>
  <w:style w:type="paragraph" w:styleId="BlockText">
    <w:name w:val="Block Text"/>
    <w:basedOn w:val="Normal"/>
    <w:rsid w:val="00E33174"/>
    <w:pPr>
      <w:spacing w:after="120"/>
      <w:ind w:left="1440" w:right="1440"/>
    </w:pPr>
  </w:style>
  <w:style w:type="character" w:customStyle="1" w:styleId="Subscript">
    <w:name w:val="Subscript"/>
    <w:rsid w:val="00E33174"/>
    <w:rPr>
      <w:sz w:val="16"/>
      <w:vertAlign w:val="subscript"/>
    </w:rPr>
  </w:style>
  <w:style w:type="character" w:customStyle="1" w:styleId="Superscript">
    <w:name w:val="Superscript"/>
    <w:rsid w:val="00E33174"/>
    <w:rPr>
      <w:sz w:val="16"/>
      <w:vertAlign w:val="superscript"/>
    </w:rPr>
  </w:style>
  <w:style w:type="character" w:customStyle="1" w:styleId="Symbols">
    <w:name w:val="Symbols"/>
    <w:rsid w:val="00E33174"/>
    <w:rPr>
      <w:rFonts w:ascii="Symbol" w:hAnsi="Symbol"/>
    </w:rPr>
  </w:style>
  <w:style w:type="character" w:customStyle="1" w:styleId="MenuOptions">
    <w:name w:val="Menu Options"/>
    <w:rsid w:val="00E33174"/>
    <w:rPr>
      <w:rFonts w:ascii="Arial Narrow" w:hAnsi="Arial Narrow"/>
      <w:smallCaps/>
    </w:rPr>
  </w:style>
  <w:style w:type="character" w:customStyle="1" w:styleId="Buttons">
    <w:name w:val="Buttons"/>
    <w:rsid w:val="00E33174"/>
    <w:rPr>
      <w:b/>
    </w:rPr>
  </w:style>
  <w:style w:type="character" w:customStyle="1" w:styleId="Underlined">
    <w:name w:val="Underlined"/>
    <w:rsid w:val="00E33174"/>
    <w:rPr>
      <w:u w:val="single"/>
    </w:rPr>
  </w:style>
  <w:style w:type="paragraph" w:customStyle="1" w:styleId="TableBodyTextRight">
    <w:name w:val="Table Body Text Right"/>
    <w:basedOn w:val="TableBodyText"/>
    <w:rsid w:val="00E33174"/>
    <w:pPr>
      <w:widowControl w:val="0"/>
      <w:autoSpaceDE w:val="0"/>
      <w:autoSpaceDN w:val="0"/>
      <w:adjustRightInd w:val="0"/>
      <w:jc w:val="right"/>
    </w:pPr>
    <w:rPr>
      <w:rFonts w:cs="Arial"/>
      <w:szCs w:val="18"/>
    </w:rPr>
  </w:style>
  <w:style w:type="paragraph" w:customStyle="1" w:styleId="CopyrightText">
    <w:name w:val="Copyright Text"/>
    <w:basedOn w:val="BodyText"/>
    <w:rsid w:val="00E33174"/>
    <w:rPr>
      <w:sz w:val="18"/>
    </w:rPr>
  </w:style>
  <w:style w:type="paragraph" w:customStyle="1" w:styleId="BodySmallRight">
    <w:name w:val="Body Small Right"/>
    <w:basedOn w:val="BodyTextRight"/>
    <w:rsid w:val="00E33174"/>
    <w:rPr>
      <w:sz w:val="18"/>
      <w:szCs w:val="18"/>
    </w:rPr>
  </w:style>
  <w:style w:type="paragraph" w:customStyle="1" w:styleId="MarginEdition">
    <w:name w:val="Margin Edition"/>
    <w:basedOn w:val="MarginNote"/>
    <w:rsid w:val="00E33174"/>
    <w:pPr>
      <w:spacing w:before="0" w:after="0"/>
    </w:pPr>
    <w:rPr>
      <w:rFonts w:ascii="Times New Roman" w:hAnsi="Times New Roman"/>
      <w:color w:val="999999"/>
    </w:rPr>
  </w:style>
  <w:style w:type="paragraph" w:customStyle="1" w:styleId="Spacer">
    <w:name w:val="Spacer"/>
    <w:basedOn w:val="Normal"/>
    <w:rsid w:val="00E33174"/>
    <w:rPr>
      <w:sz w:val="2"/>
      <w:szCs w:val="2"/>
    </w:rPr>
  </w:style>
  <w:style w:type="character" w:customStyle="1" w:styleId="Small">
    <w:name w:val="Small"/>
    <w:rsid w:val="00E33174"/>
    <w:rPr>
      <w:sz w:val="16"/>
    </w:rPr>
  </w:style>
  <w:style w:type="paragraph" w:customStyle="1" w:styleId="WideTable">
    <w:name w:val="Wide Table"/>
    <w:basedOn w:val="Normal"/>
    <w:rsid w:val="00E33174"/>
    <w:pPr>
      <w:ind w:left="-1418"/>
    </w:pPr>
    <w:rPr>
      <w:sz w:val="2"/>
      <w:szCs w:val="2"/>
    </w:rPr>
  </w:style>
  <w:style w:type="character" w:styleId="PageNumber">
    <w:name w:val="page number"/>
    <w:rsid w:val="00E33174"/>
  </w:style>
  <w:style w:type="paragraph" w:styleId="Quote">
    <w:name w:val="Quote"/>
    <w:basedOn w:val="Heading1"/>
    <w:link w:val="QuoteChar"/>
    <w:qFormat/>
    <w:rsid w:val="00E33174"/>
    <w:rPr>
      <w:b w:val="0"/>
      <w:sz w:val="72"/>
      <w:szCs w:val="72"/>
      <w:lang w:val="en-NZ"/>
    </w:rPr>
  </w:style>
  <w:style w:type="character" w:customStyle="1" w:styleId="QuoteChar">
    <w:name w:val="Quote Char"/>
    <w:link w:val="Quote"/>
    <w:rsid w:val="00E331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3174"/>
    <w:pPr>
      <w:pageBreakBefore/>
    </w:pPr>
  </w:style>
  <w:style w:type="paragraph" w:customStyle="1" w:styleId="Border">
    <w:name w:val="Border"/>
    <w:basedOn w:val="Normal"/>
    <w:qFormat/>
    <w:rsid w:val="00E33174"/>
    <w:pPr>
      <w:pBdr>
        <w:top w:val="single" w:sz="18" w:space="1" w:color="auto"/>
      </w:pBdr>
    </w:pPr>
    <w:rPr>
      <w:rFonts w:ascii="Times New Roman" w:hAnsi="Times New Roman"/>
      <w:color w:val="FFFFFF"/>
      <w:sz w:val="2"/>
    </w:rPr>
  </w:style>
  <w:style w:type="character" w:styleId="IntenseEmphasis">
    <w:name w:val="Intense Emphasis"/>
    <w:uiPriority w:val="21"/>
    <w:qFormat/>
    <w:rsid w:val="00E33174"/>
    <w:rPr>
      <w:b/>
      <w:bCs/>
      <w:i/>
      <w:iCs/>
      <w:color w:val="auto"/>
    </w:rPr>
  </w:style>
  <w:style w:type="paragraph" w:styleId="IntenseQuote">
    <w:name w:val="Intense Quote"/>
    <w:basedOn w:val="Normal"/>
    <w:next w:val="Normal"/>
    <w:link w:val="IntenseQuoteChar"/>
    <w:uiPriority w:val="30"/>
    <w:qFormat/>
    <w:rsid w:val="00E3317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33174"/>
    <w:rPr>
      <w:rFonts w:ascii="Courier New" w:eastAsia="Times New Roman" w:hAnsi="Courier New" w:cs="Times New Roman"/>
      <w:b/>
      <w:bCs/>
      <w:i/>
      <w:iCs/>
      <w:szCs w:val="20"/>
      <w:lang w:val="en-US" w:eastAsia="en-US"/>
    </w:rPr>
  </w:style>
  <w:style w:type="character" w:styleId="SubtleReference">
    <w:name w:val="Subtle Reference"/>
    <w:uiPriority w:val="31"/>
    <w:qFormat/>
    <w:rsid w:val="00E33174"/>
    <w:rPr>
      <w:smallCaps/>
      <w:color w:val="auto"/>
      <w:u w:val="single"/>
    </w:rPr>
  </w:style>
  <w:style w:type="character" w:styleId="IntenseReference">
    <w:name w:val="Intense Reference"/>
    <w:uiPriority w:val="32"/>
    <w:qFormat/>
    <w:rsid w:val="00E33174"/>
    <w:rPr>
      <w:b/>
      <w:bCs/>
      <w:smallCaps/>
      <w:color w:val="auto"/>
      <w:spacing w:val="5"/>
      <w:u w:val="single"/>
    </w:rPr>
  </w:style>
  <w:style w:type="paragraph" w:customStyle="1" w:styleId="2ColumnHeading">
    <w:name w:val="2Column Heading"/>
    <w:basedOn w:val="BodyText"/>
    <w:qFormat/>
    <w:rsid w:val="00E33174"/>
    <w:pPr>
      <w:spacing w:after="60"/>
      <w:ind w:left="-2268"/>
    </w:pPr>
    <w:rPr>
      <w:b/>
    </w:rPr>
  </w:style>
  <w:style w:type="paragraph" w:customStyle="1" w:styleId="Heading1TOC">
    <w:name w:val="Heading1 TOC"/>
    <w:basedOn w:val="Normal"/>
    <w:qFormat/>
    <w:rsid w:val="00E33174"/>
    <w:pPr>
      <w:spacing w:before="240" w:after="120"/>
    </w:pPr>
    <w:rPr>
      <w:rFonts w:ascii="Times New Roman" w:hAnsi="Times New Roman"/>
      <w:b/>
      <w:sz w:val="32"/>
    </w:rPr>
  </w:style>
  <w:style w:type="paragraph" w:customStyle="1" w:styleId="Heading2TOC">
    <w:name w:val="Heading2 TOC"/>
    <w:basedOn w:val="Normal"/>
    <w:qFormat/>
    <w:rsid w:val="00E33174"/>
    <w:pPr>
      <w:spacing w:before="240" w:after="60"/>
    </w:pPr>
    <w:rPr>
      <w:rFonts w:ascii="Times New Roman" w:hAnsi="Times New Roman"/>
      <w:b/>
      <w:sz w:val="28"/>
    </w:rPr>
  </w:style>
  <w:style w:type="character" w:customStyle="1" w:styleId="Underline">
    <w:name w:val="Underline"/>
    <w:qFormat/>
    <w:rsid w:val="00E33174"/>
    <w:rPr>
      <w:u w:val="single"/>
    </w:rPr>
  </w:style>
  <w:style w:type="character" w:customStyle="1" w:styleId="BoldandItalics">
    <w:name w:val="Bold and Italics"/>
    <w:qFormat/>
    <w:rsid w:val="00E33174"/>
    <w:rPr>
      <w:b/>
      <w:i/>
      <w:u w:val="none"/>
    </w:rPr>
  </w:style>
  <w:style w:type="paragraph" w:styleId="BalloonText">
    <w:name w:val="Balloon Text"/>
    <w:basedOn w:val="Normal"/>
    <w:link w:val="BalloonTextChar"/>
    <w:rsid w:val="00E33174"/>
    <w:rPr>
      <w:rFonts w:ascii="Tahoma" w:hAnsi="Tahoma" w:cs="Tahoma"/>
      <w:sz w:val="16"/>
      <w:szCs w:val="16"/>
    </w:rPr>
  </w:style>
  <w:style w:type="character" w:customStyle="1" w:styleId="BalloonTextChar">
    <w:name w:val="Balloon Text Char"/>
    <w:link w:val="BalloonText"/>
    <w:rsid w:val="00E331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317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3317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1249</Words>
  <Characters>7881</Characters>
  <Application>Microsoft Office Word</Application>
  <DocSecurity>0</DocSecurity>
  <Lines>296</Lines>
  <Paragraphs>166</Paragraphs>
  <ScaleCrop>false</ScaleCrop>
  <Company>Author-it Software Corporation Ltd.</Company>
  <LinksUpToDate>false</LinksUpToDate>
  <CharactersWithSpaces>9015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PSPPROC501A Manage contract risk</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2012-05-26T08:22:00Z</dcterms:created>
  <dcterms:modified xsi:type="dcterms:W3CDTF">2012-05-26T08:22:00Z</dcterms:modified>
</cp:coreProperties>
</file>