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796" w:rsidP="00F97796">
      <w:pPr>
        <w:pStyle w:val="Title"/>
      </w:pPr>
      <w:r>
        <w:fldChar w:fldCharType="begin"/>
      </w:r>
      <w:r>
        <w:instrText xml:space="preserve"> TITLE   \* MERGEFORMAT </w:instrText>
      </w:r>
      <w:r>
        <w:fldChar w:fldCharType="separate"/>
      </w:r>
      <w:r>
        <w:t>PSPPROC409A Receive and select offers</w:t>
      </w:r>
      <w:r>
        <w:fldChar w:fldCharType="end"/>
      </w:r>
    </w:p>
    <w:p w:rsidR="00F97796" w:rsidP="00F97796">
      <w:pPr>
        <w:pStyle w:val="Version"/>
        <w:sectPr w:rsidSect="003C0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76" w:rsidP="003C0176">
      <w:pPr>
        <w:pStyle w:val="SuperHeading"/>
      </w:pPr>
      <w:r w:rsidRPr="003C0176">
        <w:t>PSPPROC409A Receive and select offers</w:t>
      </w:r>
    </w:p>
    <w:p w:rsidR="00000000" w:rsidRPr="003C0176" w:rsidP="003C0176">
      <w:pPr>
        <w:pStyle w:val="Heading1"/>
      </w:pPr>
      <w:bookmarkStart w:id="1" w:name="O_312485"/>
      <w:bookmarkEnd w:id="1"/>
      <w:r w:rsidRPr="003C0176">
        <w:t>Modification History</w:t>
      </w:r>
    </w:p>
    <w:p w:rsidR="00000000" w:rsidRPr="003C0176" w:rsidP="003C0176">
      <w:pPr>
        <w:pStyle w:val="Heading1"/>
      </w:pPr>
      <w:bookmarkStart w:id="2" w:name="O_312489"/>
      <w:bookmarkEnd w:id="2"/>
      <w:r w:rsidRPr="003C0176">
        <w:t>Unit Descriptor</w:t>
      </w:r>
    </w:p>
    <w:p w:rsidR="00000000" w:rsidRPr="003C0176" w:rsidP="003C0176">
      <w:pPr>
        <w:pStyle w:val="BodyText"/>
      </w:pPr>
      <w:r w:rsidRPr="003C0176">
        <w:t>This unit covers the receiving and selecting of offers as a result of a formal request for offer process. It includes receipt and eva</w:t>
      </w:r>
      <w:r w:rsidRPr="003C0176">
        <w:t>luation managing the distribution and receipt of offers, selecting preferred providers, formalising contractual arrangements, and debriefing the market and other stakeholders.</w:t>
      </w:r>
    </w:p>
    <w:p w:rsidR="00000000" w:rsidRPr="003C0176" w:rsidP="003C0176">
      <w:pPr>
        <w:pStyle w:val="BodyText"/>
      </w:pPr>
      <w:r w:rsidRPr="003C0176">
        <w:t>In practice, receiving and selecting offers may overlap with other public sector</w:t>
      </w:r>
      <w:r w:rsidRPr="003C0176">
        <w:t xml:space="preserve"> generalist and specialist work activities such as acting ethically, complying with legislation, applying government processes, working with diversity, using resources, etc.</w:t>
      </w:r>
    </w:p>
    <w:p w:rsidR="00000000" w:rsidRPr="003C0176" w:rsidP="003C0176">
      <w:pPr>
        <w:pStyle w:val="BodyText"/>
      </w:pPr>
      <w:r w:rsidRPr="003C0176">
        <w:t xml:space="preserve">This unit replaces </w:t>
      </w:r>
      <w:r w:rsidRPr="003C0176">
        <w:rPr>
          <w:rStyle w:val="SpecialBold"/>
        </w:rPr>
        <w:t>PSPPROC403A Award contracts</w:t>
      </w:r>
      <w:r w:rsidRPr="003C0176">
        <w:t>. The units are not equivalent, as r</w:t>
      </w:r>
      <w:r w:rsidRPr="003C0176">
        <w:t>eceipt of requests has been added.</w:t>
      </w:r>
    </w:p>
    <w:p w:rsidR="00000000" w:rsidRPr="003C0176" w:rsidP="003C0176">
      <w:pPr>
        <w:pStyle w:val="BodyText"/>
      </w:pPr>
      <w:r w:rsidRPr="003C0176">
        <w:t>There is however, multi-unit equivalence between new and superseded units. The combination of:</w:t>
      </w:r>
    </w:p>
    <w:p w:rsidR="00000000" w:rsidRPr="003C0176" w:rsidP="003C0176">
      <w:pPr>
        <w:pStyle w:val="BodyText"/>
      </w:pPr>
      <w:r w:rsidRPr="003C0176">
        <w:t>PSPPROC401A Plan procurement + PSPPROC402A Request and receive offers+ PSPPROC403A Award contracts</w:t>
      </w:r>
    </w:p>
    <w:p w:rsidR="00000000" w:rsidRPr="003C0176" w:rsidP="003C0176">
      <w:pPr>
        <w:pStyle w:val="BodyText"/>
      </w:pPr>
      <w:r w:rsidRPr="003C0176">
        <w:t>is equivalent to the combin</w:t>
      </w:r>
      <w:r w:rsidRPr="003C0176">
        <w:t>ation:</w:t>
      </w:r>
    </w:p>
    <w:p w:rsidR="00000000" w:rsidRPr="003C0176" w:rsidP="003C0176">
      <w:pPr>
        <w:pStyle w:val="BodyText"/>
      </w:pPr>
      <w:r w:rsidRPr="003C0176">
        <w:t>PSPPROC408A Develop requests for offers+ PSPPROC409A Receive and select offers</w:t>
      </w:r>
    </w:p>
    <w:p w:rsidR="00000000" w:rsidRPr="003C0176" w:rsidP="003C0176">
      <w:pPr>
        <w:pStyle w:val="AllowPageBreak"/>
      </w:pPr>
    </w:p>
    <w:p w:rsidR="00000000" w:rsidRPr="003C0176" w:rsidP="003C0176">
      <w:pPr>
        <w:pStyle w:val="Heading1"/>
      </w:pPr>
      <w:bookmarkStart w:id="3" w:name="O_312488"/>
      <w:bookmarkEnd w:id="3"/>
      <w:r w:rsidRPr="003C0176">
        <w:t>Application of the Unit</w:t>
      </w:r>
    </w:p>
    <w:p w:rsidR="00000000" w:rsidRPr="003C0176" w:rsidP="003C0176">
      <w:pPr>
        <w:pStyle w:val="Heading1"/>
      </w:pPr>
      <w:bookmarkStart w:id="4" w:name="O_312487"/>
      <w:bookmarkEnd w:id="4"/>
      <w:r w:rsidRPr="003C0176">
        <w:t>Licensing/Regulatory Information</w:t>
      </w:r>
    </w:p>
    <w:p w:rsidR="00000000" w:rsidRPr="003C0176" w:rsidP="003C0176">
      <w:pPr>
        <w:pStyle w:val="Heading1"/>
      </w:pPr>
      <w:bookmarkStart w:id="5" w:name="O_312486"/>
      <w:bookmarkEnd w:id="5"/>
      <w:r w:rsidRPr="003C0176">
        <w:t>Pre-Requisites</w:t>
      </w:r>
    </w:p>
    <w:p w:rsidR="00000000" w:rsidRPr="003C0176" w:rsidP="003C0176">
      <w:pPr>
        <w:pStyle w:val="Heading1"/>
      </w:pPr>
      <w:bookmarkStart w:id="6" w:name="O_312480"/>
      <w:bookmarkEnd w:id="6"/>
      <w:r w:rsidRPr="003C0176">
        <w:t>Employability Skills Information</w:t>
      </w:r>
    </w:p>
    <w:p w:rsidR="00000000" w:rsidRPr="003C0176" w:rsidP="003C0176">
      <w:pPr>
        <w:pStyle w:val="BodyText"/>
      </w:pPr>
      <w:r w:rsidRPr="003C0176">
        <w:t>This unit contains employability skills.</w:t>
      </w:r>
    </w:p>
    <w:p w:rsidR="00000000" w:rsidRPr="003C0176" w:rsidP="003C0176">
      <w:pPr>
        <w:pStyle w:val="AllowPageBreak"/>
      </w:pPr>
    </w:p>
    <w:p w:rsidR="00000000" w:rsidRPr="003C0176" w:rsidP="003C0176">
      <w:pPr>
        <w:pStyle w:val="Heading1"/>
      </w:pPr>
      <w:bookmarkStart w:id="7" w:name="O_312491"/>
      <w:bookmarkEnd w:id="7"/>
      <w:r w:rsidRPr="003C0176">
        <w:t>Elements and Performance Criteria Pre-Content</w:t>
      </w:r>
    </w:p>
    <w:p w:rsidR="00000000" w:rsidRPr="003C0176" w:rsidP="003C0176">
      <w:pPr>
        <w:pStyle w:val="BodyText"/>
      </w:pPr>
      <w:r w:rsidRPr="003C0176">
        <w:t>Elements are the essential outcomes of the unit of competency.</w:t>
      </w:r>
    </w:p>
    <w:p w:rsidR="00000000" w:rsidRPr="003C0176" w:rsidP="003C0176">
      <w:pPr>
        <w:pStyle w:val="BodyText"/>
      </w:pPr>
      <w:r w:rsidRPr="003C0176">
        <w:t xml:space="preserve">Together, performance criteria specify the requirements for competent performance. Text in </w:t>
      </w:r>
      <w:r w:rsidRPr="003C0176">
        <w:rPr>
          <w:rStyle w:val="SpecialBold"/>
        </w:rPr>
        <w:t xml:space="preserve">bold italics  </w:t>
      </w:r>
      <w:r w:rsidRPr="003C0176">
        <w:t>is explained in the Range Statement following.</w:t>
      </w:r>
    </w:p>
    <w:p w:rsidR="00000000" w:rsidRPr="003C0176" w:rsidP="003C0176">
      <w:pPr>
        <w:pStyle w:val="AllowPageBreak"/>
      </w:pPr>
    </w:p>
    <w:p w:rsidR="00000000" w:rsidRPr="003C0176" w:rsidP="003C0176">
      <w:pPr>
        <w:pStyle w:val="Heading1"/>
      </w:pPr>
      <w:bookmarkStart w:id="8" w:name="O_312490"/>
      <w:bookmarkEnd w:id="8"/>
      <w:r w:rsidRPr="003C017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779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Elements and Performance Criteria</w:t>
            </w:r>
          </w:p>
        </w:tc>
      </w:tr>
      <w:tr w:rsidTr="00F9779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Perfor</w:t>
            </w:r>
            <w:r w:rsidRPr="003C0176">
              <w:rPr>
                <w:rStyle w:val="SpecialBold"/>
              </w:rPr>
              <w:t>mance Criteria</w:t>
            </w:r>
          </w:p>
        </w:tc>
      </w:tr>
      <w:tr w:rsidTr="00F977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1</w:t>
            </w:r>
          </w:p>
        </w:tc>
        <w:tc>
          <w:tcPr>
            <w:tcW w:w="3000" w:type="dxa"/>
            <w:vMerge w:val="restart"/>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 Manage distribution and receipt of offers</w:t>
            </w: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1.1</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Dissemination of </w:t>
            </w:r>
            <w:r w:rsidRPr="003C0176">
              <w:rPr>
                <w:rStyle w:val="SpecialBold"/>
              </w:rPr>
              <w:t xml:space="preserve">request for offers </w:t>
            </w:r>
            <w:r w:rsidRPr="003C0176">
              <w:t>is actioned in accordance with organisational procedures and guidelines, and meets public sector standards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1.2</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Briefings and clarification of information in the request for offer are undertaken as required in accordance with procurement plan, organisational procedures, guidelines and public sector standards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1.3</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Offers are received in accordance with organisational procedures, guidelines and public sector standards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1.4</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Probity </w:t>
            </w:r>
            <w:r w:rsidRPr="003C0176">
              <w:t>issues in closing offers are observed</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1.5</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Late offers and non-conforming bids are dealt with in accordance with procurement plan and </w:t>
            </w:r>
            <w:r w:rsidRPr="003C0176">
              <w:t>request for offer documentation</w:t>
            </w:r>
          </w:p>
        </w:tc>
      </w:tr>
      <w:tr w:rsidTr="00F977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2</w:t>
            </w:r>
          </w:p>
        </w:tc>
        <w:tc>
          <w:tcPr>
            <w:tcW w:w="3000" w:type="dxa"/>
            <w:vMerge w:val="restart"/>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 Select preferred provider/s</w:t>
            </w: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2.1</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Evaluation panel is coordinated and specialist expertise is obtained where necessary to assist with evaluation of offers </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2.2</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Offers </w:t>
            </w:r>
            <w:r w:rsidRPr="003C0176">
              <w:t xml:space="preserve">are </w:t>
            </w:r>
            <w:r w:rsidRPr="003C0176">
              <w:rPr>
                <w:rStyle w:val="SpecialBold"/>
              </w:rPr>
              <w:t xml:space="preserve">evaluated </w:t>
            </w:r>
            <w:r w:rsidRPr="003C0176">
              <w:t xml:space="preserve">in accordance </w:t>
            </w:r>
            <w:r w:rsidRPr="003C0176">
              <w:t>with procurement plan, organisational probity requirements and public sector standards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2.3</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Clarification and negotiation of matters contained in offers, are undertaken with bidders in accordance with organisational guidelines and public sector standards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2.4</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Preferred provider/s are selected and recommendations for </w:t>
            </w:r>
            <w:r w:rsidRPr="003C0176">
              <w:rPr>
                <w:rStyle w:val="SpecialBold"/>
              </w:rPr>
              <w:t xml:space="preserve">allocation of business </w:t>
            </w:r>
            <w:r w:rsidRPr="003C0176">
              <w:t>are developed, justified and documented against selection criteria in accordance with policy and procedures and governance requirements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2.5</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Approvals are obtained for the recommended offer/s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2.6</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Successful provider/s are notified in accordance with organisational protocols</w:t>
            </w:r>
          </w:p>
        </w:tc>
      </w:tr>
      <w:tr w:rsidTr="00F977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3</w:t>
            </w:r>
          </w:p>
        </w:tc>
        <w:tc>
          <w:tcPr>
            <w:tcW w:w="3000" w:type="dxa"/>
            <w:vMerge w:val="restart"/>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 Formalise contractual arrangements</w:t>
            </w: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3.1</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Approvals are obtained to enter negotiations, when required, and negotiation</w:t>
            </w:r>
            <w:r w:rsidRPr="003C0176">
              <w:t xml:space="preserve"> of the final wording of the </w:t>
            </w:r>
            <w:r w:rsidRPr="003C0176">
              <w:rPr>
                <w:rStyle w:val="SpecialBold"/>
              </w:rPr>
              <w:t xml:space="preserve">contract </w:t>
            </w:r>
            <w:r w:rsidRPr="003C0176">
              <w:t>is conducted in accordance with organisational policy and procedures and defined probity frameworks as set out in the evaluation plan</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3.2</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Approvals to enter into contract/s are obtained in accordance with policy and procedures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3.3</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No commitments are made and contractors do not commence until contracts are signed</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3.4</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Contracts are entered into that are valid and legally binding to the p</w:t>
            </w:r>
            <w:r w:rsidRPr="003C0176">
              <w:t>arties</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3.5</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Contracts are structured to capture and address identified risks, protect both parties, and provide the basis for due performance</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3.6</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Advice on the contractual arrangements is provided to stakeholders in accordance with organisational policy and procedures</w:t>
            </w:r>
          </w:p>
        </w:tc>
      </w:tr>
      <w:tr w:rsidTr="00F977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4</w:t>
            </w:r>
          </w:p>
        </w:tc>
        <w:tc>
          <w:tcPr>
            <w:tcW w:w="3000" w:type="dxa"/>
            <w:vMerge w:val="restart"/>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 Debrief market and other stakeholders</w:t>
            </w: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4.1</w:t>
            </w:r>
          </w:p>
        </w:tc>
        <w:tc>
          <w:tcPr>
            <w:tcW w:w="51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Unsuccessful bidders are informed and debriefed with constructive feedback on their pro</w:t>
            </w:r>
            <w:r w:rsidRPr="003C0176">
              <w:t>posals upon request</w:t>
            </w:r>
          </w:p>
        </w:tc>
      </w:tr>
      <w:tr w:rsidTr="00F977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4.2</w:t>
            </w:r>
          </w:p>
        </w:tc>
        <w:tc>
          <w:tcPr>
            <w:tcW w:w="51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Details of successful provider/s are made public in accordance with probity requirements, organisational protocols and public sector standards</w:t>
            </w:r>
          </w:p>
        </w:tc>
      </w:tr>
    </w:tbl>
    <w:p w:rsidR="00000000" w:rsidRPr="003C0176" w:rsidP="003C0176">
      <w:pPr>
        <w:pStyle w:val="BodyText"/>
      </w:pPr>
    </w:p>
    <w:p w:rsidR="00000000" w:rsidRPr="003C0176" w:rsidP="003C0176">
      <w:pPr>
        <w:pStyle w:val="AllowPageBreak"/>
      </w:pPr>
    </w:p>
    <w:p w:rsidR="00000000" w:rsidRPr="003C0176" w:rsidP="003C0176">
      <w:pPr>
        <w:pStyle w:val="Heading1"/>
      </w:pPr>
      <w:bookmarkStart w:id="9" w:name="O_312479"/>
      <w:bookmarkEnd w:id="9"/>
      <w:r w:rsidRPr="003C0176">
        <w:t>Required Skills and Knowledge</w:t>
      </w:r>
    </w:p>
    <w:tbl>
      <w:tblPr>
        <w:tblW w:w="0" w:type="auto"/>
        <w:tblLayout w:type="fixed"/>
        <w:tblCellMar>
          <w:left w:w="62" w:type="dxa"/>
          <w:right w:w="62" w:type="dxa"/>
        </w:tblCellMar>
        <w:tblLook w:val="0000"/>
      </w:tblPr>
      <w:tblGrid>
        <w:gridCol w:w="9000"/>
      </w:tblGrid>
      <w:tr w:rsidTr="00F977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   REQUIRED SKILLS AND KNOWLEDGE</w:t>
            </w:r>
          </w:p>
        </w:tc>
      </w:tr>
      <w:tr w:rsidTr="00F977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This section describes the essential skills and knowledge and their level, required for this unit. </w:t>
            </w:r>
          </w:p>
        </w:tc>
      </w:tr>
      <w:tr w:rsidTr="00F977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rPr>
                <w:rStyle w:val="SpecialBold"/>
              </w:rPr>
              <w:t>Skill requirements</w:t>
            </w:r>
          </w:p>
          <w:p w:rsidR="00000000" w:rsidRPr="003C0176" w:rsidP="003C0176">
            <w:pPr>
              <w:pStyle w:val="BodyText"/>
            </w:pPr>
            <w:r w:rsidRPr="003C0176">
              <w:t>Look for evidence that confirms skills in:</w:t>
            </w:r>
          </w:p>
          <w:p w:rsidR="00000000" w:rsidRPr="003C0176" w:rsidP="003C0176">
            <w:pPr>
              <w:pStyle w:val="BodyText"/>
            </w:pPr>
            <w:r w:rsidRPr="003C0176">
              <w:t>using communication and negotiation with contractors and other stakeholders involving complex</w:t>
            </w:r>
            <w:r w:rsidRPr="003C0176">
              <w:t xml:space="preserve"> oral and written exchanges </w:t>
            </w:r>
          </w:p>
          <w:p w:rsidR="00000000" w:rsidRPr="003C0176" w:rsidP="003C0176">
            <w:pPr>
              <w:pStyle w:val="BodyText"/>
            </w:pPr>
            <w:r w:rsidRPr="003C0176">
              <w:t>networking, within probity boundaries, with diverse clients, contractors and end users</w:t>
            </w:r>
          </w:p>
          <w:p w:rsidR="00000000" w:rsidRPr="003C0176" w:rsidP="003C0176">
            <w:pPr>
              <w:pStyle w:val="BodyText"/>
            </w:pPr>
            <w:r w:rsidRPr="003C0176">
              <w:t>responding to diversity, including gender and disability</w:t>
            </w:r>
          </w:p>
          <w:p w:rsidR="00000000" w:rsidRPr="003C0176" w:rsidP="003C0176">
            <w:pPr>
              <w:pStyle w:val="BodyText"/>
            </w:pPr>
            <w:r w:rsidRPr="003C0176">
              <w:t>reading and applying complex documents such as contracts, legislation and guideline</w:t>
            </w:r>
            <w:r w:rsidRPr="003C0176">
              <w:t>s and ensuring legal and probity officers are satisfied</w:t>
            </w:r>
          </w:p>
          <w:p w:rsidR="00000000" w:rsidRPr="003C0176" w:rsidP="003C0176">
            <w:pPr>
              <w:pStyle w:val="BodyText"/>
            </w:pPr>
            <w:r w:rsidRPr="003C0176">
              <w:t>analysing and comparing written information to ensure key elements from the specification and procurement plan are captured in the written contract</w:t>
            </w:r>
          </w:p>
          <w:p w:rsidR="00000000" w:rsidP="003C0176">
            <w:pPr>
              <w:pStyle w:val="BodyText"/>
              <w:rPr>
                <w:lang w:val="en-NZ"/>
              </w:rPr>
            </w:pPr>
            <w:r w:rsidRPr="003C0176">
              <w:t>applying occupational health and safety and environm</w:t>
            </w:r>
            <w:r w:rsidRPr="003C0176">
              <w:t xml:space="preserve">ental requirements in the context of receiving and selecting offers </w:t>
            </w:r>
          </w:p>
        </w:tc>
      </w:tr>
      <w:tr w:rsidTr="00F977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rPr>
                <w:rStyle w:val="SpecialBold"/>
              </w:rPr>
              <w:t>Knowledge requirements</w:t>
            </w:r>
          </w:p>
          <w:p w:rsidR="00000000" w:rsidRPr="003C0176" w:rsidP="003C0176">
            <w:pPr>
              <w:pStyle w:val="BodyText"/>
            </w:pPr>
            <w:r w:rsidRPr="003C0176">
              <w:t>Look for evidence that confirms knowledge and understanding of:</w:t>
            </w:r>
          </w:p>
          <w:p w:rsidR="00000000" w:rsidRPr="003C0176" w:rsidP="003C0176">
            <w:pPr>
              <w:pStyle w:val="BodyText"/>
            </w:pPr>
            <w:r w:rsidRPr="003C0176">
              <w:t>Commonwealth/State/Territory Government legislation, policies, practices and guidelines relating to</w:t>
            </w:r>
            <w:r w:rsidRPr="003C0176">
              <w:t xml:space="preserve"> award of contracts, including environmental purchasing guidelines</w:t>
            </w:r>
          </w:p>
          <w:p w:rsidR="00000000" w:rsidRPr="003C0176" w:rsidP="003C0176">
            <w:pPr>
              <w:pStyle w:val="BodyText"/>
            </w:pPr>
            <w:r w:rsidRPr="003C0176">
              <w:t>procurement policies, practices and approval processes</w:t>
            </w:r>
          </w:p>
          <w:p w:rsidR="00000000" w:rsidRPr="003C0176" w:rsidP="003C0176">
            <w:pPr>
              <w:pStyle w:val="BodyText"/>
            </w:pPr>
            <w:r w:rsidRPr="003C0176">
              <w:t>probity principles and issues</w:t>
            </w:r>
          </w:p>
          <w:p w:rsidR="00000000" w:rsidRPr="003C0176" w:rsidP="003C0176">
            <w:pPr>
              <w:pStyle w:val="BodyText"/>
            </w:pPr>
            <w:r w:rsidRPr="003C0176">
              <w:t>ethical issues related to receipt and selection of offers</w:t>
            </w:r>
          </w:p>
          <w:p w:rsidR="00000000" w:rsidRPr="003C0176" w:rsidP="003C0176">
            <w:pPr>
              <w:pStyle w:val="BodyText"/>
            </w:pPr>
            <w:r w:rsidRPr="003C0176">
              <w:t>aspects of law of contract, laws of tort, trad</w:t>
            </w:r>
            <w:r w:rsidRPr="003C0176">
              <w:t>e practices law, commercial law and other legislation relating to receipt and evaluation of offers, negotiation and award of contracts</w:t>
            </w:r>
          </w:p>
          <w:p w:rsidR="00000000" w:rsidRPr="003C0176" w:rsidP="003C0176">
            <w:pPr>
              <w:pStyle w:val="BodyText"/>
            </w:pPr>
            <w:r w:rsidRPr="003C0176">
              <w:t>equal employment opportunity, equity and diversity principles</w:t>
            </w:r>
          </w:p>
          <w:p w:rsidR="00000000" w:rsidRPr="003C0176" w:rsidP="003C0176">
            <w:pPr>
              <w:pStyle w:val="BodyText"/>
            </w:pPr>
            <w:r w:rsidRPr="003C0176">
              <w:t>public sector legislation including occupational health and</w:t>
            </w:r>
            <w:r w:rsidRPr="003C0176">
              <w:t xml:space="preserve"> safety and environment </w:t>
            </w:r>
          </w:p>
        </w:tc>
      </w:tr>
    </w:tbl>
    <w:p w:rsidR="00000000" w:rsidRPr="003C0176" w:rsidP="003C0176">
      <w:pPr>
        <w:pStyle w:val="BodyText"/>
      </w:pPr>
    </w:p>
    <w:p w:rsidR="00000000" w:rsidRPr="003C0176" w:rsidP="003C0176">
      <w:pPr>
        <w:pStyle w:val="AllowPageBreak"/>
      </w:pPr>
    </w:p>
    <w:p w:rsidR="00000000" w:rsidRPr="003C0176" w:rsidP="003C0176">
      <w:pPr>
        <w:pStyle w:val="Heading1"/>
      </w:pPr>
      <w:bookmarkStart w:id="10" w:name="O_312484"/>
      <w:bookmarkEnd w:id="10"/>
      <w:r w:rsidRPr="003C0176">
        <w:t>Evidence Guide</w:t>
      </w:r>
    </w:p>
    <w:tbl>
      <w:tblPr>
        <w:tblW w:w="0" w:type="auto"/>
        <w:tblLayout w:type="fixed"/>
        <w:tblCellMar>
          <w:left w:w="62" w:type="dxa"/>
          <w:right w:w="62" w:type="dxa"/>
        </w:tblCellMar>
        <w:tblLook w:val="0000"/>
      </w:tblPr>
      <w:tblGrid>
        <w:gridCol w:w="4500"/>
        <w:gridCol w:w="4500"/>
      </w:tblGrid>
      <w:tr w:rsidTr="00F977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C0176">
            <w:pPr>
              <w:pStyle w:val="BodyText"/>
              <w:rPr>
                <w:lang w:val="en-NZ"/>
              </w:rPr>
            </w:pPr>
          </w:p>
        </w:tc>
      </w:tr>
      <w:tr w:rsidTr="00F977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The Evidence Guide specifies the evidence required to demonstrate achievement in the unit of competency as a whole. It must be read in conjunction </w:t>
            </w:r>
            <w:r w:rsidRPr="003C0176">
              <w:t xml:space="preserve">with the Unit descriptor, Performance Criteria, the Range Statement and the Assessment Guidelines for the Public Sector Training Package.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rPr>
                <w:rStyle w:val="SpecialBold"/>
              </w:rPr>
              <w:t>Units to be assessed together</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rPr>
                <w:rStyle w:val="SpecialBold"/>
              </w:rPr>
              <w:t>Pre</w:t>
            </w:r>
            <w:r w:rsidRPr="003C0176">
              <w:t>-</w:t>
            </w:r>
            <w:r w:rsidRPr="003C0176">
              <w:rPr>
                <w:rStyle w:val="SpecialBold"/>
              </w:rPr>
              <w:t>requisite units</w:t>
            </w:r>
            <w:r w:rsidRPr="003C0176">
              <w:t xml:space="preserve"> that </w:t>
            </w:r>
            <w:r w:rsidRPr="003C0176">
              <w:rPr>
                <w:rStyle w:val="SpecialBold"/>
              </w:rPr>
              <w:t>must</w:t>
            </w:r>
            <w:r w:rsidRPr="003C0176">
              <w:t xml:space="preserve"> be achieved </w:t>
            </w:r>
            <w:r w:rsidRPr="003C0176">
              <w:rPr>
                <w:rStyle w:val="SpecialBold"/>
              </w:rPr>
              <w:t>prior</w:t>
            </w:r>
            <w:r w:rsidRPr="003C0176">
              <w:t xml:space="preserve"> to this unit: </w:t>
            </w:r>
            <w:r w:rsidRPr="003C0176">
              <w:rPr>
                <w:rStyle w:val="SpecialBold"/>
              </w:rPr>
              <w:t>Nil</w:t>
            </w:r>
          </w:p>
          <w:p w:rsidR="00000000" w:rsidRPr="003C0176" w:rsidP="003C0176">
            <w:pPr>
              <w:pStyle w:val="BodyText"/>
            </w:pPr>
            <w:r w:rsidRPr="003C0176">
              <w:rPr>
                <w:rStyle w:val="SpecialBold"/>
              </w:rPr>
              <w:t>Co</w:t>
            </w:r>
            <w:r w:rsidRPr="003C0176">
              <w:t>-</w:t>
            </w:r>
            <w:r w:rsidRPr="003C0176">
              <w:rPr>
                <w:rStyle w:val="SpecialBold"/>
              </w:rPr>
              <w:t>requisite units</w:t>
            </w:r>
            <w:r w:rsidRPr="003C0176">
              <w:t xml:space="preserve"> </w:t>
            </w:r>
            <w:r w:rsidRPr="003C0176">
              <w:t xml:space="preserve">that </w:t>
            </w:r>
            <w:r w:rsidRPr="003C0176">
              <w:rPr>
                <w:rStyle w:val="SpecialBold"/>
              </w:rPr>
              <w:t>must</w:t>
            </w:r>
            <w:r w:rsidRPr="003C0176">
              <w:t xml:space="preserve"> be assessed </w:t>
            </w:r>
            <w:r w:rsidRPr="003C0176">
              <w:rPr>
                <w:rStyle w:val="SpecialBold"/>
              </w:rPr>
              <w:t>with</w:t>
            </w:r>
            <w:r w:rsidRPr="003C0176">
              <w:t xml:space="preserve"> this unit: </w:t>
            </w:r>
            <w:r w:rsidRPr="003C0176">
              <w:rPr>
                <w:rStyle w:val="SpecialBold"/>
              </w:rPr>
              <w:t>Nil</w:t>
            </w:r>
          </w:p>
          <w:p w:rsidR="00000000" w:rsidRPr="003C0176" w:rsidP="003C0176">
            <w:pPr>
              <w:pStyle w:val="BodyText"/>
            </w:pPr>
            <w:r w:rsidRPr="003C0176">
              <w:rPr>
                <w:rStyle w:val="SpecialBold"/>
              </w:rPr>
              <w:t>Co</w:t>
            </w:r>
            <w:r w:rsidRPr="003C0176">
              <w:t>-</w:t>
            </w:r>
            <w:r w:rsidRPr="003C0176">
              <w:rPr>
                <w:rStyle w:val="SpecialBold"/>
              </w:rPr>
              <w:t>assessed units</w:t>
            </w:r>
            <w:r w:rsidRPr="003C0176">
              <w:t xml:space="preserve"> that </w:t>
            </w:r>
            <w:r w:rsidRPr="003C0176">
              <w:rPr>
                <w:rStyle w:val="SpecialBold"/>
              </w:rPr>
              <w:t>may</w:t>
            </w:r>
            <w:r w:rsidRPr="003C0176">
              <w:t xml:space="preserve"> be assessed with this unit to increase the efficiency and realism of the assessment process include, but are not limited to: </w:t>
            </w:r>
          </w:p>
          <w:p w:rsidR="00000000" w:rsidRPr="003C0176" w:rsidP="003C0176">
            <w:pPr>
              <w:pStyle w:val="BodyText"/>
            </w:pPr>
            <w:r w:rsidRPr="003C0176">
              <w:t xml:space="preserve">PSPETHC401A Uphold and support the values and principles of public service </w:t>
            </w:r>
          </w:p>
          <w:p w:rsidR="00000000" w:rsidRPr="003C0176" w:rsidP="003C0176">
            <w:pPr>
              <w:pStyle w:val="BodyText"/>
            </w:pPr>
            <w:r w:rsidRPr="003C0176">
              <w:t xml:space="preserve">PSPGOV406B Gather and analyse information </w:t>
            </w:r>
          </w:p>
          <w:p w:rsidR="00000000" w:rsidRPr="003C0176" w:rsidP="003C0176">
            <w:pPr>
              <w:pStyle w:val="BodyText"/>
            </w:pPr>
            <w:r w:rsidRPr="003C0176">
              <w:t>PSPGOV422A Apply government processes</w:t>
            </w:r>
          </w:p>
          <w:p w:rsidR="00000000" w:rsidRPr="003C0176" w:rsidP="003C0176">
            <w:pPr>
              <w:pStyle w:val="BodyText"/>
            </w:pPr>
            <w:r w:rsidRPr="003C0176">
              <w:t>PSPLEGN401A Encourage compliance with legislation in the public sector</w:t>
            </w:r>
          </w:p>
          <w:p w:rsidR="00000000" w:rsidRPr="003C0176" w:rsidP="003C0176">
            <w:pPr>
              <w:pStyle w:val="BodyText"/>
            </w:pPr>
            <w:r w:rsidRPr="003C0176">
              <w:t>PSPPOL404A Support policy im</w:t>
            </w:r>
            <w:r w:rsidRPr="003C0176">
              <w:t>plementation</w:t>
            </w:r>
          </w:p>
          <w:p w:rsidR="00000000" w:rsidRPr="003C0176" w:rsidP="003C0176">
            <w:pPr>
              <w:pStyle w:val="BodyText"/>
            </w:pPr>
            <w:r w:rsidRPr="003C0176">
              <w:t>PSPPROC407A Establish procurement need</w:t>
            </w:r>
          </w:p>
          <w:p w:rsidR="00000000" w:rsidP="003C0176">
            <w:pPr>
              <w:pStyle w:val="BodyText"/>
              <w:rPr>
                <w:lang w:val="en-NZ"/>
              </w:rPr>
            </w:pPr>
            <w:r w:rsidRPr="003C0176">
              <w:t xml:space="preserve">PSPPROC408A Develop requests for offers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Overview of evidence requirements</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In addition t</w:t>
            </w:r>
            <w:r w:rsidRPr="003C0176">
              <w:t xml:space="preserve">o integrated demonstration of the elements and their related performance criteria, look for evidence that confirms: </w:t>
            </w:r>
          </w:p>
          <w:p w:rsidR="00000000" w:rsidRPr="003C0176" w:rsidP="003C0176">
            <w:pPr>
              <w:pStyle w:val="BodyText"/>
            </w:pPr>
            <w:r w:rsidRPr="003C0176">
              <w:t xml:space="preserve">the knowledge requirements of this unit </w:t>
            </w:r>
          </w:p>
          <w:p w:rsidR="00000000" w:rsidRPr="003C0176" w:rsidP="003C0176">
            <w:pPr>
              <w:pStyle w:val="BodyText"/>
            </w:pPr>
            <w:r w:rsidRPr="003C0176">
              <w:t>the skill requirements of this unit</w:t>
            </w:r>
          </w:p>
          <w:p w:rsidR="00000000" w:rsidRPr="003C0176" w:rsidP="003C0176">
            <w:pPr>
              <w:pStyle w:val="BodyText"/>
            </w:pPr>
            <w:r w:rsidRPr="003C0176">
              <w:t>application of the Employability Skills as they relate to this</w:t>
            </w:r>
            <w:r w:rsidRPr="003C0176">
              <w:t xml:space="preserve"> unit (see Employability Summaries in Qualifications Framework)  </w:t>
            </w:r>
          </w:p>
          <w:p w:rsidR="00000000" w:rsidP="003C0176">
            <w:pPr>
              <w:pStyle w:val="BodyText"/>
              <w:rPr>
                <w:lang w:val="en-NZ"/>
              </w:rPr>
            </w:pPr>
            <w:r w:rsidRPr="003C0176">
              <w:t xml:space="preserve">receipt and selection of offers in a range of (3 or more) contexts (or occasions, over time)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Resources required to carry out assessment</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 xml:space="preserve">These resources include: </w:t>
            </w:r>
          </w:p>
          <w:p w:rsidR="00000000" w:rsidRPr="003C0176" w:rsidP="003C0176">
            <w:pPr>
              <w:pStyle w:val="BodyText"/>
            </w:pPr>
            <w:r w:rsidRPr="003C0176">
              <w:t>legislation, policy, proce</w:t>
            </w:r>
            <w:r w:rsidRPr="003C0176">
              <w:t>dures and protocols relating to receiving and selecting offers</w:t>
            </w:r>
          </w:p>
          <w:p w:rsidR="00000000" w:rsidP="003C0176">
            <w:pPr>
              <w:pStyle w:val="BodyText"/>
              <w:rPr>
                <w:lang w:val="en-NZ"/>
              </w:rPr>
            </w:pPr>
            <w:r w:rsidRPr="003C0176">
              <w:t xml:space="preserve">case studies and workplace scenarios to capture the range of contracting situations likely to be encountered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Where and how to assess evidence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 xml:space="preserve">Valid assessment of this unit requires:     </w:t>
            </w:r>
          </w:p>
          <w:p w:rsidR="00000000" w:rsidRPr="003C0176" w:rsidP="003C0176">
            <w:pPr>
              <w:pStyle w:val="BodyText"/>
            </w:pPr>
            <w:r w:rsidRPr="003C0176">
              <w:t>a wo</w:t>
            </w:r>
            <w:r w:rsidRPr="003C0176">
              <w:t>rkplace environment or one that closely resembles normal work practice and replicates the range of conditions likely to be encountered when receiving and selecting offers, including coping with difficulties, irregularities and breakdowns in routine</w:t>
            </w:r>
          </w:p>
          <w:p w:rsidR="00000000" w:rsidRPr="003C0176" w:rsidP="003C0176">
            <w:pPr>
              <w:pStyle w:val="BodyText"/>
            </w:pPr>
            <w:r w:rsidRPr="003C0176">
              <w:t>receipt</w:t>
            </w:r>
            <w:r w:rsidRPr="003C0176">
              <w:t xml:space="preserve"> and selection of offers in a range of (3 or more) contexts (or occasions, over time)</w:t>
            </w:r>
          </w:p>
          <w:p w:rsidR="00000000" w:rsidRPr="003C0176" w:rsidP="003C0176">
            <w:pPr>
              <w:pStyle w:val="BodyText"/>
            </w:pPr>
            <w:r w:rsidRPr="003C0176">
              <w:t>Assessment methods should reflect workplace demands, such as literacy, and the needs of particular groups, such as:</w:t>
            </w:r>
          </w:p>
          <w:p w:rsidR="00000000" w:rsidRPr="003C0176" w:rsidP="003C0176">
            <w:pPr>
              <w:pStyle w:val="BodyText"/>
            </w:pPr>
            <w:r w:rsidRPr="003C0176">
              <w:t>people with disabilities</w:t>
            </w:r>
          </w:p>
          <w:p w:rsidR="00000000" w:rsidRPr="003C0176" w:rsidP="003C0176">
            <w:pPr>
              <w:pStyle w:val="BodyText"/>
            </w:pPr>
            <w:r w:rsidRPr="003C0176">
              <w:t>people from culturally and li</w:t>
            </w:r>
            <w:r w:rsidRPr="003C0176">
              <w:t>nguistically diverse backgrounds</w:t>
            </w:r>
          </w:p>
          <w:p w:rsidR="00000000" w:rsidRPr="003C0176" w:rsidP="003C0176">
            <w:pPr>
              <w:pStyle w:val="BodyText"/>
            </w:pPr>
            <w:r w:rsidRPr="003C0176">
              <w:t>Aboriginal and Torres Strait Islander people</w:t>
            </w:r>
          </w:p>
          <w:p w:rsidR="00000000" w:rsidRPr="003C0176" w:rsidP="003C0176">
            <w:pPr>
              <w:pStyle w:val="BodyText"/>
            </w:pPr>
            <w:r w:rsidRPr="003C0176">
              <w:t>women</w:t>
            </w:r>
          </w:p>
          <w:p w:rsidR="00000000" w:rsidRPr="003C0176" w:rsidP="003C0176">
            <w:pPr>
              <w:pStyle w:val="BodyText"/>
            </w:pPr>
            <w:r w:rsidRPr="003C0176">
              <w:t>young people</w:t>
            </w:r>
          </w:p>
          <w:p w:rsidR="00000000" w:rsidRPr="003C0176" w:rsidP="003C0176">
            <w:pPr>
              <w:pStyle w:val="BodyText"/>
            </w:pPr>
            <w:r w:rsidRPr="003C0176">
              <w:t>older people</w:t>
            </w:r>
          </w:p>
          <w:p w:rsidR="00000000" w:rsidRPr="003C0176" w:rsidP="003C0176">
            <w:pPr>
              <w:pStyle w:val="BodyText"/>
            </w:pPr>
            <w:r w:rsidRPr="003C0176">
              <w:t>people in rural and remote locations</w:t>
            </w:r>
          </w:p>
          <w:p w:rsidR="00000000" w:rsidRPr="003C0176" w:rsidP="003C0176">
            <w:pPr>
              <w:pStyle w:val="BodyText"/>
            </w:pPr>
            <w:r w:rsidRPr="003C0176">
              <w:t xml:space="preserve">Assessment methods suitable for valid and reliable assessment of this competency may include, but are not limited to, a combination of 2 or more of: </w:t>
            </w:r>
          </w:p>
          <w:p w:rsidR="00000000" w:rsidRPr="003C0176" w:rsidP="003C0176">
            <w:pPr>
              <w:pStyle w:val="BodyText"/>
            </w:pPr>
            <w:r w:rsidRPr="003C0176">
              <w:t>case studies</w:t>
            </w:r>
          </w:p>
          <w:p w:rsidR="00000000" w:rsidRPr="003C0176" w:rsidP="003C0176">
            <w:pPr>
              <w:pStyle w:val="BodyText"/>
            </w:pPr>
            <w:r w:rsidRPr="003C0176">
              <w:t xml:space="preserve">demonstration </w:t>
            </w:r>
          </w:p>
          <w:p w:rsidR="00000000" w:rsidRPr="003C0176" w:rsidP="003C0176">
            <w:pPr>
              <w:pStyle w:val="BodyText"/>
            </w:pPr>
            <w:r w:rsidRPr="003C0176">
              <w:t xml:space="preserve">portfolios </w:t>
            </w:r>
          </w:p>
          <w:p w:rsidR="00000000" w:rsidRPr="003C0176" w:rsidP="003C0176">
            <w:pPr>
              <w:pStyle w:val="BodyText"/>
            </w:pPr>
            <w:r w:rsidRPr="003C0176">
              <w:t>questioning</w:t>
            </w:r>
          </w:p>
          <w:p w:rsidR="00000000" w:rsidRPr="003C0176" w:rsidP="003C0176">
            <w:pPr>
              <w:pStyle w:val="BodyText"/>
            </w:pPr>
            <w:r w:rsidRPr="003C0176">
              <w:t>scenarios</w:t>
            </w:r>
          </w:p>
          <w:p w:rsidR="00000000" w:rsidRPr="003C0176" w:rsidP="003C0176">
            <w:pPr>
              <w:pStyle w:val="BodyText"/>
            </w:pPr>
            <w:r w:rsidRPr="003C0176">
              <w:t>simulation or role plays</w:t>
            </w:r>
          </w:p>
          <w:p w:rsidR="00000000" w:rsidP="003C0176">
            <w:pPr>
              <w:pStyle w:val="BodyText"/>
              <w:rPr>
                <w:lang w:val="en-NZ"/>
              </w:rPr>
            </w:pPr>
            <w:r w:rsidRPr="003C0176">
              <w:t>authenticated evide</w:t>
            </w:r>
            <w:r w:rsidRPr="003C0176">
              <w:t xml:space="preserve">nce from the workplace and/or training courses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For consistency of assessment</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 xml:space="preserve">Evidence must be gathered over time in a range of contexts to ensure the person can achieve the unit outcome and apply the competency in different situations or environments </w:t>
            </w:r>
          </w:p>
        </w:tc>
      </w:tr>
    </w:tbl>
    <w:p w:rsidR="00000000" w:rsidRPr="003C0176" w:rsidP="003C0176">
      <w:pPr>
        <w:pStyle w:val="BodyText"/>
      </w:pPr>
    </w:p>
    <w:p w:rsidR="00000000" w:rsidRPr="003C0176" w:rsidP="003C0176">
      <w:pPr>
        <w:pStyle w:val="AllowPageBreak"/>
      </w:pPr>
    </w:p>
    <w:p w:rsidR="00000000" w:rsidRPr="003C0176" w:rsidP="003C0176">
      <w:pPr>
        <w:pStyle w:val="Heading1"/>
      </w:pPr>
      <w:bookmarkStart w:id="11" w:name="O_312483"/>
      <w:bookmarkEnd w:id="11"/>
      <w:r w:rsidRPr="003C0176">
        <w:t>Range Statement</w:t>
      </w:r>
    </w:p>
    <w:tbl>
      <w:tblPr>
        <w:tblW w:w="0" w:type="auto"/>
        <w:tblLayout w:type="fixed"/>
        <w:tblCellMar>
          <w:left w:w="62" w:type="dxa"/>
          <w:right w:w="62" w:type="dxa"/>
        </w:tblCellMar>
        <w:tblLook w:val="0000"/>
      </w:tblPr>
      <w:tblGrid>
        <w:gridCol w:w="4500"/>
        <w:gridCol w:w="4500"/>
      </w:tblGrid>
      <w:tr w:rsidTr="00F977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RANGE STATEMENT</w:t>
            </w:r>
          </w:p>
        </w:tc>
      </w:tr>
      <w:tr w:rsidTr="00F977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t xml:space="preserve">The Range Statement provides information about the context in which the unit of competency is carried out. The variables cater for differences </w:t>
            </w:r>
            <w:r w:rsidRPr="003C0176">
              <w:t>between States and Territories and the Commonwealth, and between organisations and workplaces. They allow for different work requirements, work practices and knowledge. The Range Statement also provides a focus for assessment. It relates to the unit as a w</w:t>
            </w:r>
            <w:r w:rsidRPr="003C0176">
              <w:t xml:space="preserve">hole. Text in </w:t>
            </w:r>
            <w:r w:rsidRPr="003C0176">
              <w:rPr>
                <w:rStyle w:val="SpecialBold"/>
              </w:rPr>
              <w:t>italics</w:t>
            </w:r>
            <w:r w:rsidRPr="003C0176">
              <w:t xml:space="preserve"> in the Performance Criteria is explained here.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Request for offers may include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 xml:space="preserve">invitations to submit:   </w:t>
            </w:r>
          </w:p>
          <w:p w:rsidR="00000000" w:rsidRPr="003C0176" w:rsidP="003C0176">
            <w:pPr>
              <w:pStyle w:val="BodyText"/>
            </w:pPr>
            <w:r w:rsidRPr="003C0176">
              <w:t>a tender</w:t>
            </w:r>
          </w:p>
          <w:p w:rsidR="00000000" w:rsidRPr="003C0176" w:rsidP="003C0176">
            <w:pPr>
              <w:pStyle w:val="BodyText"/>
            </w:pPr>
            <w:r w:rsidRPr="003C0176">
              <w:t>a proposal</w:t>
            </w:r>
          </w:p>
          <w:p w:rsidR="00000000" w:rsidRPr="003C0176" w:rsidP="003C0176">
            <w:pPr>
              <w:pStyle w:val="BodyText"/>
            </w:pPr>
            <w:r w:rsidRPr="003C0176">
              <w:t>a quotation</w:t>
            </w:r>
          </w:p>
          <w:p w:rsidR="00000000" w:rsidP="003C0176">
            <w:pPr>
              <w:pStyle w:val="BodyText"/>
              <w:rPr>
                <w:lang w:val="en-NZ"/>
              </w:rPr>
            </w:pPr>
            <w:r w:rsidRPr="003C0176">
              <w:t xml:space="preserve">an expression of interest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Requests for offers must incorporate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elements necessary to make pro</w:t>
            </w:r>
            <w:r w:rsidRPr="003C0176">
              <w:t>per offer</w:t>
            </w:r>
          </w:p>
          <w:p w:rsidR="00000000" w:rsidRPr="003C0176" w:rsidP="003C0176">
            <w:pPr>
              <w:pStyle w:val="BodyText"/>
            </w:pPr>
            <w:r w:rsidRPr="003C0176">
              <w:t>lodgment procedures</w:t>
            </w:r>
          </w:p>
          <w:p w:rsidR="00000000" w:rsidRPr="003C0176" w:rsidP="003C0176">
            <w:pPr>
              <w:pStyle w:val="BodyText"/>
            </w:pPr>
            <w:r w:rsidRPr="003C0176">
              <w:t>information to be supplied by bidder</w:t>
            </w:r>
          </w:p>
          <w:p w:rsidR="00000000" w:rsidRPr="003C0176" w:rsidP="003C0176">
            <w:pPr>
              <w:pStyle w:val="BodyText"/>
            </w:pPr>
            <w:r w:rsidRPr="003C0176">
              <w:t>draft contracts</w:t>
            </w:r>
          </w:p>
          <w:p w:rsidR="00000000" w:rsidRPr="003C0176" w:rsidP="003C0176">
            <w:pPr>
              <w:pStyle w:val="BodyText"/>
            </w:pPr>
            <w:r w:rsidRPr="003C0176">
              <w:t>general/special conditions of contracts</w:t>
            </w:r>
          </w:p>
          <w:p w:rsidR="00000000" w:rsidRPr="003C0176" w:rsidP="003C0176">
            <w:pPr>
              <w:pStyle w:val="BodyText"/>
            </w:pPr>
            <w:r w:rsidRPr="003C0176">
              <w:t>specifications</w:t>
            </w:r>
          </w:p>
          <w:p w:rsidR="00000000" w:rsidP="003C0176">
            <w:pPr>
              <w:pStyle w:val="BodyText"/>
              <w:rPr>
                <w:lang w:val="en-NZ"/>
              </w:rPr>
            </w:pPr>
            <w:r w:rsidRPr="003C0176">
              <w:t xml:space="preserve">terms and conditions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Probity principles are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accountability</w:t>
            </w:r>
          </w:p>
          <w:p w:rsidR="00000000" w:rsidRPr="003C0176" w:rsidP="003C0176">
            <w:pPr>
              <w:pStyle w:val="BodyText"/>
            </w:pPr>
            <w:r w:rsidRPr="003C0176">
              <w:t>transparency</w:t>
            </w:r>
          </w:p>
          <w:p w:rsidR="00000000" w:rsidRPr="003C0176" w:rsidP="003C0176">
            <w:pPr>
              <w:pStyle w:val="BodyText"/>
            </w:pPr>
            <w:r w:rsidRPr="003C0176">
              <w:t>confidentiality</w:t>
            </w:r>
          </w:p>
          <w:p w:rsidR="00000000" w:rsidRPr="003C0176" w:rsidP="003C0176">
            <w:pPr>
              <w:pStyle w:val="BodyText"/>
            </w:pPr>
            <w:r w:rsidRPr="003C0176">
              <w:t>management of conflicts of interest</w:t>
            </w:r>
          </w:p>
          <w:p w:rsidR="00000000" w:rsidRPr="003C0176" w:rsidP="003C0176">
            <w:pPr>
              <w:pStyle w:val="BodyText"/>
            </w:pPr>
            <w:r w:rsidRPr="003C0176">
              <w:t xml:space="preserve">maintained to:   </w:t>
            </w:r>
          </w:p>
          <w:p w:rsidR="00000000" w:rsidRPr="003C0176" w:rsidP="003C0176">
            <w:pPr>
              <w:pStyle w:val="BodyText"/>
            </w:pPr>
            <w:r w:rsidRPr="003C0176">
              <w:t>ensure conformity to processes</w:t>
            </w:r>
          </w:p>
          <w:p w:rsidR="00000000" w:rsidRPr="003C0176" w:rsidP="003C0176">
            <w:pPr>
              <w:pStyle w:val="BodyText"/>
            </w:pPr>
            <w:r w:rsidRPr="003C0176">
              <w:t>facilitate accountability</w:t>
            </w:r>
          </w:p>
          <w:p w:rsidR="00000000" w:rsidRPr="003C0176" w:rsidP="003C0176">
            <w:pPr>
              <w:pStyle w:val="BodyText"/>
            </w:pPr>
            <w:r w:rsidRPr="003C0176">
              <w:t>ensure proponents are treated in a fair and equitable manner</w:t>
            </w:r>
          </w:p>
          <w:p w:rsidR="00000000" w:rsidRPr="003C0176" w:rsidP="003C0176">
            <w:pPr>
              <w:pStyle w:val="BodyText"/>
            </w:pPr>
            <w:r w:rsidRPr="003C0176">
              <w:t xml:space="preserve">encourage commercial competition </w:t>
            </w:r>
          </w:p>
          <w:p w:rsidR="00000000" w:rsidP="003C0176">
            <w:pPr>
              <w:pStyle w:val="BodyText"/>
              <w:rPr>
                <w:lang w:val="en-NZ"/>
              </w:rPr>
            </w:pPr>
            <w:r w:rsidRPr="003C0176">
              <w:t>preserve public and private sector confidence in g</w:t>
            </w:r>
            <w:r w:rsidRPr="003C0176">
              <w:t xml:space="preserve">overnment processes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Offers may include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delivery of goods for use or into store</w:t>
            </w:r>
          </w:p>
          <w:p w:rsidR="00000000" w:rsidRPr="003C0176" w:rsidP="003C0176">
            <w:pPr>
              <w:pStyle w:val="BodyText"/>
            </w:pPr>
            <w:r w:rsidRPr="003C0176">
              <w:t>provision of services</w:t>
            </w:r>
          </w:p>
          <w:p w:rsidR="00000000" w:rsidRPr="003C0176" w:rsidP="003C0176">
            <w:pPr>
              <w:pStyle w:val="BodyText"/>
            </w:pPr>
            <w:r w:rsidRPr="003C0176">
              <w:t>maintenance agreements</w:t>
            </w:r>
          </w:p>
          <w:p w:rsidR="00000000" w:rsidRPr="003C0176" w:rsidP="003C0176">
            <w:pPr>
              <w:pStyle w:val="BodyText"/>
            </w:pPr>
            <w:r w:rsidRPr="003C0176">
              <w:t>leasing agreements</w:t>
            </w:r>
          </w:p>
          <w:p w:rsidR="00000000" w:rsidRPr="003C0176" w:rsidP="003C0176">
            <w:pPr>
              <w:pStyle w:val="BodyText"/>
            </w:pPr>
            <w:r w:rsidRPr="003C0176">
              <w:t>consultancies</w:t>
            </w:r>
          </w:p>
          <w:p w:rsidR="00000000" w:rsidP="003C0176">
            <w:pPr>
              <w:pStyle w:val="BodyText"/>
              <w:rPr>
                <w:lang w:val="en-NZ"/>
              </w:rPr>
            </w:pPr>
            <w:r w:rsidRPr="003C0176">
              <w:t xml:space="preserve">research and development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Evaluation must include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processing offers</w:t>
            </w:r>
          </w:p>
          <w:p w:rsidR="00000000" w:rsidRPr="003C0176" w:rsidP="003C0176">
            <w:pPr>
              <w:pStyle w:val="BodyText"/>
            </w:pPr>
            <w:r w:rsidRPr="003C0176">
              <w:t>determining value for money</w:t>
            </w:r>
          </w:p>
          <w:p w:rsidR="00000000" w:rsidRPr="003C0176" w:rsidP="003C0176">
            <w:pPr>
              <w:pStyle w:val="BodyText"/>
            </w:pPr>
            <w:r w:rsidRPr="003C0176">
              <w:t>checking/investigation</w:t>
            </w:r>
          </w:p>
          <w:p w:rsidR="00000000" w:rsidRPr="003C0176" w:rsidP="003C0176">
            <w:pPr>
              <w:pStyle w:val="BodyText"/>
            </w:pPr>
            <w:r w:rsidRPr="003C0176">
              <w:t>collation of information</w:t>
            </w:r>
          </w:p>
          <w:p w:rsidR="00000000" w:rsidRPr="003C0176" w:rsidP="003C0176">
            <w:pPr>
              <w:pStyle w:val="BodyText"/>
            </w:pPr>
            <w:r w:rsidRPr="003C0176">
              <w:t>comparative statements</w:t>
            </w:r>
          </w:p>
          <w:p w:rsidR="00000000" w:rsidRPr="003C0176" w:rsidP="003C0176">
            <w:pPr>
              <w:pStyle w:val="BodyText"/>
            </w:pPr>
            <w:r w:rsidRPr="003C0176">
              <w:t>accountability</w:t>
            </w:r>
          </w:p>
          <w:p w:rsidR="00000000" w:rsidP="003C0176">
            <w:pPr>
              <w:pStyle w:val="BodyText"/>
              <w:rPr>
                <w:lang w:val="en-NZ"/>
              </w:rPr>
            </w:pPr>
            <w:r w:rsidRPr="003C0176">
              <w:t xml:space="preserve">and may include staged procurement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Allocation of business may include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 xml:space="preserve">many successful bidders </w:t>
            </w:r>
          </w:p>
          <w:p w:rsidR="00000000" w:rsidP="003C0176">
            <w:pPr>
              <w:pStyle w:val="BodyText"/>
              <w:rPr>
                <w:lang w:val="en-NZ"/>
              </w:rPr>
            </w:pPr>
            <w:r w:rsidRPr="003C0176">
              <w:t xml:space="preserve">many contracts as a result of a single request for offer </w:t>
            </w:r>
          </w:p>
        </w:tc>
      </w:tr>
      <w:tr w:rsidTr="00F977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C0176">
            <w:pPr>
              <w:pStyle w:val="BodyText"/>
              <w:rPr>
                <w:lang w:val="en-NZ"/>
              </w:rPr>
            </w:pPr>
            <w:r w:rsidRPr="003C0176">
              <w:rPr>
                <w:rStyle w:val="SpecialBold"/>
              </w:rPr>
              <w:t xml:space="preserve">Contracts may </w:t>
            </w:r>
            <w:r w:rsidRPr="003C0176">
              <w:rPr>
                <w:rStyle w:val="SpecialBold"/>
              </w:rPr>
              <w:t>include</w:t>
            </w:r>
          </w:p>
        </w:tc>
        <w:tc>
          <w:tcPr>
            <w:tcW w:w="4500" w:type="dxa"/>
            <w:tcBorders>
              <w:top w:val="nil"/>
              <w:left w:val="nil"/>
              <w:bottom w:val="nil"/>
              <w:right w:val="nil"/>
            </w:tcBorders>
            <w:tcMar>
              <w:top w:w="0" w:type="dxa"/>
              <w:left w:w="62" w:type="dxa"/>
              <w:bottom w:w="0" w:type="dxa"/>
              <w:right w:w="62" w:type="dxa"/>
            </w:tcMar>
          </w:tcPr>
          <w:p w:rsidR="00000000" w:rsidRPr="003C0176" w:rsidP="003C0176">
            <w:pPr>
              <w:pStyle w:val="BodyText"/>
            </w:pPr>
            <w:r w:rsidRPr="003C0176">
              <w:t>memoranda of understanding/memoranda of agreement</w:t>
            </w:r>
          </w:p>
          <w:p w:rsidR="00000000" w:rsidRPr="003C0176" w:rsidP="003C0176">
            <w:pPr>
              <w:pStyle w:val="BodyText"/>
            </w:pPr>
            <w:r w:rsidRPr="003C0176">
              <w:t>in-house option directives</w:t>
            </w:r>
          </w:p>
          <w:p w:rsidR="00000000" w:rsidRPr="003C0176" w:rsidP="003C0176">
            <w:pPr>
              <w:pStyle w:val="BodyText"/>
            </w:pPr>
            <w:r w:rsidRPr="003C0176">
              <w:t>common use arrangements/standing offers</w:t>
            </w:r>
          </w:p>
          <w:p w:rsidR="00000000" w:rsidRPr="003C0176" w:rsidP="003C0176">
            <w:pPr>
              <w:pStyle w:val="BodyText"/>
            </w:pPr>
            <w:r w:rsidRPr="003C0176">
              <w:t>inter/intra-government agreements</w:t>
            </w:r>
          </w:p>
          <w:p w:rsidR="00000000" w:rsidRPr="003C0176" w:rsidP="003C0176">
            <w:pPr>
              <w:pStyle w:val="BodyText"/>
            </w:pPr>
            <w:r w:rsidRPr="003C0176">
              <w:t xml:space="preserve">deeds of agreement </w:t>
            </w:r>
          </w:p>
        </w:tc>
      </w:tr>
    </w:tbl>
    <w:p w:rsidR="00000000" w:rsidRPr="003C0176" w:rsidP="003C0176">
      <w:pPr>
        <w:pStyle w:val="BodyText"/>
      </w:pPr>
    </w:p>
    <w:p w:rsidR="00000000" w:rsidRPr="003C0176" w:rsidP="003C0176">
      <w:pPr>
        <w:pStyle w:val="AllowPageBreak"/>
      </w:pPr>
    </w:p>
    <w:p w:rsidR="00000000" w:rsidRPr="003C0176" w:rsidP="003C0176">
      <w:pPr>
        <w:pStyle w:val="Heading1"/>
      </w:pPr>
      <w:bookmarkStart w:id="12" w:name="O_312482"/>
      <w:bookmarkEnd w:id="12"/>
      <w:r w:rsidRPr="003C0176">
        <w:t>Unit Sector(s)</w:t>
      </w:r>
    </w:p>
    <w:p w:rsidR="00000000" w:rsidRPr="003C0176" w:rsidP="003C0176">
      <w:pPr>
        <w:pStyle w:val="Heading1"/>
      </w:pPr>
      <w:bookmarkStart w:id="13" w:name="O_312481"/>
      <w:bookmarkEnd w:id="13"/>
      <w:r w:rsidRPr="003C0176">
        <w:t>Competency field</w:t>
      </w:r>
    </w:p>
    <w:p w:rsidR="00000000" w:rsidRPr="003C0176" w:rsidP="003C0176">
      <w:pPr>
        <w:pStyle w:val="BodyText"/>
      </w:pPr>
      <w:r w:rsidRPr="003C0176">
        <w:t>Procurement&amp;Contract Management</w:t>
      </w:r>
    </w:p>
    <w:p w:rsidR="00000000" w:rsidRPr="003C0176" w:rsidP="003C0176"/>
    <w:sectPr w:rsidSect="003C0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796" w:rsidP="00F97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96" w:rsidP="003C0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7796" w:rsidP="003C0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97796" w:rsidP="003C0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796" w:rsidP="00F977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96" w:rsidP="003C0176">
    <w:pPr>
      <w:pStyle w:val="Header"/>
      <w:framePr w:wrap="around"/>
    </w:pPr>
    <w:r>
      <w:fldChar w:fldCharType="begin"/>
    </w:r>
    <w:r>
      <w:instrText xml:space="preserve"> TITLE   \* MERGEFORMAT </w:instrText>
    </w:r>
    <w:r>
      <w:fldChar w:fldCharType="separate"/>
    </w:r>
    <w:r>
      <w:t>PSPPROC409A Receive and select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7796" w:rsidP="003C0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176"/>
    <w:pPr>
      <w:spacing w:before="360" w:after="60"/>
      <w:outlineLvl w:val="0"/>
    </w:pPr>
    <w:rPr>
      <w:sz w:val="32"/>
    </w:rPr>
  </w:style>
  <w:style w:type="paragraph" w:styleId="Heading2">
    <w:name w:val="heading 2"/>
    <w:basedOn w:val="HeadingBase"/>
    <w:next w:val="BodyText"/>
    <w:link w:val="Heading2Char"/>
    <w:qFormat/>
    <w:rsid w:val="003C0176"/>
    <w:pPr>
      <w:keepLines/>
      <w:spacing w:before="240" w:after="120"/>
      <w:outlineLvl w:val="1"/>
    </w:pPr>
    <w:rPr>
      <w:sz w:val="28"/>
      <w:szCs w:val="40"/>
    </w:rPr>
  </w:style>
  <w:style w:type="paragraph" w:styleId="Heading3">
    <w:name w:val="heading 3"/>
    <w:basedOn w:val="HeadingBase"/>
    <w:next w:val="BodyText"/>
    <w:link w:val="Heading3Char"/>
    <w:qFormat/>
    <w:rsid w:val="003C0176"/>
    <w:pPr>
      <w:spacing w:before="180" w:after="120"/>
      <w:outlineLvl w:val="2"/>
    </w:pPr>
    <w:rPr>
      <w:spacing w:val="-10"/>
      <w:kern w:val="32"/>
    </w:rPr>
  </w:style>
  <w:style w:type="paragraph" w:styleId="Heading4">
    <w:name w:val="heading 4"/>
    <w:basedOn w:val="HeadingBase"/>
    <w:next w:val="BodyText"/>
    <w:link w:val="Heading4Char"/>
    <w:qFormat/>
    <w:rsid w:val="003C0176"/>
    <w:pPr>
      <w:spacing w:before="160" w:after="120"/>
      <w:outlineLvl w:val="3"/>
    </w:pPr>
    <w:rPr>
      <w:sz w:val="22"/>
    </w:rPr>
  </w:style>
  <w:style w:type="paragraph" w:styleId="Heading5">
    <w:name w:val="heading 5"/>
    <w:basedOn w:val="HeadingBase"/>
    <w:next w:val="Normal"/>
    <w:link w:val="Heading5Char"/>
    <w:qFormat/>
    <w:rsid w:val="003C0176"/>
    <w:pPr>
      <w:spacing w:before="80"/>
      <w:outlineLvl w:val="4"/>
    </w:pPr>
    <w:rPr>
      <w:color w:val="918585"/>
      <w:sz w:val="20"/>
    </w:rPr>
  </w:style>
  <w:style w:type="paragraph" w:styleId="Heading6">
    <w:name w:val="heading 6"/>
    <w:basedOn w:val="HeadingBase"/>
    <w:next w:val="Normal"/>
    <w:link w:val="Heading6Char"/>
    <w:qFormat/>
    <w:rsid w:val="003C0176"/>
    <w:pPr>
      <w:spacing w:before="60"/>
      <w:outlineLvl w:val="5"/>
    </w:pPr>
    <w:rPr>
      <w:color w:val="918585"/>
      <w:sz w:val="20"/>
    </w:rPr>
  </w:style>
  <w:style w:type="paragraph" w:styleId="Heading7">
    <w:name w:val="heading 7"/>
    <w:basedOn w:val="Normal"/>
    <w:next w:val="Normal"/>
    <w:link w:val="Heading7Char"/>
    <w:qFormat/>
    <w:rsid w:val="003C0176"/>
    <w:pPr>
      <w:ind w:left="720"/>
      <w:outlineLvl w:val="6"/>
    </w:pPr>
    <w:rPr>
      <w:i/>
    </w:rPr>
  </w:style>
  <w:style w:type="paragraph" w:styleId="Heading8">
    <w:name w:val="heading 8"/>
    <w:basedOn w:val="Normal"/>
    <w:next w:val="Normal"/>
    <w:link w:val="Heading8Char"/>
    <w:qFormat/>
    <w:rsid w:val="003C0176"/>
    <w:pPr>
      <w:ind w:left="720"/>
      <w:outlineLvl w:val="7"/>
    </w:pPr>
    <w:rPr>
      <w:i/>
    </w:rPr>
  </w:style>
  <w:style w:type="paragraph" w:styleId="Heading9">
    <w:name w:val="heading 9"/>
    <w:basedOn w:val="Normal"/>
    <w:next w:val="Normal"/>
    <w:link w:val="Heading9Char"/>
    <w:qFormat/>
    <w:rsid w:val="003C0176"/>
    <w:pPr>
      <w:ind w:left="720"/>
      <w:outlineLvl w:val="8"/>
    </w:pPr>
    <w:rPr>
      <w:i/>
    </w:rPr>
  </w:style>
  <w:style w:type="character" w:default="1" w:styleId="DefaultParagraphFont">
    <w:name w:val="Default Paragraph Font"/>
    <w:uiPriority w:val="1"/>
    <w:unhideWhenUsed/>
    <w:rsid w:val="003C0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76"/>
  </w:style>
  <w:style w:type="character" w:customStyle="1" w:styleId="Heading1Char">
    <w:name w:val="Heading 1 Char"/>
    <w:link w:val="Heading1"/>
    <w:rsid w:val="003C0176"/>
    <w:rPr>
      <w:rFonts w:ascii="Times New Roman" w:eastAsia="Times New Roman" w:hAnsi="Times New Roman" w:cs="Times New Roman"/>
      <w:b/>
      <w:sz w:val="32"/>
      <w:szCs w:val="20"/>
      <w:lang w:eastAsia="en-US"/>
    </w:rPr>
  </w:style>
  <w:style w:type="paragraph" w:styleId="BodyText">
    <w:name w:val="Body Text"/>
    <w:basedOn w:val="Normal"/>
    <w:link w:val="BodyTextChar"/>
    <w:rsid w:val="003C0176"/>
    <w:pPr>
      <w:spacing w:before="120" w:after="120"/>
      <w:contextualSpacing/>
    </w:pPr>
    <w:rPr>
      <w:rFonts w:ascii="Times New Roman" w:hAnsi="Times New Roman"/>
      <w:sz w:val="24"/>
      <w:szCs w:val="22"/>
    </w:rPr>
  </w:style>
  <w:style w:type="character" w:customStyle="1" w:styleId="BodyTextChar">
    <w:name w:val="Body Text Char"/>
    <w:link w:val="BodyText"/>
    <w:rsid w:val="003C0176"/>
    <w:rPr>
      <w:rFonts w:ascii="Times New Roman" w:eastAsia="Times New Roman" w:hAnsi="Times New Roman" w:cs="Times New Roman"/>
      <w:sz w:val="24"/>
      <w:lang w:val="en-US" w:eastAsia="en-US"/>
    </w:rPr>
  </w:style>
  <w:style w:type="paragraph" w:styleId="Footer">
    <w:name w:val="footer"/>
    <w:basedOn w:val="Normal"/>
    <w:link w:val="FooterChar"/>
    <w:rsid w:val="003C0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C0176"/>
    <w:rPr>
      <w:rFonts w:ascii="Times New Roman" w:eastAsia="Times New Roman" w:hAnsi="Times New Roman" w:cs="Times New Roman"/>
      <w:sz w:val="16"/>
      <w:lang w:val="en-US" w:eastAsia="en-US"/>
    </w:rPr>
  </w:style>
  <w:style w:type="character" w:customStyle="1" w:styleId="SpecialBold">
    <w:name w:val="Special Bold"/>
    <w:rsid w:val="003C0176"/>
    <w:rPr>
      <w:b/>
      <w:spacing w:val="0"/>
    </w:rPr>
  </w:style>
  <w:style w:type="paragraph" w:styleId="Header">
    <w:name w:val="header"/>
    <w:basedOn w:val="Normal"/>
    <w:link w:val="HeaderChar"/>
    <w:rsid w:val="003C0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C01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176"/>
    <w:pPr>
      <w:spacing w:before="240" w:after="120"/>
      <w:outlineLvl w:val="0"/>
    </w:pPr>
    <w:rPr>
      <w:rFonts w:ascii="Times New Roman" w:hAnsi="Times New Roman"/>
      <w:b/>
      <w:sz w:val="28"/>
    </w:rPr>
  </w:style>
  <w:style w:type="paragraph" w:customStyle="1" w:styleId="AllowPageBreak">
    <w:name w:val="AllowPageBreak"/>
    <w:rsid w:val="003C0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C0176"/>
    <w:rPr>
      <w:rFonts w:ascii="Times New Roman" w:eastAsia="Times New Roman" w:hAnsi="Times New Roman" w:cs="Times New Roman"/>
      <w:b/>
      <w:sz w:val="28"/>
      <w:szCs w:val="40"/>
      <w:lang w:eastAsia="en-US"/>
    </w:rPr>
  </w:style>
  <w:style w:type="character" w:customStyle="1" w:styleId="Heading3Char">
    <w:name w:val="Heading 3 Char"/>
    <w:link w:val="Heading3"/>
    <w:rsid w:val="003C01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C0176"/>
    <w:rPr>
      <w:rFonts w:ascii="Times New Roman" w:eastAsia="Times New Roman" w:hAnsi="Times New Roman" w:cs="Times New Roman"/>
      <w:b/>
      <w:szCs w:val="20"/>
      <w:lang w:eastAsia="en-US"/>
    </w:rPr>
  </w:style>
  <w:style w:type="character" w:customStyle="1" w:styleId="Heading5Char">
    <w:name w:val="Heading 5 Char"/>
    <w:link w:val="Heading5"/>
    <w:rsid w:val="003C01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C0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176"/>
    <w:rPr>
      <w:rFonts w:ascii="Courier New" w:eastAsia="Times New Roman" w:hAnsi="Courier New" w:cs="Times New Roman"/>
      <w:i/>
      <w:szCs w:val="20"/>
      <w:lang w:val="en-US" w:eastAsia="en-US"/>
    </w:rPr>
  </w:style>
  <w:style w:type="paragraph" w:customStyle="1" w:styleId="HeadingBase">
    <w:name w:val="Heading Base"/>
    <w:rsid w:val="003C0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76"/>
    <w:pPr>
      <w:tabs>
        <w:tab w:val="right" w:leader="dot" w:pos="9072"/>
      </w:tabs>
      <w:ind w:left="567"/>
    </w:pPr>
    <w:rPr>
      <w:szCs w:val="22"/>
    </w:rPr>
  </w:style>
  <w:style w:type="paragraph" w:customStyle="1" w:styleId="TOCBase">
    <w:name w:val="TOC Base"/>
    <w:rsid w:val="003C0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76"/>
    <w:pPr>
      <w:tabs>
        <w:tab w:val="right" w:leader="dot" w:pos="9072"/>
      </w:tabs>
      <w:spacing w:before="40" w:after="40"/>
      <w:ind w:left="284"/>
    </w:pPr>
    <w:rPr>
      <w:rFonts w:ascii="Times New Roman" w:hAnsi="Times New Roman"/>
    </w:rPr>
  </w:style>
  <w:style w:type="paragraph" w:styleId="TOC1">
    <w:name w:val="toc 1"/>
    <w:basedOn w:val="TOCBase"/>
    <w:next w:val="Normal"/>
    <w:rsid w:val="003C0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176"/>
    <w:pPr>
      <w:spacing w:before="5040"/>
      <w:jc w:val="center"/>
    </w:pPr>
    <w:rPr>
      <w:sz w:val="48"/>
      <w:szCs w:val="72"/>
      <w:lang w:val="en-US"/>
    </w:rPr>
  </w:style>
  <w:style w:type="character" w:customStyle="1" w:styleId="TitleChar">
    <w:name w:val="Title Char"/>
    <w:link w:val="Title"/>
    <w:rsid w:val="003C0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76"/>
    <w:pPr>
      <w:tabs>
        <w:tab w:val="left" w:pos="3600"/>
        <w:tab w:val="left" w:pos="3958"/>
      </w:tabs>
    </w:pPr>
  </w:style>
  <w:style w:type="paragraph" w:styleId="List">
    <w:name w:val="List"/>
    <w:basedOn w:val="BodyText"/>
    <w:next w:val="BodyText"/>
    <w:rsid w:val="003C0176"/>
    <w:pPr>
      <w:tabs>
        <w:tab w:val="left" w:pos="340"/>
      </w:tabs>
      <w:spacing w:before="60" w:after="60"/>
      <w:ind w:left="340" w:hanging="340"/>
    </w:pPr>
  </w:style>
  <w:style w:type="paragraph" w:styleId="ListBullet">
    <w:name w:val="List Bullet"/>
    <w:basedOn w:val="List"/>
    <w:rsid w:val="003C0176"/>
    <w:pPr>
      <w:numPr>
        <w:numId w:val="11"/>
      </w:numPr>
      <w:tabs>
        <w:tab w:val="clear" w:pos="340"/>
      </w:tabs>
      <w:spacing w:before="40" w:after="40"/>
    </w:pPr>
  </w:style>
  <w:style w:type="paragraph" w:customStyle="1" w:styleId="Note">
    <w:name w:val="Note"/>
    <w:basedOn w:val="BodyText"/>
    <w:rsid w:val="003C0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176"/>
    <w:pPr>
      <w:framePr w:wrap="auto" w:hAnchor="text" w:y="6049"/>
    </w:pPr>
    <w:rPr>
      <w:color w:val="000000"/>
      <w:sz w:val="40"/>
    </w:rPr>
  </w:style>
  <w:style w:type="paragraph" w:customStyle="1" w:styleId="TOCTitle">
    <w:name w:val="TOCTitle"/>
    <w:basedOn w:val="Heading1"/>
    <w:rsid w:val="003C0176"/>
    <w:pPr>
      <w:spacing w:after="240"/>
      <w:jc w:val="center"/>
      <w:outlineLvl w:val="9"/>
    </w:pPr>
    <w:rPr>
      <w:caps/>
    </w:rPr>
  </w:style>
  <w:style w:type="paragraph" w:customStyle="1" w:styleId="Version">
    <w:name w:val="Version"/>
    <w:rsid w:val="003C01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176"/>
    <w:pPr>
      <w:numPr>
        <w:numId w:val="12"/>
      </w:numPr>
      <w:tabs>
        <w:tab w:val="clear" w:pos="680"/>
      </w:tabs>
    </w:pPr>
  </w:style>
  <w:style w:type="paragraph" w:styleId="Index1">
    <w:name w:val="index 1"/>
    <w:basedOn w:val="Normal"/>
    <w:next w:val="Normal"/>
    <w:semiHidden/>
    <w:rsid w:val="003C0176"/>
    <w:pPr>
      <w:keepNext w:val="0"/>
      <w:tabs>
        <w:tab w:val="right" w:pos="4176"/>
      </w:tabs>
      <w:ind w:left="198" w:hanging="198"/>
    </w:pPr>
    <w:rPr>
      <w:rFonts w:ascii="Garamond" w:hAnsi="Garamond"/>
    </w:rPr>
  </w:style>
  <w:style w:type="paragraph" w:styleId="IndexHeading">
    <w:name w:val="index heading"/>
    <w:basedOn w:val="Normal"/>
    <w:next w:val="Index1"/>
    <w:semiHidden/>
    <w:rsid w:val="003C0176"/>
    <w:pPr>
      <w:spacing w:before="120" w:after="120"/>
    </w:pPr>
    <w:rPr>
      <w:rFonts w:ascii="Arial" w:hAnsi="Arial"/>
      <w:b/>
      <w:color w:val="918585"/>
      <w:sz w:val="24"/>
    </w:rPr>
  </w:style>
  <w:style w:type="paragraph" w:customStyle="1" w:styleId="Chapter">
    <w:name w:val="Chapter"/>
    <w:basedOn w:val="Normal"/>
    <w:rsid w:val="003C0176"/>
    <w:pPr>
      <w:spacing w:before="240"/>
    </w:pPr>
    <w:rPr>
      <w:rFonts w:ascii="Times New Roman" w:hAnsi="Times New Roman"/>
      <w:smallCaps/>
      <w:spacing w:val="80"/>
      <w:sz w:val="28"/>
    </w:rPr>
  </w:style>
  <w:style w:type="paragraph" w:customStyle="1" w:styleId="InChapter">
    <w:name w:val="InChapter"/>
    <w:basedOn w:val="Heading3"/>
    <w:rsid w:val="003C0176"/>
    <w:pPr>
      <w:spacing w:after="240"/>
      <w:outlineLvl w:val="9"/>
    </w:pPr>
    <w:rPr>
      <w:noProof/>
    </w:rPr>
  </w:style>
  <w:style w:type="paragraph" w:styleId="Index2">
    <w:name w:val="index 2"/>
    <w:basedOn w:val="Normal"/>
    <w:next w:val="Normal"/>
    <w:semiHidden/>
    <w:rsid w:val="003C0176"/>
    <w:pPr>
      <w:tabs>
        <w:tab w:val="right" w:pos="4176"/>
      </w:tabs>
      <w:ind w:left="568" w:hanging="284"/>
    </w:pPr>
    <w:rPr>
      <w:rFonts w:ascii="Garamond" w:hAnsi="Garamond"/>
    </w:rPr>
  </w:style>
  <w:style w:type="paragraph" w:customStyle="1" w:styleId="Byline">
    <w:name w:val="Byline"/>
    <w:rsid w:val="003C0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76"/>
    <w:pPr>
      <w:tabs>
        <w:tab w:val="clear" w:pos="3600"/>
        <w:tab w:val="clear" w:pos="3958"/>
      </w:tabs>
      <w:jc w:val="right"/>
    </w:pPr>
  </w:style>
  <w:style w:type="character" w:styleId="Emphasis">
    <w:name w:val="Emphasis"/>
    <w:qFormat/>
    <w:rsid w:val="003C0176"/>
    <w:rPr>
      <w:i/>
    </w:rPr>
  </w:style>
  <w:style w:type="paragraph" w:styleId="Caption">
    <w:name w:val="caption"/>
    <w:basedOn w:val="BodyText"/>
    <w:next w:val="Normal"/>
    <w:qFormat/>
    <w:rsid w:val="003C0176"/>
    <w:pPr>
      <w:framePr w:w="2268" w:hSpace="181" w:vSpace="181" w:wrap="around" w:vAnchor="text" w:hAnchor="page" w:x="1135" w:y="285" w:anchorLock="1"/>
    </w:pPr>
    <w:rPr>
      <w:i/>
    </w:rPr>
  </w:style>
  <w:style w:type="paragraph" w:customStyle="1" w:styleId="MiniTOCTitle">
    <w:name w:val="MiniTOCTitle"/>
    <w:basedOn w:val="Heading4"/>
    <w:rsid w:val="003C0176"/>
    <w:pPr>
      <w:spacing w:before="240"/>
      <w:outlineLvl w:val="9"/>
    </w:pPr>
    <w:rPr>
      <w:noProof/>
      <w:sz w:val="24"/>
    </w:rPr>
  </w:style>
  <w:style w:type="paragraph" w:customStyle="1" w:styleId="MiniTOCItem">
    <w:name w:val="MiniTOCItem"/>
    <w:basedOn w:val="ListBullet"/>
    <w:rsid w:val="003C0176"/>
    <w:pPr>
      <w:numPr>
        <w:numId w:val="0"/>
      </w:numPr>
      <w:tabs>
        <w:tab w:val="right" w:leader="dot" w:pos="6521"/>
      </w:tabs>
      <w:spacing w:before="0" w:after="0"/>
    </w:pPr>
  </w:style>
  <w:style w:type="paragraph" w:customStyle="1" w:styleId="TOFTitle">
    <w:name w:val="TOFTitle"/>
    <w:basedOn w:val="TOCTitle"/>
    <w:rsid w:val="003C0176"/>
  </w:style>
  <w:style w:type="paragraph" w:styleId="TableofFigures">
    <w:name w:val="table of figures"/>
    <w:basedOn w:val="Normal"/>
    <w:next w:val="Normal"/>
    <w:semiHidden/>
    <w:rsid w:val="003C0176"/>
    <w:pPr>
      <w:tabs>
        <w:tab w:val="right" w:leader="dot" w:pos="9072"/>
      </w:tabs>
      <w:ind w:left="970" w:hanging="403"/>
    </w:pPr>
    <w:rPr>
      <w:rFonts w:ascii="Times New Roman" w:hAnsi="Times New Roman"/>
      <w:b/>
    </w:rPr>
  </w:style>
  <w:style w:type="paragraph" w:styleId="ListNumber">
    <w:name w:val="List Number"/>
    <w:basedOn w:val="List"/>
    <w:rsid w:val="003C0176"/>
    <w:pPr>
      <w:numPr>
        <w:numId w:val="9"/>
      </w:numPr>
    </w:pPr>
  </w:style>
  <w:style w:type="character" w:customStyle="1" w:styleId="WingdingSymbols">
    <w:name w:val="Wingding Symbols"/>
    <w:rsid w:val="003C0176"/>
    <w:rPr>
      <w:rFonts w:ascii="Wingdings" w:hAnsi="Wingdings"/>
    </w:rPr>
  </w:style>
  <w:style w:type="paragraph" w:customStyle="1" w:styleId="TableHeading">
    <w:name w:val="Table Heading"/>
    <w:basedOn w:val="HeadingBase"/>
    <w:rsid w:val="003C0176"/>
    <w:pPr>
      <w:keepLines/>
      <w:pBdr>
        <w:bottom w:val="single" w:sz="6" w:space="1" w:color="918585"/>
      </w:pBdr>
      <w:spacing w:before="240"/>
    </w:pPr>
  </w:style>
  <w:style w:type="character" w:customStyle="1" w:styleId="HotSpot">
    <w:name w:val="HotSpot"/>
    <w:rsid w:val="003C0176"/>
    <w:rPr>
      <w:color w:val="0033CC"/>
      <w:u w:val="none"/>
    </w:rPr>
  </w:style>
  <w:style w:type="paragraph" w:customStyle="1" w:styleId="BodyTextRight">
    <w:name w:val="Body Text Right"/>
    <w:basedOn w:val="BodyText"/>
    <w:rsid w:val="003C0176"/>
    <w:pPr>
      <w:spacing w:before="0" w:after="0"/>
      <w:jc w:val="right"/>
    </w:pPr>
  </w:style>
  <w:style w:type="paragraph" w:styleId="Index3">
    <w:name w:val="index 3"/>
    <w:basedOn w:val="ListNumber2"/>
    <w:next w:val="Normal"/>
    <w:semiHidden/>
    <w:rsid w:val="003C0176"/>
    <w:pPr>
      <w:numPr>
        <w:numId w:val="0"/>
      </w:numPr>
      <w:tabs>
        <w:tab w:val="right" w:leader="dot" w:pos="4176"/>
      </w:tabs>
    </w:pPr>
  </w:style>
  <w:style w:type="paragraph" w:styleId="ListNumber2">
    <w:name w:val="List Number 2"/>
    <w:basedOn w:val="List2"/>
    <w:rsid w:val="003C0176"/>
    <w:pPr>
      <w:numPr>
        <w:numId w:val="8"/>
      </w:numPr>
      <w:tabs>
        <w:tab w:val="clear" w:pos="1060"/>
      </w:tabs>
    </w:pPr>
  </w:style>
  <w:style w:type="paragraph" w:customStyle="1" w:styleId="MarginNote">
    <w:name w:val="Margin Note"/>
    <w:basedOn w:val="BodyText"/>
    <w:rsid w:val="003C0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C0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176"/>
    <w:rPr>
      <w:sz w:val="32"/>
    </w:rPr>
  </w:style>
  <w:style w:type="paragraph" w:customStyle="1" w:styleId="HeadingProcedure">
    <w:name w:val="Heading Procedure"/>
    <w:basedOn w:val="HeadingBase"/>
    <w:next w:val="Normal"/>
    <w:rsid w:val="003C0176"/>
    <w:pPr>
      <w:tabs>
        <w:tab w:val="left" w:pos="0"/>
      </w:tabs>
      <w:spacing w:before="120" w:after="60"/>
    </w:pPr>
    <w:rPr>
      <w:i/>
      <w:color w:val="918585"/>
      <w:sz w:val="22"/>
    </w:rPr>
  </w:style>
  <w:style w:type="paragraph" w:customStyle="1" w:styleId="TableBodyText">
    <w:name w:val="Table Body Text"/>
    <w:basedOn w:val="BodyText"/>
    <w:rsid w:val="003C0176"/>
    <w:pPr>
      <w:spacing w:before="60" w:after="60"/>
    </w:pPr>
  </w:style>
  <w:style w:type="paragraph" w:styleId="ListContinue">
    <w:name w:val="List Continue"/>
    <w:basedOn w:val="List"/>
    <w:rsid w:val="003C0176"/>
    <w:pPr>
      <w:ind w:firstLine="0"/>
    </w:pPr>
  </w:style>
  <w:style w:type="paragraph" w:customStyle="1" w:styleId="ListNote">
    <w:name w:val="List Note"/>
    <w:basedOn w:val="List"/>
    <w:rsid w:val="003C0176"/>
    <w:pPr>
      <w:pBdr>
        <w:top w:val="single" w:sz="6" w:space="2" w:color="918585"/>
        <w:bottom w:val="single" w:sz="6" w:space="2" w:color="918585"/>
      </w:pBdr>
      <w:tabs>
        <w:tab w:val="left" w:pos="1021"/>
      </w:tabs>
      <w:ind w:firstLine="0"/>
    </w:pPr>
  </w:style>
  <w:style w:type="paragraph" w:customStyle="1" w:styleId="Warning">
    <w:name w:val="Warning"/>
    <w:basedOn w:val="BodyText"/>
    <w:rsid w:val="003C0176"/>
    <w:pPr>
      <w:shd w:val="clear" w:color="auto" w:fill="D9D9D9"/>
      <w:tabs>
        <w:tab w:val="left" w:pos="992"/>
      </w:tabs>
      <w:ind w:left="119" w:right="119"/>
    </w:pPr>
    <w:rPr>
      <w:sz w:val="20"/>
    </w:rPr>
  </w:style>
  <w:style w:type="paragraph" w:customStyle="1" w:styleId="MarginIcons">
    <w:name w:val="Margin Icons"/>
    <w:basedOn w:val="BodyText"/>
    <w:rsid w:val="003C01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C0176"/>
    <w:rPr>
      <w:rFonts w:ascii="Courier New" w:hAnsi="Courier New"/>
    </w:rPr>
  </w:style>
  <w:style w:type="paragraph" w:customStyle="1" w:styleId="NoteBullet">
    <w:name w:val="Note Bullet"/>
    <w:basedOn w:val="Note"/>
    <w:rsid w:val="003C0176"/>
    <w:pPr>
      <w:tabs>
        <w:tab w:val="clear" w:pos="680"/>
      </w:tabs>
      <w:spacing w:before="60" w:after="60"/>
    </w:pPr>
  </w:style>
  <w:style w:type="paragraph" w:customStyle="1" w:styleId="SubHeading2">
    <w:name w:val="SubHeading2"/>
    <w:basedOn w:val="HeadingBase"/>
    <w:rsid w:val="003C0176"/>
    <w:pPr>
      <w:spacing w:before="240" w:after="60"/>
    </w:pPr>
    <w:rPr>
      <w:sz w:val="20"/>
    </w:rPr>
  </w:style>
  <w:style w:type="paragraph" w:customStyle="1" w:styleId="SubHeading1">
    <w:name w:val="SubHeading1"/>
    <w:basedOn w:val="HeadingBase"/>
    <w:rsid w:val="003C0176"/>
    <w:pPr>
      <w:spacing w:before="240" w:after="60"/>
    </w:pPr>
    <w:rPr>
      <w:color w:val="918585"/>
      <w:sz w:val="22"/>
    </w:rPr>
  </w:style>
  <w:style w:type="paragraph" w:customStyle="1" w:styleId="SideHeading">
    <w:name w:val="Side Heading"/>
    <w:basedOn w:val="HeadingBase"/>
    <w:rsid w:val="003C0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76"/>
    <w:pPr>
      <w:numPr>
        <w:numId w:val="10"/>
      </w:numPr>
    </w:pPr>
  </w:style>
  <w:style w:type="paragraph" w:styleId="PlainText">
    <w:name w:val="Plain Text"/>
    <w:basedOn w:val="Normal"/>
    <w:link w:val="PlainTextChar"/>
    <w:rsid w:val="003C0176"/>
    <w:rPr>
      <w:sz w:val="20"/>
    </w:rPr>
  </w:style>
  <w:style w:type="character" w:customStyle="1" w:styleId="PlainTextChar">
    <w:name w:val="Plain Text Char"/>
    <w:basedOn w:val="DefaultParagraphFont"/>
    <w:link w:val="PlainText"/>
    <w:rsid w:val="003C0176"/>
    <w:rPr>
      <w:rFonts w:ascii="Courier New" w:eastAsia="Times New Roman" w:hAnsi="Courier New" w:cs="Times New Roman"/>
      <w:sz w:val="20"/>
      <w:szCs w:val="20"/>
      <w:lang w:val="en-US" w:eastAsia="en-US"/>
    </w:rPr>
  </w:style>
  <w:style w:type="character" w:customStyle="1" w:styleId="MenuOption">
    <w:name w:val="Menu Option"/>
    <w:rsid w:val="003C0176"/>
    <w:rPr>
      <w:b/>
      <w:smallCaps/>
    </w:rPr>
  </w:style>
  <w:style w:type="paragraph" w:customStyle="1" w:styleId="TableListNumber">
    <w:name w:val="Table List Number"/>
    <w:basedOn w:val="ListNumber"/>
    <w:rsid w:val="003C0176"/>
    <w:pPr>
      <w:numPr>
        <w:numId w:val="0"/>
      </w:numPr>
    </w:pPr>
  </w:style>
  <w:style w:type="paragraph" w:styleId="TOC4">
    <w:name w:val="toc 4"/>
    <w:basedOn w:val="TOCBase"/>
    <w:next w:val="Normal"/>
    <w:semiHidden/>
    <w:rsid w:val="003C0176"/>
    <w:pPr>
      <w:tabs>
        <w:tab w:val="right" w:leader="dot" w:pos="9071"/>
      </w:tabs>
      <w:ind w:left="1701"/>
    </w:pPr>
  </w:style>
  <w:style w:type="paragraph" w:customStyle="1" w:styleId="ListAlpha">
    <w:name w:val="List Alpha"/>
    <w:basedOn w:val="List"/>
    <w:rsid w:val="003C0176"/>
    <w:pPr>
      <w:numPr>
        <w:numId w:val="7"/>
      </w:numPr>
    </w:pPr>
  </w:style>
  <w:style w:type="paragraph" w:customStyle="1" w:styleId="ListAlpha2">
    <w:name w:val="List Alpha 2"/>
    <w:basedOn w:val="List2"/>
    <w:rsid w:val="003C0176"/>
    <w:pPr>
      <w:numPr>
        <w:numId w:val="6"/>
      </w:numPr>
    </w:pPr>
  </w:style>
  <w:style w:type="paragraph" w:styleId="List2">
    <w:name w:val="List 2"/>
    <w:basedOn w:val="BodyText"/>
    <w:rsid w:val="003C0176"/>
    <w:pPr>
      <w:tabs>
        <w:tab w:val="left" w:pos="680"/>
      </w:tabs>
      <w:spacing w:before="60" w:after="60"/>
      <w:ind w:left="680" w:hanging="340"/>
    </w:pPr>
  </w:style>
  <w:style w:type="paragraph" w:styleId="List3">
    <w:name w:val="List 3"/>
    <w:basedOn w:val="BodyText"/>
    <w:rsid w:val="003C0176"/>
    <w:pPr>
      <w:tabs>
        <w:tab w:val="left" w:pos="1021"/>
      </w:tabs>
      <w:spacing w:before="60" w:after="60"/>
      <w:ind w:left="1020" w:hanging="340"/>
    </w:pPr>
  </w:style>
  <w:style w:type="paragraph" w:styleId="List4">
    <w:name w:val="List 4"/>
    <w:basedOn w:val="BodyText"/>
    <w:rsid w:val="003C0176"/>
    <w:pPr>
      <w:tabs>
        <w:tab w:val="left" w:pos="1361"/>
      </w:tabs>
      <w:spacing w:before="60" w:after="60"/>
      <w:ind w:left="1361" w:hanging="340"/>
    </w:pPr>
  </w:style>
  <w:style w:type="paragraph" w:styleId="List5">
    <w:name w:val="List 5"/>
    <w:basedOn w:val="BodyText"/>
    <w:rsid w:val="003C0176"/>
    <w:pPr>
      <w:tabs>
        <w:tab w:val="left" w:pos="1701"/>
      </w:tabs>
      <w:spacing w:before="60" w:after="60"/>
      <w:ind w:left="1701" w:hanging="340"/>
    </w:pPr>
  </w:style>
  <w:style w:type="paragraph" w:styleId="ListBullet3">
    <w:name w:val="List Bullet 3"/>
    <w:basedOn w:val="List3"/>
    <w:rsid w:val="003C0176"/>
    <w:pPr>
      <w:numPr>
        <w:numId w:val="13"/>
      </w:numPr>
      <w:tabs>
        <w:tab w:val="clear" w:pos="1021"/>
      </w:tabs>
      <w:ind w:left="1037" w:hanging="357"/>
    </w:pPr>
  </w:style>
  <w:style w:type="paragraph" w:styleId="ListBullet4">
    <w:name w:val="List Bullet 4"/>
    <w:basedOn w:val="List4"/>
    <w:rsid w:val="003C0176"/>
    <w:pPr>
      <w:numPr>
        <w:numId w:val="1"/>
      </w:numPr>
    </w:pPr>
  </w:style>
  <w:style w:type="paragraph" w:styleId="ListBullet5">
    <w:name w:val="List Bullet 5"/>
    <w:basedOn w:val="List5"/>
    <w:rsid w:val="003C0176"/>
    <w:pPr>
      <w:numPr>
        <w:numId w:val="2"/>
      </w:numPr>
    </w:pPr>
  </w:style>
  <w:style w:type="paragraph" w:styleId="ListContinue2">
    <w:name w:val="List Continue 2"/>
    <w:basedOn w:val="List2"/>
    <w:rsid w:val="003C0176"/>
    <w:pPr>
      <w:ind w:firstLine="0"/>
    </w:pPr>
  </w:style>
  <w:style w:type="paragraph" w:styleId="ListContinue3">
    <w:name w:val="List Continue 3"/>
    <w:basedOn w:val="List3"/>
    <w:rsid w:val="003C0176"/>
    <w:pPr>
      <w:ind w:left="1021" w:firstLine="0"/>
    </w:pPr>
  </w:style>
  <w:style w:type="paragraph" w:styleId="ListContinue4">
    <w:name w:val="List Continue 4"/>
    <w:basedOn w:val="List4"/>
    <w:rsid w:val="003C0176"/>
    <w:pPr>
      <w:ind w:firstLine="0"/>
    </w:pPr>
  </w:style>
  <w:style w:type="paragraph" w:styleId="ListContinue5">
    <w:name w:val="List Continue 5"/>
    <w:basedOn w:val="List5"/>
    <w:rsid w:val="003C0176"/>
    <w:pPr>
      <w:ind w:firstLine="0"/>
    </w:pPr>
  </w:style>
  <w:style w:type="paragraph" w:styleId="ListNumber3">
    <w:name w:val="List Number 3"/>
    <w:basedOn w:val="List3"/>
    <w:rsid w:val="003C0176"/>
    <w:pPr>
      <w:numPr>
        <w:numId w:val="3"/>
      </w:numPr>
    </w:pPr>
  </w:style>
  <w:style w:type="paragraph" w:styleId="ListNumber4">
    <w:name w:val="List Number 4"/>
    <w:basedOn w:val="List4"/>
    <w:rsid w:val="003C0176"/>
    <w:pPr>
      <w:numPr>
        <w:numId w:val="4"/>
      </w:numPr>
    </w:pPr>
  </w:style>
  <w:style w:type="paragraph" w:styleId="ListNumber5">
    <w:name w:val="List Number 5"/>
    <w:basedOn w:val="List5"/>
    <w:rsid w:val="003C0176"/>
    <w:pPr>
      <w:numPr>
        <w:numId w:val="5"/>
      </w:numPr>
    </w:pPr>
  </w:style>
  <w:style w:type="paragraph" w:styleId="BlockText">
    <w:name w:val="Block Text"/>
    <w:basedOn w:val="Normal"/>
    <w:rsid w:val="003C0176"/>
    <w:pPr>
      <w:spacing w:after="120"/>
      <w:ind w:left="1440" w:right="1440"/>
    </w:pPr>
  </w:style>
  <w:style w:type="character" w:customStyle="1" w:styleId="Subscript">
    <w:name w:val="Subscript"/>
    <w:rsid w:val="003C0176"/>
    <w:rPr>
      <w:sz w:val="16"/>
      <w:vertAlign w:val="subscript"/>
    </w:rPr>
  </w:style>
  <w:style w:type="character" w:customStyle="1" w:styleId="Superscript">
    <w:name w:val="Superscript"/>
    <w:rsid w:val="003C0176"/>
    <w:rPr>
      <w:sz w:val="16"/>
      <w:vertAlign w:val="superscript"/>
    </w:rPr>
  </w:style>
  <w:style w:type="character" w:customStyle="1" w:styleId="Symbols">
    <w:name w:val="Symbols"/>
    <w:rsid w:val="003C0176"/>
    <w:rPr>
      <w:rFonts w:ascii="Symbol" w:hAnsi="Symbol"/>
    </w:rPr>
  </w:style>
  <w:style w:type="character" w:customStyle="1" w:styleId="MenuOptions">
    <w:name w:val="Menu Options"/>
    <w:rsid w:val="003C0176"/>
    <w:rPr>
      <w:rFonts w:ascii="Arial Narrow" w:hAnsi="Arial Narrow"/>
      <w:smallCaps/>
    </w:rPr>
  </w:style>
  <w:style w:type="character" w:customStyle="1" w:styleId="Buttons">
    <w:name w:val="Buttons"/>
    <w:rsid w:val="003C0176"/>
    <w:rPr>
      <w:b/>
    </w:rPr>
  </w:style>
  <w:style w:type="character" w:customStyle="1" w:styleId="Underlined">
    <w:name w:val="Underlined"/>
    <w:rsid w:val="003C0176"/>
    <w:rPr>
      <w:u w:val="single"/>
    </w:rPr>
  </w:style>
  <w:style w:type="paragraph" w:customStyle="1" w:styleId="TableBodyTextRight">
    <w:name w:val="Table Body Text Right"/>
    <w:basedOn w:val="TableBodyText"/>
    <w:rsid w:val="003C0176"/>
    <w:pPr>
      <w:widowControl w:val="0"/>
      <w:autoSpaceDE w:val="0"/>
      <w:autoSpaceDN w:val="0"/>
      <w:adjustRightInd w:val="0"/>
      <w:jc w:val="right"/>
    </w:pPr>
    <w:rPr>
      <w:rFonts w:cs="Arial"/>
      <w:szCs w:val="18"/>
    </w:rPr>
  </w:style>
  <w:style w:type="paragraph" w:customStyle="1" w:styleId="CopyrightText">
    <w:name w:val="Copyright Text"/>
    <w:basedOn w:val="BodyText"/>
    <w:rsid w:val="003C0176"/>
    <w:rPr>
      <w:sz w:val="18"/>
    </w:rPr>
  </w:style>
  <w:style w:type="paragraph" w:customStyle="1" w:styleId="BodySmallRight">
    <w:name w:val="Body Small Right"/>
    <w:basedOn w:val="BodyTextRight"/>
    <w:rsid w:val="003C0176"/>
    <w:rPr>
      <w:sz w:val="18"/>
      <w:szCs w:val="18"/>
    </w:rPr>
  </w:style>
  <w:style w:type="paragraph" w:customStyle="1" w:styleId="MarginEdition">
    <w:name w:val="Margin Edition"/>
    <w:basedOn w:val="MarginNote"/>
    <w:rsid w:val="003C0176"/>
    <w:pPr>
      <w:spacing w:before="0" w:after="0"/>
    </w:pPr>
    <w:rPr>
      <w:rFonts w:ascii="Times New Roman" w:hAnsi="Times New Roman"/>
      <w:color w:val="999999"/>
    </w:rPr>
  </w:style>
  <w:style w:type="paragraph" w:customStyle="1" w:styleId="Spacer">
    <w:name w:val="Spacer"/>
    <w:basedOn w:val="Normal"/>
    <w:rsid w:val="003C0176"/>
    <w:rPr>
      <w:sz w:val="2"/>
      <w:szCs w:val="2"/>
    </w:rPr>
  </w:style>
  <w:style w:type="character" w:customStyle="1" w:styleId="Small">
    <w:name w:val="Small"/>
    <w:rsid w:val="003C0176"/>
    <w:rPr>
      <w:sz w:val="16"/>
    </w:rPr>
  </w:style>
  <w:style w:type="paragraph" w:customStyle="1" w:styleId="WideTable">
    <w:name w:val="Wide Table"/>
    <w:basedOn w:val="Normal"/>
    <w:rsid w:val="003C0176"/>
    <w:pPr>
      <w:ind w:left="-1418"/>
    </w:pPr>
    <w:rPr>
      <w:sz w:val="2"/>
      <w:szCs w:val="2"/>
    </w:rPr>
  </w:style>
  <w:style w:type="character" w:styleId="PageNumber">
    <w:name w:val="page number"/>
    <w:rsid w:val="003C0176"/>
  </w:style>
  <w:style w:type="paragraph" w:styleId="Quote">
    <w:name w:val="Quote"/>
    <w:basedOn w:val="Heading1"/>
    <w:link w:val="QuoteChar"/>
    <w:qFormat/>
    <w:rsid w:val="003C0176"/>
    <w:rPr>
      <w:b w:val="0"/>
      <w:sz w:val="72"/>
      <w:szCs w:val="72"/>
      <w:lang w:val="en-NZ"/>
    </w:rPr>
  </w:style>
  <w:style w:type="character" w:customStyle="1" w:styleId="QuoteChar">
    <w:name w:val="Quote Char"/>
    <w:link w:val="Quote"/>
    <w:rsid w:val="003C0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76"/>
    <w:pPr>
      <w:pageBreakBefore/>
    </w:pPr>
  </w:style>
  <w:style w:type="paragraph" w:customStyle="1" w:styleId="Border">
    <w:name w:val="Border"/>
    <w:basedOn w:val="Normal"/>
    <w:qFormat/>
    <w:rsid w:val="003C0176"/>
    <w:pPr>
      <w:pBdr>
        <w:top w:val="single" w:sz="18" w:space="1" w:color="auto"/>
      </w:pBdr>
    </w:pPr>
    <w:rPr>
      <w:rFonts w:ascii="Times New Roman" w:hAnsi="Times New Roman"/>
      <w:color w:val="FFFFFF"/>
      <w:sz w:val="2"/>
    </w:rPr>
  </w:style>
  <w:style w:type="character" w:styleId="IntenseEmphasis">
    <w:name w:val="Intense Emphasis"/>
    <w:uiPriority w:val="21"/>
    <w:qFormat/>
    <w:rsid w:val="003C0176"/>
    <w:rPr>
      <w:b/>
      <w:bCs/>
      <w:i/>
      <w:iCs/>
      <w:color w:val="auto"/>
    </w:rPr>
  </w:style>
  <w:style w:type="paragraph" w:styleId="IntenseQuote">
    <w:name w:val="Intense Quote"/>
    <w:basedOn w:val="Normal"/>
    <w:next w:val="Normal"/>
    <w:link w:val="IntenseQuoteChar"/>
    <w:uiPriority w:val="30"/>
    <w:qFormat/>
    <w:rsid w:val="003C01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C0176"/>
    <w:rPr>
      <w:rFonts w:ascii="Courier New" w:eastAsia="Times New Roman" w:hAnsi="Courier New" w:cs="Times New Roman"/>
      <w:b/>
      <w:bCs/>
      <w:i/>
      <w:iCs/>
      <w:szCs w:val="20"/>
      <w:lang w:val="en-US" w:eastAsia="en-US"/>
    </w:rPr>
  </w:style>
  <w:style w:type="character" w:styleId="SubtleReference">
    <w:name w:val="Subtle Reference"/>
    <w:uiPriority w:val="31"/>
    <w:qFormat/>
    <w:rsid w:val="003C0176"/>
    <w:rPr>
      <w:smallCaps/>
      <w:color w:val="auto"/>
      <w:u w:val="single"/>
    </w:rPr>
  </w:style>
  <w:style w:type="character" w:styleId="IntenseReference">
    <w:name w:val="Intense Reference"/>
    <w:uiPriority w:val="32"/>
    <w:qFormat/>
    <w:rsid w:val="003C0176"/>
    <w:rPr>
      <w:b/>
      <w:bCs/>
      <w:smallCaps/>
      <w:color w:val="auto"/>
      <w:spacing w:val="5"/>
      <w:u w:val="single"/>
    </w:rPr>
  </w:style>
  <w:style w:type="paragraph" w:customStyle="1" w:styleId="2ColumnHeading">
    <w:name w:val="2Column Heading"/>
    <w:basedOn w:val="BodyText"/>
    <w:qFormat/>
    <w:rsid w:val="003C0176"/>
    <w:pPr>
      <w:spacing w:after="60"/>
      <w:ind w:left="-2268"/>
    </w:pPr>
    <w:rPr>
      <w:b/>
    </w:rPr>
  </w:style>
  <w:style w:type="paragraph" w:customStyle="1" w:styleId="Heading1TOC">
    <w:name w:val="Heading1 TOC"/>
    <w:basedOn w:val="Normal"/>
    <w:qFormat/>
    <w:rsid w:val="003C0176"/>
    <w:pPr>
      <w:spacing w:before="240" w:after="120"/>
    </w:pPr>
    <w:rPr>
      <w:rFonts w:ascii="Times New Roman" w:hAnsi="Times New Roman"/>
      <w:b/>
      <w:sz w:val="32"/>
    </w:rPr>
  </w:style>
  <w:style w:type="paragraph" w:customStyle="1" w:styleId="Heading2TOC">
    <w:name w:val="Heading2 TOC"/>
    <w:basedOn w:val="Normal"/>
    <w:qFormat/>
    <w:rsid w:val="003C0176"/>
    <w:pPr>
      <w:spacing w:before="240" w:after="60"/>
    </w:pPr>
    <w:rPr>
      <w:rFonts w:ascii="Times New Roman" w:hAnsi="Times New Roman"/>
      <w:b/>
      <w:sz w:val="28"/>
    </w:rPr>
  </w:style>
  <w:style w:type="character" w:customStyle="1" w:styleId="Underline">
    <w:name w:val="Underline"/>
    <w:qFormat/>
    <w:rsid w:val="003C0176"/>
    <w:rPr>
      <w:u w:val="single"/>
    </w:rPr>
  </w:style>
  <w:style w:type="character" w:customStyle="1" w:styleId="BoldandItalics">
    <w:name w:val="Bold and Italics"/>
    <w:qFormat/>
    <w:rsid w:val="003C0176"/>
    <w:rPr>
      <w:b/>
      <w:i/>
      <w:u w:val="none"/>
    </w:rPr>
  </w:style>
  <w:style w:type="paragraph" w:styleId="BalloonText">
    <w:name w:val="Balloon Text"/>
    <w:basedOn w:val="Normal"/>
    <w:link w:val="BalloonTextChar"/>
    <w:rsid w:val="003C0176"/>
    <w:rPr>
      <w:rFonts w:ascii="Tahoma" w:hAnsi="Tahoma" w:cs="Tahoma"/>
      <w:sz w:val="16"/>
      <w:szCs w:val="16"/>
    </w:rPr>
  </w:style>
  <w:style w:type="character" w:customStyle="1" w:styleId="BalloonTextChar">
    <w:name w:val="Balloon Text Char"/>
    <w:link w:val="BalloonText"/>
    <w:rsid w:val="003C0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1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C01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9182</Characters>
  <Application>Microsoft Office Word</Application>
  <DocSecurity>0</DocSecurity>
  <Lines>340</Lines>
  <Paragraphs>190</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PSPPROC409A Receive and select offers</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2012-05-26T08:21:00Z</dcterms:created>
  <dcterms:modified xsi:type="dcterms:W3CDTF">2012-05-26T08:21:00Z</dcterms:modified>
</cp:coreProperties>
</file>