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BFB" w:rsidP="00371BFB">
      <w:pPr>
        <w:pStyle w:val="Title"/>
      </w:pPr>
      <w:bookmarkStart w:id="0" w:name="_GoBack"/>
      <w:bookmarkEnd w:id="0"/>
      <w:r>
        <w:fldChar w:fldCharType="begin"/>
      </w:r>
      <w:r>
        <w:instrText xml:space="preserve"> TITLE   \* MERGEFORMAT </w:instrText>
      </w:r>
      <w:r>
        <w:fldChar w:fldCharType="separate"/>
      </w:r>
      <w:r>
        <w:t>PSPREG425 Conduct investigations</w:t>
      </w:r>
      <w:r>
        <w:fldChar w:fldCharType="end"/>
      </w:r>
    </w:p>
    <w:p w:rsidR="00371BFB" w:rsidP="00371BFB">
      <w:pPr>
        <w:pStyle w:val="Version"/>
        <w:sectPr w:rsidSect="00C75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584" w:rsidP="00C75584">
      <w:pPr>
        <w:pStyle w:val="SuperHeading"/>
      </w:pPr>
      <w:r w:rsidRPr="00C75584">
        <w:t>PSPREG425 Conduct investigations</w:t>
      </w:r>
    </w:p>
    <w:p w:rsidR="00000000" w:rsidRPr="00C75584" w:rsidP="00C75584">
      <w:pPr>
        <w:pStyle w:val="Heading1"/>
      </w:pPr>
      <w:bookmarkStart w:id="1" w:name="O_502453"/>
      <w:bookmarkEnd w:id="1"/>
      <w:r w:rsidRPr="00C75584">
        <w:t>Modification History</w:t>
      </w:r>
    </w:p>
    <w:tbl>
      <w:tblPr>
        <w:tblW w:w="0" w:type="auto"/>
        <w:tblLayout w:type="fixed"/>
        <w:tblCellMar>
          <w:left w:w="62" w:type="dxa"/>
          <w:right w:w="62" w:type="dxa"/>
        </w:tblCellMar>
        <w:tblLook w:val="0000"/>
      </w:tblPr>
      <w:tblGrid>
        <w:gridCol w:w="1134"/>
        <w:gridCol w:w="1134"/>
        <w:gridCol w:w="4536"/>
      </w:tblGrid>
      <w:tr w:rsidTr="00371B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TableBodyText"/>
            </w:pPr>
            <w:r w:rsidRPr="00C7558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TableBodyText"/>
            </w:pPr>
            <w:r w:rsidRPr="00C7558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TableBodyText"/>
              <w:rPr>
                <w:lang w:val="en-NZ"/>
              </w:rPr>
            </w:pPr>
            <w:r w:rsidRPr="00C75584">
              <w:rPr>
                <w:rStyle w:val="SpecialBold"/>
              </w:rPr>
              <w:t>Comments</w:t>
            </w:r>
          </w:p>
        </w:tc>
      </w:tr>
      <w:tr w:rsidTr="00371B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TableBodyText"/>
              <w:rPr>
                <w:lang w:val="en-NZ"/>
              </w:rPr>
            </w:pPr>
            <w:r w:rsidRPr="00C7558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TableBodyText"/>
              <w:rPr>
                <w:lang w:val="en-NZ"/>
              </w:rPr>
            </w:pPr>
            <w:r w:rsidRPr="00C75584">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TableBodyText"/>
            </w:pPr>
            <w:r w:rsidRPr="00C75584">
              <w:t>Primary release. Content based on PUAPOL024B Conduct Inve</w:t>
            </w:r>
            <w:r w:rsidRPr="00C75584">
              <w:t xml:space="preserve">stigations. </w:t>
            </w:r>
          </w:p>
        </w:tc>
      </w:tr>
    </w:tbl>
    <w:p w:rsidR="00371BFB" w:rsidP="00C75584">
      <w:pPr>
        <w:pStyle w:val="BodyText"/>
      </w:pPr>
    </w:p>
    <w:p w:rsidR="00371BFB" w:rsidP="00C75584">
      <w:pPr>
        <w:pStyle w:val="BodyText"/>
      </w:pPr>
    </w:p>
    <w:p w:rsidR="00000000" w:rsidRPr="00C75584" w:rsidP="00C75584">
      <w:pPr>
        <w:pStyle w:val="Heading1"/>
      </w:pPr>
      <w:bookmarkStart w:id="2" w:name="O_502454"/>
      <w:bookmarkEnd w:id="2"/>
      <w:r w:rsidRPr="00C75584">
        <w:t>Unit Descriptor</w:t>
      </w:r>
    </w:p>
    <w:p w:rsidR="00000000" w:rsidRPr="00C75584" w:rsidP="00C75584">
      <w:pPr>
        <w:pStyle w:val="BodyText"/>
      </w:pPr>
      <w:r w:rsidRPr="00C75584">
        <w:t>This unit covers the competency to apply investigation processes in accordance with commonwealth and/or jurisdictional law, policy and procedures.</w:t>
      </w:r>
    </w:p>
    <w:p w:rsidR="00000000" w:rsidRPr="00C75584" w:rsidP="00C75584">
      <w:pPr>
        <w:pStyle w:val="BodyText"/>
      </w:pPr>
      <w:r w:rsidRPr="00C75584">
        <w:t>No licensing, legislative, regulatory or certification requirements apply to this unit at the time of endorsement.</w:t>
      </w:r>
    </w:p>
    <w:p w:rsidR="00000000" w:rsidRPr="00C75584" w:rsidP="00C75584">
      <w:pPr>
        <w:pStyle w:val="AllowPageBreak"/>
      </w:pPr>
    </w:p>
    <w:p w:rsidR="00000000" w:rsidRPr="00C75584" w:rsidP="00C75584">
      <w:pPr>
        <w:pStyle w:val="Heading1"/>
      </w:pPr>
      <w:bookmarkStart w:id="3" w:name="O_502455"/>
      <w:bookmarkEnd w:id="3"/>
      <w:r w:rsidRPr="00C75584">
        <w:t>Application of the Unit</w:t>
      </w:r>
    </w:p>
    <w:p w:rsidR="00000000" w:rsidRPr="00C75584" w:rsidP="00C75584">
      <w:pPr>
        <w:pStyle w:val="BodyText"/>
      </w:pPr>
      <w:r w:rsidRPr="00C75584">
        <w:t>This unit applies to people required to conduct an investigation in accordance with an already estab</w:t>
      </w:r>
      <w:r w:rsidRPr="00C75584">
        <w:t>lished investigation plan. It involves regular investigation progress reviews, adapting to changing circumstances and briefing/debriefing relevant personnel as required. The unit also covers collecting, securing and analysing relevant information, identify</w:t>
      </w:r>
      <w:r w:rsidRPr="00C75584">
        <w:t>ing people relevant to the investigation and developing suspect and subject profiles. In finalising an investigation, this unit requires relevant persons and authorities be advised of investigation outcomes, case management systems updated and relevant doc</w:t>
      </w:r>
      <w:r w:rsidRPr="00C75584">
        <w:t>uments and exhibits dealt with in accordance with organisational requirements.</w:t>
      </w:r>
    </w:p>
    <w:p w:rsidR="00000000" w:rsidRPr="00C75584" w:rsidP="00C75584">
      <w:pPr>
        <w:pStyle w:val="BodyText"/>
      </w:pPr>
      <w:r w:rsidRPr="00C75584">
        <w:t>The work outlined in this unit would typically be undertaken by personnel involved in a designated investigation role.</w:t>
      </w:r>
    </w:p>
    <w:p w:rsidR="00000000" w:rsidRPr="00C75584" w:rsidP="00C75584">
      <w:pPr>
        <w:pStyle w:val="BodyText"/>
      </w:pPr>
      <w:r w:rsidRPr="00C75584">
        <w:t>No licensing, legislative, regulatory or certification req</w:t>
      </w:r>
      <w:r w:rsidRPr="00C75584">
        <w:t>uirements apply to this unit at the time of endorsement.</w:t>
      </w:r>
    </w:p>
    <w:p w:rsidR="00000000" w:rsidRPr="00C75584" w:rsidP="00C75584">
      <w:pPr>
        <w:pStyle w:val="AllowPageBreak"/>
      </w:pPr>
    </w:p>
    <w:p w:rsidR="00000000" w:rsidRPr="00C75584" w:rsidP="00C75584">
      <w:pPr>
        <w:pStyle w:val="Heading1"/>
      </w:pPr>
      <w:bookmarkStart w:id="4" w:name="O_502456"/>
      <w:bookmarkEnd w:id="4"/>
      <w:r w:rsidRPr="00C75584">
        <w:t>Licensing/Regulatory Information</w:t>
      </w:r>
    </w:p>
    <w:p w:rsidR="00000000" w:rsidRPr="00C75584" w:rsidP="00C75584">
      <w:pPr>
        <w:pStyle w:val="BodyText"/>
      </w:pPr>
      <w:r w:rsidRPr="00C75584">
        <w:t>Not applicable.</w:t>
      </w:r>
    </w:p>
    <w:p w:rsidR="00000000" w:rsidRPr="00C75584" w:rsidP="00C75584">
      <w:pPr>
        <w:pStyle w:val="AllowPageBreak"/>
      </w:pPr>
    </w:p>
    <w:p w:rsidR="00000000" w:rsidRPr="00C75584" w:rsidP="00C75584">
      <w:pPr>
        <w:pStyle w:val="Heading1"/>
      </w:pPr>
      <w:bookmarkStart w:id="5" w:name="O_502457"/>
      <w:bookmarkEnd w:id="5"/>
      <w:r w:rsidRPr="00C75584">
        <w:t>Pre-Requisites</w:t>
      </w:r>
    </w:p>
    <w:p w:rsidR="00000000" w:rsidRPr="00C75584" w:rsidP="00C75584">
      <w:pPr>
        <w:pStyle w:val="BodyText"/>
      </w:pPr>
      <w:r w:rsidRPr="00C75584">
        <w:t>Not applicable.</w:t>
      </w:r>
    </w:p>
    <w:p w:rsidR="00000000" w:rsidRPr="00C75584" w:rsidP="00C75584">
      <w:pPr>
        <w:pStyle w:val="AllowPageBreak"/>
      </w:pPr>
    </w:p>
    <w:p w:rsidR="00000000" w:rsidRPr="00C75584" w:rsidP="00C75584">
      <w:pPr>
        <w:pStyle w:val="Heading1"/>
      </w:pPr>
      <w:bookmarkStart w:id="6" w:name="O_502458"/>
      <w:bookmarkEnd w:id="6"/>
      <w:r w:rsidRPr="00C75584">
        <w:t>Employability Skills Information</w:t>
      </w:r>
    </w:p>
    <w:p w:rsidR="00000000" w:rsidRPr="00C75584" w:rsidP="00C75584">
      <w:pPr>
        <w:pStyle w:val="BodyText"/>
      </w:pPr>
      <w:r w:rsidRPr="00C75584">
        <w:t>This unit contains employability skills.</w:t>
      </w:r>
    </w:p>
    <w:p w:rsidR="00000000" w:rsidRPr="00C75584" w:rsidP="00C75584">
      <w:pPr>
        <w:pStyle w:val="AllowPageBreak"/>
      </w:pPr>
    </w:p>
    <w:p w:rsidR="00000000" w:rsidRPr="00C75584" w:rsidP="00C75584">
      <w:pPr>
        <w:pStyle w:val="Heading1"/>
      </w:pPr>
      <w:bookmarkStart w:id="7" w:name="O_502459"/>
      <w:bookmarkEnd w:id="7"/>
      <w:r w:rsidRPr="00C75584">
        <w:t>Elements and Performance Criteria Pre-Content</w:t>
      </w:r>
    </w:p>
    <w:tbl>
      <w:tblPr>
        <w:tblW w:w="0" w:type="auto"/>
        <w:tblLayout w:type="fixed"/>
        <w:tblCellMar>
          <w:left w:w="62" w:type="dxa"/>
          <w:right w:w="62" w:type="dxa"/>
        </w:tblCellMar>
        <w:tblLook w:val="0000"/>
      </w:tblPr>
      <w:tblGrid>
        <w:gridCol w:w="2516"/>
        <w:gridCol w:w="6556"/>
      </w:tblGrid>
      <w:tr w:rsidTr="00C75584">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t>Elements describe the essential outcomes of a unit of competency.</w:t>
            </w:r>
          </w:p>
        </w:tc>
        <w:tc>
          <w:tcPr>
            <w:tcW w:w="6556" w:type="dxa"/>
            <w:tcBorders>
              <w:top w:val="nil"/>
              <w:left w:val="nil"/>
              <w:bottom w:val="nil"/>
              <w:right w:val="nil"/>
            </w:tcBorders>
            <w:tcMar>
              <w:top w:w="0" w:type="dxa"/>
              <w:left w:w="62" w:type="dxa"/>
              <w:bottom w:w="0" w:type="dxa"/>
              <w:right w:w="62" w:type="dxa"/>
            </w:tcMar>
          </w:tcPr>
          <w:p w:rsidR="00000000" w:rsidRPr="00C75584" w:rsidP="00C75584">
            <w:pPr>
              <w:pStyle w:val="BodyText"/>
            </w:pPr>
            <w:r w:rsidRPr="00C75584">
              <w:t>Performance criteria describe the performance needed to demonstrate achievement of the</w:t>
            </w:r>
            <w:r w:rsidRPr="00C75584">
              <w:t xml:space="preserve"> element. Where </w:t>
            </w:r>
            <w:r w:rsidRPr="00C75584">
              <w:rPr>
                <w:rStyle w:val="BoldandItalics"/>
              </w:rPr>
              <w:t>bold italicised</w:t>
            </w:r>
            <w:r w:rsidRPr="00C75584">
              <w:t xml:space="preserve"> text is used, further information is detailed in the range statement. Assessment of performance is to be consistent with the evidence guide.</w:t>
            </w:r>
          </w:p>
        </w:tc>
      </w:tr>
    </w:tbl>
    <w:p w:rsidR="00000000" w:rsidRPr="00C75584" w:rsidP="00C75584">
      <w:pPr>
        <w:pStyle w:val="BodyText"/>
      </w:pPr>
    </w:p>
    <w:p w:rsidR="00000000" w:rsidRPr="00C75584" w:rsidP="00C75584">
      <w:pPr>
        <w:pStyle w:val="AllowPageBreak"/>
      </w:pPr>
    </w:p>
    <w:p w:rsidR="00000000" w:rsidRPr="00C75584" w:rsidP="00C75584">
      <w:pPr>
        <w:pStyle w:val="Heading1"/>
      </w:pPr>
      <w:bookmarkStart w:id="8" w:name="O_502460"/>
      <w:bookmarkEnd w:id="8"/>
      <w:r w:rsidRPr="00C75584">
        <w:t>Elements and Performance Criteria</w:t>
      </w:r>
    </w:p>
    <w:tbl>
      <w:tblPr>
        <w:tblW w:w="0" w:type="auto"/>
        <w:tblLayout w:type="fixed"/>
        <w:tblCellMar>
          <w:left w:w="62" w:type="dxa"/>
          <w:right w:w="62" w:type="dxa"/>
        </w:tblCellMar>
        <w:tblLook w:val="0000"/>
      </w:tblPr>
      <w:tblGrid>
        <w:gridCol w:w="2516"/>
        <w:gridCol w:w="6556"/>
      </w:tblGrid>
      <w:tr w:rsidTr="00C75584">
        <w:tblPrEx>
          <w:tblW w:w="0" w:type="auto"/>
          <w:tblLayout w:type="fixed"/>
          <w:tblCellMar>
            <w:left w:w="62" w:type="dxa"/>
            <w:right w:w="62" w:type="dxa"/>
          </w:tblCellMar>
          <w:tblLook w:val="0000"/>
        </w:tblPrEx>
        <w:trPr>
          <w:trHeight w:val="503"/>
        </w:trPr>
        <w:tc>
          <w:tcPr>
            <w:tcW w:w="2516" w:type="dxa"/>
            <w:tcBorders>
              <w:top w:val="nil"/>
              <w:left w:val="nil"/>
              <w:bottom w:val="nil"/>
              <w:right w:val="nil"/>
            </w:tcBorders>
            <w:tcMar>
              <w:top w:w="0" w:type="dxa"/>
              <w:left w:w="62" w:type="dxa"/>
              <w:bottom w:w="0" w:type="dxa"/>
              <w:right w:w="62" w:type="dxa"/>
            </w:tcMar>
          </w:tcPr>
          <w:p w:rsidR="00000000" w:rsidRPr="00C75584" w:rsidP="00C75584">
            <w:pPr>
              <w:pStyle w:val="BodyText"/>
            </w:pPr>
            <w:r w:rsidRPr="00C75584">
              <w:rPr>
                <w:rStyle w:val="SpecialBold"/>
              </w:rPr>
              <w:t>ELEMENTS</w:t>
            </w:r>
          </w:p>
        </w:tc>
        <w:tc>
          <w:tcPr>
            <w:tcW w:w="6556"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 xml:space="preserve">PERFORMANCE CRITERIA </w:t>
            </w:r>
          </w:p>
        </w:tc>
      </w:tr>
      <w:tr w:rsidTr="00C75584">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1. Maintain and evaluate operational direction</w:t>
            </w:r>
          </w:p>
        </w:tc>
        <w:tc>
          <w:tcPr>
            <w:tcW w:w="6556" w:type="dxa"/>
            <w:tcBorders>
              <w:top w:val="nil"/>
              <w:left w:val="nil"/>
              <w:bottom w:val="nil"/>
              <w:right w:val="nil"/>
            </w:tcBorders>
            <w:tcMar>
              <w:top w:w="0" w:type="dxa"/>
              <w:left w:w="62" w:type="dxa"/>
              <w:bottom w:w="0" w:type="dxa"/>
              <w:right w:w="62" w:type="dxa"/>
            </w:tcMar>
          </w:tcPr>
          <w:p w:rsidR="00000000" w:rsidRPr="00C75584" w:rsidP="00C75584">
            <w:pPr>
              <w:pStyle w:val="ListNumber"/>
            </w:pPr>
            <w:r w:rsidRPr="00C75584">
              <w:t xml:space="preserve">1.1 The </w:t>
            </w:r>
            <w:r w:rsidRPr="00C75584">
              <w:rPr>
                <w:rStyle w:val="BoldandItalics"/>
              </w:rPr>
              <w:t xml:space="preserve">investigation </w:t>
            </w:r>
            <w:r w:rsidRPr="00C75584">
              <w:t>is conducted in accordance with requirements of the investigation situation or plan.</w:t>
            </w:r>
          </w:p>
          <w:p w:rsidR="00000000" w:rsidRPr="00C75584" w:rsidP="00C75584">
            <w:pPr>
              <w:pStyle w:val="ListNumber"/>
            </w:pPr>
            <w:r w:rsidRPr="00C75584">
              <w:t>1.2 A process of continual assessment is applied to review and evaluate progress, an</w:t>
            </w:r>
            <w:r w:rsidRPr="00C75584">
              <w:t xml:space="preserve">d new directions planned and implemented in response to </w:t>
            </w:r>
            <w:r w:rsidRPr="00C75584">
              <w:rPr>
                <w:rStyle w:val="BoldandItalics"/>
              </w:rPr>
              <w:t>unforeseen events.</w:t>
            </w:r>
          </w:p>
          <w:p w:rsidR="00000000" w:rsidRPr="00C75584" w:rsidP="00C75584">
            <w:pPr>
              <w:pStyle w:val="ListNumber"/>
            </w:pPr>
            <w:r w:rsidRPr="00C75584">
              <w:t>1.3 The conduct of the investigation is sufficiently adaptable/flexible to allow for contingencies.</w:t>
            </w:r>
          </w:p>
          <w:p w:rsidR="00000000" w:rsidP="00C75584">
            <w:pPr>
              <w:pStyle w:val="ListNumber"/>
              <w:rPr>
                <w:lang w:val="en-NZ"/>
              </w:rPr>
            </w:pPr>
            <w:r w:rsidRPr="00C75584">
              <w:t>1.4 Regular briefings and debriefings of</w:t>
            </w:r>
            <w:r w:rsidRPr="00C75584">
              <w:rPr>
                <w:rStyle w:val="BoldandItalics"/>
              </w:rPr>
              <w:t xml:space="preserve"> all relevant personne</w:t>
            </w:r>
            <w:r w:rsidRPr="00C75584">
              <w:t xml:space="preserve">l are conducted to </w:t>
            </w:r>
            <w:r w:rsidRPr="00C75584">
              <w:t>ensure the sharing of information.</w:t>
            </w:r>
          </w:p>
        </w:tc>
      </w:tr>
      <w:tr w:rsidTr="00C75584">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2. Collect and analyse information relevant to investigations</w:t>
            </w:r>
          </w:p>
        </w:tc>
        <w:tc>
          <w:tcPr>
            <w:tcW w:w="6556" w:type="dxa"/>
            <w:tcBorders>
              <w:top w:val="nil"/>
              <w:left w:val="nil"/>
              <w:bottom w:val="nil"/>
              <w:right w:val="nil"/>
            </w:tcBorders>
            <w:tcMar>
              <w:top w:w="0" w:type="dxa"/>
              <w:left w:w="62" w:type="dxa"/>
              <w:bottom w:w="0" w:type="dxa"/>
              <w:right w:w="62" w:type="dxa"/>
            </w:tcMar>
          </w:tcPr>
          <w:p w:rsidR="00000000" w:rsidRPr="00C75584" w:rsidP="00C75584">
            <w:pPr>
              <w:pStyle w:val="ListNumber"/>
            </w:pPr>
            <w:r w:rsidRPr="00C75584">
              <w:t xml:space="preserve">2.1 The relevance and reliability of information sources are assessed in accordance with organisational guidelines. </w:t>
            </w:r>
          </w:p>
          <w:p w:rsidR="00000000" w:rsidRPr="00C75584" w:rsidP="00C75584">
            <w:pPr>
              <w:pStyle w:val="ListNumber"/>
            </w:pPr>
            <w:r w:rsidRPr="00C75584">
              <w:t xml:space="preserve">2.2 Relevant </w:t>
            </w:r>
            <w:r w:rsidRPr="00C75584">
              <w:rPr>
                <w:rStyle w:val="BoldandItalics"/>
              </w:rPr>
              <w:t xml:space="preserve">information </w:t>
            </w:r>
            <w:r w:rsidRPr="00C75584">
              <w:t>is legitimately</w:t>
            </w:r>
            <w:r w:rsidRPr="00C75584">
              <w:t xml:space="preserve"> collected, analysed, and documented to further the investigation.</w:t>
            </w:r>
          </w:p>
          <w:p w:rsidR="00000000" w:rsidRPr="00C75584" w:rsidP="00C75584">
            <w:pPr>
              <w:pStyle w:val="ListNumber"/>
            </w:pPr>
            <w:r w:rsidRPr="00C75584">
              <w:t>2.3 Evidence from incoming information is identified, secured and controlled in accordance with organisational guidelines.</w:t>
            </w:r>
          </w:p>
          <w:p w:rsidR="00000000" w:rsidP="00C75584">
            <w:pPr>
              <w:pStyle w:val="ListNumber"/>
              <w:rPr>
                <w:lang w:val="en-NZ"/>
              </w:rPr>
            </w:pPr>
            <w:r w:rsidRPr="00C75584">
              <w:t>2.4 All information obtained from crime scenes and throughout the conduct of the investigation is assessed to determine relevance.</w:t>
            </w:r>
          </w:p>
        </w:tc>
      </w:tr>
      <w:tr w:rsidTr="00C75584">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3. Seize, process and manage exhibits</w:t>
            </w:r>
          </w:p>
        </w:tc>
        <w:tc>
          <w:tcPr>
            <w:tcW w:w="6556" w:type="dxa"/>
            <w:tcBorders>
              <w:top w:val="nil"/>
              <w:left w:val="nil"/>
              <w:bottom w:val="nil"/>
              <w:right w:val="nil"/>
            </w:tcBorders>
            <w:tcMar>
              <w:top w:w="0" w:type="dxa"/>
              <w:left w:w="62" w:type="dxa"/>
              <w:bottom w:w="0" w:type="dxa"/>
              <w:right w:w="62" w:type="dxa"/>
            </w:tcMar>
          </w:tcPr>
          <w:p w:rsidR="00000000" w:rsidRPr="00C75584" w:rsidP="00C75584">
            <w:pPr>
              <w:pStyle w:val="ListNumber"/>
            </w:pPr>
            <w:r w:rsidRPr="00C75584">
              <w:t>3.1</w:t>
            </w:r>
            <w:r w:rsidRPr="00C75584">
              <w:rPr>
                <w:rStyle w:val="BoldandItalics"/>
              </w:rPr>
              <w:t xml:space="preserve"> Exhibits </w:t>
            </w:r>
            <w:r w:rsidRPr="00C75584">
              <w:t xml:space="preserve">are identified, </w:t>
            </w:r>
            <w:r w:rsidRPr="00C75584">
              <w:rPr>
                <w:rStyle w:val="BoldandItalics"/>
              </w:rPr>
              <w:t xml:space="preserve">seized </w:t>
            </w:r>
            <w:r w:rsidRPr="00C75584">
              <w:t>and documented.</w:t>
            </w:r>
          </w:p>
          <w:p w:rsidR="00000000" w:rsidRPr="00C75584" w:rsidP="00C75584">
            <w:pPr>
              <w:pStyle w:val="ListNumber"/>
            </w:pPr>
            <w:r w:rsidRPr="00C75584">
              <w:t>3.2 Continuity and security of ex</w:t>
            </w:r>
            <w:r w:rsidRPr="00C75584">
              <w:t>hibits is ensured to maintain integrity.</w:t>
            </w:r>
          </w:p>
          <w:p w:rsidR="00000000" w:rsidP="00C75584">
            <w:pPr>
              <w:pStyle w:val="ListNumber"/>
              <w:rPr>
                <w:lang w:val="en-NZ"/>
              </w:rPr>
            </w:pPr>
            <w:r w:rsidRPr="00C75584">
              <w:t>3.3 Handling, recording, storing and disposing of exhibits complies with legislative and administrative procedures.</w:t>
            </w:r>
          </w:p>
        </w:tc>
      </w:tr>
      <w:tr w:rsidTr="00C75584">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4. Identify and investigate subjects and suspects</w:t>
            </w:r>
          </w:p>
        </w:tc>
        <w:tc>
          <w:tcPr>
            <w:tcW w:w="6556" w:type="dxa"/>
            <w:tcBorders>
              <w:top w:val="nil"/>
              <w:left w:val="nil"/>
              <w:bottom w:val="nil"/>
              <w:right w:val="nil"/>
            </w:tcBorders>
            <w:tcMar>
              <w:top w:w="0" w:type="dxa"/>
              <w:left w:w="62" w:type="dxa"/>
              <w:bottom w:w="0" w:type="dxa"/>
              <w:right w:w="62" w:type="dxa"/>
            </w:tcMar>
          </w:tcPr>
          <w:p w:rsidR="00000000" w:rsidRPr="00C75584" w:rsidP="00C75584">
            <w:pPr>
              <w:pStyle w:val="ListNumber"/>
            </w:pPr>
            <w:r w:rsidRPr="00C75584">
              <w:t xml:space="preserve">4.1 All organisational </w:t>
            </w:r>
            <w:r w:rsidRPr="00C75584">
              <w:rPr>
                <w:rStyle w:val="BoldandItalics"/>
              </w:rPr>
              <w:t>avenues of inquiry</w:t>
            </w:r>
            <w:r w:rsidRPr="00C75584">
              <w:t xml:space="preserve"> and i</w:t>
            </w:r>
            <w:r w:rsidRPr="00C75584">
              <w:t xml:space="preserve">nvestigative procedures are considered and utilised to identify </w:t>
            </w:r>
            <w:r w:rsidRPr="00C75584">
              <w:rPr>
                <w:rStyle w:val="BoldandItalics"/>
              </w:rPr>
              <w:t xml:space="preserve">subjects </w:t>
            </w:r>
            <w:r w:rsidRPr="00C75584">
              <w:t>and suspects.</w:t>
            </w:r>
          </w:p>
          <w:p w:rsidR="00000000" w:rsidRPr="00C75584" w:rsidP="00C75584">
            <w:pPr>
              <w:pStyle w:val="ListNumber"/>
            </w:pPr>
            <w:r w:rsidRPr="00C75584">
              <w:t>4.2</w:t>
            </w:r>
            <w:r w:rsidRPr="00C75584">
              <w:rPr>
                <w:rStyle w:val="BoldandItalics"/>
              </w:rPr>
              <w:t xml:space="preserve"> Investigative techniques</w:t>
            </w:r>
            <w:r w:rsidRPr="00C75584">
              <w:t xml:space="preserve"> are selected and applied, in accordance with commonwealth and/or jurisdictional laws, policies, guidelines and established ‘Codes of Ethical</w:t>
            </w:r>
            <w:r w:rsidRPr="00C75584">
              <w:t>/Professional Conduct’.</w:t>
            </w:r>
          </w:p>
          <w:p w:rsidR="00000000" w:rsidRPr="00C75584" w:rsidP="00C75584">
            <w:pPr>
              <w:pStyle w:val="ListNumber"/>
            </w:pPr>
            <w:r w:rsidRPr="00C75584">
              <w:t xml:space="preserve">4.3 All relevant information is applied to identify and locate </w:t>
            </w:r>
            <w:r w:rsidRPr="00C75584">
              <w:rPr>
                <w:rStyle w:val="BoldandItalics"/>
              </w:rPr>
              <w:t>persons relevant to the investigation</w:t>
            </w:r>
            <w:r w:rsidRPr="00C75584">
              <w:t xml:space="preserve"> and eliminate persons who are not.</w:t>
            </w:r>
          </w:p>
          <w:p w:rsidR="00000000" w:rsidRPr="00C75584" w:rsidP="00C75584">
            <w:pPr>
              <w:pStyle w:val="ListNumber"/>
            </w:pPr>
            <w:r w:rsidRPr="00C75584">
              <w:t xml:space="preserve">4.4 </w:t>
            </w:r>
            <w:r w:rsidRPr="00C75584">
              <w:rPr>
                <w:rStyle w:val="BoldandItalics"/>
              </w:rPr>
              <w:t xml:space="preserve">Profiles </w:t>
            </w:r>
            <w:r w:rsidRPr="00C75584">
              <w:t>are assessed to identify further avenues of inquiry.</w:t>
            </w:r>
          </w:p>
          <w:p w:rsidR="00000000" w:rsidP="00C75584">
            <w:pPr>
              <w:pStyle w:val="ListNumber"/>
              <w:rPr>
                <w:lang w:val="en-NZ"/>
              </w:rPr>
            </w:pPr>
            <w:r w:rsidRPr="00C75584">
              <w:t xml:space="preserve">4.5 </w:t>
            </w:r>
            <w:r w:rsidRPr="00C75584">
              <w:rPr>
                <w:rStyle w:val="BoldandItalics"/>
              </w:rPr>
              <w:t xml:space="preserve">Persons </w:t>
            </w:r>
            <w:r w:rsidRPr="00C75584">
              <w:t>are interviewed in</w:t>
            </w:r>
            <w:r w:rsidRPr="00C75584">
              <w:t xml:space="preserve"> accordance with organisational policies and guidelines.</w:t>
            </w:r>
          </w:p>
        </w:tc>
      </w:tr>
      <w:tr w:rsidTr="00C75584">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5. Develop subject profiles</w:t>
            </w:r>
          </w:p>
        </w:tc>
        <w:tc>
          <w:tcPr>
            <w:tcW w:w="6556" w:type="dxa"/>
            <w:tcBorders>
              <w:top w:val="nil"/>
              <w:left w:val="nil"/>
              <w:bottom w:val="nil"/>
              <w:right w:val="nil"/>
            </w:tcBorders>
            <w:tcMar>
              <w:top w:w="0" w:type="dxa"/>
              <w:left w:w="62" w:type="dxa"/>
              <w:bottom w:w="0" w:type="dxa"/>
              <w:right w:w="62" w:type="dxa"/>
            </w:tcMar>
          </w:tcPr>
          <w:p w:rsidR="00000000" w:rsidRPr="00C75584" w:rsidP="00C75584">
            <w:pPr>
              <w:pStyle w:val="ListNumber"/>
            </w:pPr>
            <w:r w:rsidRPr="00C75584">
              <w:t>5.1 Enquiries are conducted to develop subject profiles.</w:t>
            </w:r>
          </w:p>
          <w:p w:rsidR="00000000" w:rsidRPr="00C75584" w:rsidP="00C75584">
            <w:pPr>
              <w:pStyle w:val="ListNumber"/>
            </w:pPr>
            <w:r w:rsidRPr="00C75584">
              <w:t>5.2 Movements of profile subjects relating to the offence are identified and recorded.</w:t>
            </w:r>
          </w:p>
          <w:p w:rsidR="00000000" w:rsidRPr="00C75584" w:rsidP="00C75584">
            <w:pPr>
              <w:pStyle w:val="ListNumber"/>
            </w:pPr>
            <w:r w:rsidRPr="00C75584">
              <w:t>5.3 Profiles of subjects’</w:t>
            </w:r>
            <w:r w:rsidRPr="00C75584">
              <w:t xml:space="preserve"> antecedents are established and recorded.</w:t>
            </w:r>
          </w:p>
          <w:p w:rsidR="00000000" w:rsidRPr="00C75584" w:rsidP="00C75584">
            <w:pPr>
              <w:pStyle w:val="ListNumber"/>
            </w:pPr>
            <w:r w:rsidRPr="00C75584">
              <w:t>5.4 Risk or threat assessment levels are determined and recorded to inform subsequent action.</w:t>
            </w:r>
          </w:p>
          <w:p w:rsidR="00000000" w:rsidRPr="00C75584" w:rsidP="00C75584">
            <w:pPr>
              <w:pStyle w:val="ListNumber"/>
            </w:pPr>
            <w:r w:rsidRPr="00C75584">
              <w:t xml:space="preserve">5.5 Liaison is established with other appropriate </w:t>
            </w:r>
            <w:r w:rsidRPr="00C75584">
              <w:rPr>
                <w:rStyle w:val="BoldandItalics"/>
              </w:rPr>
              <w:t xml:space="preserve">agencies </w:t>
            </w:r>
            <w:r w:rsidRPr="00C75584">
              <w:t>to facilitate development/identification/analysis of profile</w:t>
            </w:r>
            <w:r w:rsidRPr="00C75584">
              <w:t>s.</w:t>
            </w:r>
          </w:p>
          <w:p w:rsidR="00000000" w:rsidP="00C75584">
            <w:pPr>
              <w:pStyle w:val="ListNumber"/>
              <w:rPr>
                <w:lang w:val="en-NZ"/>
              </w:rPr>
            </w:pPr>
            <w:r w:rsidRPr="00C75584">
              <w:t>5.6 Profiles are recorded, documented and securely distributed, to inform relevant operatives in accordance with organisational policy.</w:t>
            </w:r>
          </w:p>
        </w:tc>
      </w:tr>
      <w:tr w:rsidTr="00C75584">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6. Implement responses to investigations</w:t>
            </w:r>
          </w:p>
        </w:tc>
        <w:tc>
          <w:tcPr>
            <w:tcW w:w="6556" w:type="dxa"/>
            <w:tcBorders>
              <w:top w:val="nil"/>
              <w:left w:val="nil"/>
              <w:bottom w:val="nil"/>
              <w:right w:val="nil"/>
            </w:tcBorders>
            <w:tcMar>
              <w:top w:w="0" w:type="dxa"/>
              <w:left w:w="62" w:type="dxa"/>
              <w:bottom w:w="0" w:type="dxa"/>
              <w:right w:w="62" w:type="dxa"/>
            </w:tcMar>
          </w:tcPr>
          <w:p w:rsidR="00000000" w:rsidRPr="00C75584" w:rsidP="00C75584">
            <w:pPr>
              <w:pStyle w:val="ListNumber"/>
            </w:pPr>
            <w:r w:rsidRPr="00C75584">
              <w:t>6.1</w:t>
            </w:r>
            <w:r w:rsidRPr="00C75584">
              <w:rPr>
                <w:rStyle w:val="BoldandItalics"/>
              </w:rPr>
              <w:t xml:space="preserve"> Briefings/debriefings</w:t>
            </w:r>
            <w:r w:rsidRPr="00C75584">
              <w:t xml:space="preserve"> are conducted to inform relevant stakeholders of</w:t>
            </w:r>
            <w:r w:rsidRPr="00C75584">
              <w:t xml:space="preserve"> past and subsequent actions.</w:t>
            </w:r>
          </w:p>
          <w:p w:rsidR="00000000" w:rsidRPr="00C75584" w:rsidP="00C75584">
            <w:pPr>
              <w:pStyle w:val="ListNumber"/>
            </w:pPr>
            <w:r w:rsidRPr="00C75584">
              <w:t xml:space="preserve">6.2 Relevant </w:t>
            </w:r>
            <w:r w:rsidRPr="00C75584">
              <w:rPr>
                <w:rStyle w:val="BoldandItalics"/>
              </w:rPr>
              <w:t xml:space="preserve">recommendations </w:t>
            </w:r>
            <w:r w:rsidRPr="00C75584">
              <w:t>regarding the investigation are developed and forwarded to the delegated person for consideration/implementation.</w:t>
            </w:r>
          </w:p>
        </w:tc>
      </w:tr>
    </w:tbl>
    <w:p w:rsidR="00000000" w:rsidRPr="00C75584" w:rsidP="00C75584">
      <w:pPr>
        <w:pStyle w:val="BodyText"/>
      </w:pPr>
    </w:p>
    <w:p w:rsidR="00000000" w:rsidRPr="00C75584" w:rsidP="00C75584">
      <w:pPr>
        <w:pStyle w:val="AllowPageBreak"/>
      </w:pPr>
    </w:p>
    <w:p w:rsidR="00000000" w:rsidRPr="00C75584" w:rsidP="00C75584">
      <w:pPr>
        <w:pStyle w:val="Heading1"/>
      </w:pPr>
      <w:bookmarkStart w:id="9" w:name="O_502461"/>
      <w:bookmarkEnd w:id="9"/>
      <w:r w:rsidRPr="00C75584">
        <w:t>Required Skills and Knowledge</w:t>
      </w:r>
    </w:p>
    <w:tbl>
      <w:tblPr>
        <w:tblW w:w="0" w:type="auto"/>
        <w:tblLayout w:type="fixed"/>
        <w:tblCellMar>
          <w:left w:w="62" w:type="dxa"/>
          <w:right w:w="62" w:type="dxa"/>
        </w:tblCellMar>
        <w:tblLook w:val="0000"/>
      </w:tblPr>
      <w:tblGrid>
        <w:gridCol w:w="9072"/>
      </w:tblGrid>
      <w:tr w:rsidTr="00C755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t>This section describes the skills and knowledge required for this unit.</w:t>
            </w:r>
          </w:p>
        </w:tc>
      </w:tr>
      <w:tr w:rsidTr="00C755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Required skills</w:t>
            </w:r>
          </w:p>
        </w:tc>
      </w:tr>
      <w:tr w:rsidTr="00C755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5584" w:rsidP="00C75584">
            <w:pPr>
              <w:pStyle w:val="ListBullet"/>
            </w:pPr>
            <w:r w:rsidRPr="00C75584">
              <w:t>oral communication (listening, establishing rapport, negotiation, conflict resolution)</w:t>
            </w:r>
          </w:p>
          <w:p w:rsidR="00000000" w:rsidRPr="00C75584" w:rsidP="00C75584">
            <w:pPr>
              <w:pStyle w:val="ListBullet"/>
            </w:pPr>
            <w:r w:rsidRPr="00C75584">
              <w:t>written communication, in particular the capacity to provide clear comprehensi</w:t>
            </w:r>
            <w:r w:rsidRPr="00C75584">
              <w:t>ve, accurate and chronologically sequenced written documentation</w:t>
            </w:r>
          </w:p>
          <w:p w:rsidR="00000000" w:rsidRPr="00C75584" w:rsidP="00C75584">
            <w:pPr>
              <w:pStyle w:val="ListBullet"/>
            </w:pPr>
            <w:r w:rsidRPr="00C75584">
              <w:t>analytical techniques, in particular application of logic and reasoning to identify and select avenues of inquiry and substantiate these choices</w:t>
            </w:r>
          </w:p>
          <w:p w:rsidR="00000000" w:rsidRPr="00C75584" w:rsidP="00C75584">
            <w:pPr>
              <w:pStyle w:val="ListBullet"/>
            </w:pPr>
            <w:r w:rsidRPr="00C75584">
              <w:t>decision making and problem solving</w:t>
            </w:r>
          </w:p>
          <w:p w:rsidR="00000000" w:rsidRPr="00C75584" w:rsidP="00C75584">
            <w:pPr>
              <w:pStyle w:val="ListBullet"/>
            </w:pPr>
            <w:r w:rsidRPr="00C75584">
              <w:t>basic inve</w:t>
            </w:r>
            <w:r w:rsidRPr="00C75584">
              <w:t>stigation methods and skills</w:t>
            </w:r>
          </w:p>
          <w:p w:rsidR="00000000" w:rsidRPr="00C75584" w:rsidP="00C75584">
            <w:pPr>
              <w:pStyle w:val="ListBullet"/>
            </w:pPr>
            <w:r w:rsidRPr="00C75584">
              <w:t>preparation and submission of documents</w:t>
            </w:r>
          </w:p>
          <w:p w:rsidR="00000000" w:rsidP="00C75584">
            <w:pPr>
              <w:pStyle w:val="ListBullet"/>
              <w:rPr>
                <w:lang w:val="en-NZ"/>
              </w:rPr>
            </w:pPr>
            <w:r w:rsidRPr="00C75584">
              <w:t>operational safety</w:t>
            </w:r>
          </w:p>
        </w:tc>
      </w:tr>
      <w:tr w:rsidTr="00C755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Required knowledge</w:t>
            </w:r>
          </w:p>
        </w:tc>
      </w:tr>
      <w:tr w:rsidTr="00C755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5584" w:rsidP="00C75584">
            <w:pPr>
              <w:pStyle w:val="ListBullet"/>
            </w:pPr>
            <w:r w:rsidRPr="00C75584">
              <w:t>EEO</w:t>
            </w:r>
          </w:p>
          <w:p w:rsidR="00000000" w:rsidRPr="00C75584" w:rsidP="00C75584">
            <w:pPr>
              <w:pStyle w:val="ListBullet"/>
            </w:pPr>
            <w:r w:rsidRPr="00C75584">
              <w:t>Anti-discrimination Act</w:t>
            </w:r>
          </w:p>
          <w:p w:rsidR="00000000" w:rsidRPr="00C75584" w:rsidP="00C75584">
            <w:pPr>
              <w:pStyle w:val="ListBullet"/>
            </w:pPr>
            <w:r w:rsidRPr="00C75584">
              <w:t>Disability Act</w:t>
            </w:r>
          </w:p>
          <w:p w:rsidR="00000000" w:rsidRPr="00C75584" w:rsidP="00C75584">
            <w:pPr>
              <w:pStyle w:val="ListBullet"/>
            </w:pPr>
            <w:r w:rsidRPr="00C75584">
              <w:t>government and policy environments within which operations will be conducted</w:t>
            </w:r>
          </w:p>
          <w:p w:rsidR="00000000" w:rsidRPr="00C75584" w:rsidP="00C75584">
            <w:pPr>
              <w:pStyle w:val="ListBullet"/>
            </w:pPr>
            <w:r w:rsidRPr="00C75584">
              <w:t>different types of criminal activity and their elements</w:t>
            </w:r>
          </w:p>
          <w:p w:rsidR="00000000" w:rsidRPr="00C75584" w:rsidP="00C75584">
            <w:pPr>
              <w:pStyle w:val="ListBullet"/>
            </w:pPr>
            <w:r w:rsidRPr="00C75584">
              <w:t>available resources which may need to be deployed to support the investigation</w:t>
            </w:r>
          </w:p>
          <w:p w:rsidR="00000000" w:rsidRPr="00C75584" w:rsidP="00C75584">
            <w:pPr>
              <w:pStyle w:val="ListBullet"/>
            </w:pPr>
            <w:r w:rsidRPr="00C75584">
              <w:t>security issues and classifications</w:t>
            </w:r>
          </w:p>
          <w:p w:rsidR="00000000" w:rsidRPr="00C75584" w:rsidP="00C75584">
            <w:pPr>
              <w:pStyle w:val="ListBullet"/>
            </w:pPr>
            <w:r w:rsidRPr="00C75584">
              <w:t>correct interpretation of all applicable laws, policy and procedures</w:t>
            </w:r>
          </w:p>
          <w:p w:rsidR="00000000" w:rsidRPr="00C75584" w:rsidP="00C75584">
            <w:pPr>
              <w:pStyle w:val="ListBullet"/>
            </w:pPr>
            <w:r w:rsidRPr="00C75584">
              <w:t>Legal and ethica</w:t>
            </w:r>
            <w:r w:rsidRPr="00C75584">
              <w:t>l considerations in investigations which involve juveniles and indigenous people</w:t>
            </w:r>
          </w:p>
          <w:p w:rsidR="00000000" w:rsidRPr="00C75584" w:rsidP="00C75584">
            <w:pPr>
              <w:pStyle w:val="ListBullet"/>
            </w:pPr>
            <w:r w:rsidRPr="00C75584">
              <w:t>investigation principles and the range of investigation techniques available</w:t>
            </w:r>
          </w:p>
          <w:p w:rsidR="00000000" w:rsidRPr="00C75584" w:rsidP="00C75584">
            <w:pPr>
              <w:pStyle w:val="ListBullet"/>
            </w:pPr>
            <w:r w:rsidRPr="00C75584">
              <w:t>knowledge of case management systems and the range of contexts in which they can be applied</w:t>
            </w:r>
          </w:p>
          <w:p w:rsidR="00000000" w:rsidRPr="00C75584" w:rsidP="00C75584">
            <w:pPr>
              <w:pStyle w:val="ListBullet"/>
            </w:pPr>
            <w:r w:rsidRPr="00C75584">
              <w:t xml:space="preserve">court </w:t>
            </w:r>
            <w:r w:rsidRPr="00C75584">
              <w:t>procedures and evidentiary requirements in provision of briefs of evidence for use by the prosecution</w:t>
            </w:r>
          </w:p>
          <w:p w:rsidR="00000000" w:rsidRPr="00C75584" w:rsidP="00C75584">
            <w:pPr>
              <w:pStyle w:val="ListBullet"/>
            </w:pPr>
            <w:r w:rsidRPr="00C75584">
              <w:t>ethics, professionalism and cultural diversity</w:t>
            </w:r>
          </w:p>
          <w:p w:rsidR="00000000" w:rsidRPr="00C75584" w:rsidP="00C75584">
            <w:pPr>
              <w:pStyle w:val="ListBullet"/>
            </w:pPr>
            <w:r w:rsidRPr="00C75584">
              <w:t>role and functions of other agencies who work with policing in the conduct of investigations</w:t>
            </w:r>
          </w:p>
          <w:p w:rsidR="00000000" w:rsidRPr="00C75584" w:rsidP="00C75584">
            <w:pPr>
              <w:pStyle w:val="ListBullet"/>
            </w:pPr>
            <w:r w:rsidRPr="00C75584">
              <w:t>methods and process for subject/suspect identification and profiling</w:t>
            </w:r>
          </w:p>
        </w:tc>
      </w:tr>
    </w:tbl>
    <w:p w:rsidR="00000000" w:rsidRPr="00C75584" w:rsidP="00C75584">
      <w:pPr>
        <w:pStyle w:val="BodyText"/>
      </w:pPr>
    </w:p>
    <w:p w:rsidR="00000000" w:rsidRPr="00C75584" w:rsidP="00C75584">
      <w:pPr>
        <w:pStyle w:val="AllowPageBreak"/>
      </w:pPr>
    </w:p>
    <w:p w:rsidR="00000000" w:rsidRPr="00C75584" w:rsidP="00C75584">
      <w:pPr>
        <w:pStyle w:val="Heading1"/>
      </w:pPr>
      <w:bookmarkStart w:id="10" w:name="O_502462"/>
      <w:bookmarkEnd w:id="10"/>
      <w:r w:rsidRPr="00C75584">
        <w:t>Evidence Guide</w:t>
      </w:r>
    </w:p>
    <w:tbl>
      <w:tblPr>
        <w:tblW w:w="9322" w:type="dxa"/>
        <w:tblLayout w:type="fixed"/>
        <w:tblCellMar>
          <w:left w:w="62" w:type="dxa"/>
          <w:right w:w="62" w:type="dxa"/>
        </w:tblCellMar>
        <w:tblLook w:val="0000"/>
      </w:tblPr>
      <w:tblGrid>
        <w:gridCol w:w="2582"/>
        <w:gridCol w:w="6740"/>
      </w:tblGrid>
      <w:tr w:rsidTr="00C7558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t xml:space="preserve">The Evidence Guide specifies the evidence required to demonstrate achievement in the unit of competency as a whole. It must be read in </w:t>
            </w:r>
            <w:r w:rsidRPr="00C75584">
              <w:t>conjunction with the Unit descriptor, Performance Criteria, the Range Statement and the Assessment Guidelines for the Public Sector Training Package.</w:t>
            </w:r>
          </w:p>
        </w:tc>
      </w:tr>
      <w:tr w:rsidTr="00C7558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Overview of evidence requirements</w:t>
            </w:r>
          </w:p>
        </w:tc>
        <w:tc>
          <w:tcPr>
            <w:tcW w:w="6740"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t>It is essential for this unit that to demonstrate competence in this unit, processes used in the investigation must meet organisational policies and procedures and commonwealth and/or jurisdictional law</w:t>
            </w:r>
          </w:p>
        </w:tc>
      </w:tr>
      <w:tr w:rsidTr="00C7558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Resources required to carry out assessment</w:t>
            </w:r>
          </w:p>
        </w:tc>
        <w:tc>
          <w:tcPr>
            <w:tcW w:w="6740"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t>No specia</w:t>
            </w:r>
            <w:r w:rsidRPr="00C75584">
              <w:t>l resources are required.</w:t>
            </w:r>
          </w:p>
        </w:tc>
      </w:tr>
      <w:tr w:rsidTr="00C7558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Where and how to assess evidence</w:t>
            </w:r>
          </w:p>
        </w:tc>
        <w:tc>
          <w:tcPr>
            <w:tcW w:w="6740" w:type="dxa"/>
            <w:tcBorders>
              <w:top w:val="nil"/>
              <w:left w:val="nil"/>
              <w:bottom w:val="nil"/>
              <w:right w:val="nil"/>
            </w:tcBorders>
            <w:tcMar>
              <w:top w:w="0" w:type="dxa"/>
              <w:left w:w="62" w:type="dxa"/>
              <w:bottom w:w="0" w:type="dxa"/>
              <w:right w:w="62" w:type="dxa"/>
            </w:tcMar>
          </w:tcPr>
          <w:p w:rsidR="00000000" w:rsidRPr="00C75584" w:rsidP="00C75584">
            <w:pPr>
              <w:pStyle w:val="BodyText"/>
            </w:pPr>
            <w:r w:rsidRPr="00C75584">
              <w:t xml:space="preserve"> Valid assessment of this unit requires: </w:t>
            </w:r>
          </w:p>
          <w:p w:rsidR="00000000" w:rsidRPr="00C75584" w:rsidP="00C75584">
            <w:pPr>
              <w:pStyle w:val="ListBullet"/>
            </w:pPr>
            <w:r w:rsidRPr="00C75584">
              <w:t>a workplace environment or one that closely resembles normal work practice and replicates the range of conditions likely to be encountered, including cop</w:t>
            </w:r>
            <w:r w:rsidRPr="00C75584">
              <w:t>ing with difficulties, irregularities and breakdowns in routine</w:t>
            </w:r>
          </w:p>
          <w:p w:rsidR="00000000" w:rsidRPr="00C75584" w:rsidP="00C75584">
            <w:pPr>
              <w:pStyle w:val="BodyText"/>
            </w:pPr>
            <w:r w:rsidRPr="00C75584">
              <w:t>Assessment methods should reflect workplace demands, such as literacy, and the needs of particular groups, such as:</w:t>
            </w:r>
          </w:p>
          <w:p w:rsidR="00000000" w:rsidRPr="00C75584" w:rsidP="00C75584">
            <w:pPr>
              <w:pStyle w:val="ListBullet"/>
            </w:pPr>
            <w:r w:rsidRPr="00C75584">
              <w:t>people with disabilities</w:t>
            </w:r>
          </w:p>
          <w:p w:rsidR="00000000" w:rsidRPr="00C75584" w:rsidP="00C75584">
            <w:pPr>
              <w:pStyle w:val="ListBullet"/>
            </w:pPr>
            <w:r w:rsidRPr="00C75584">
              <w:t>people from culturally and linguistically diverse backgrounds</w:t>
            </w:r>
          </w:p>
          <w:p w:rsidR="00000000" w:rsidRPr="00C75584" w:rsidP="00C75584">
            <w:pPr>
              <w:pStyle w:val="ListBullet"/>
            </w:pPr>
            <w:r w:rsidRPr="00C75584">
              <w:t>Indigenous people</w:t>
            </w:r>
          </w:p>
          <w:p w:rsidR="00000000" w:rsidRPr="00C75584" w:rsidP="00C75584">
            <w:pPr>
              <w:pStyle w:val="ListBullet"/>
            </w:pPr>
            <w:r w:rsidRPr="00C75584">
              <w:t>women</w:t>
            </w:r>
          </w:p>
          <w:p w:rsidR="00000000" w:rsidRPr="00C75584" w:rsidP="00C75584">
            <w:pPr>
              <w:pStyle w:val="ListBullet"/>
            </w:pPr>
            <w:r w:rsidRPr="00C75584">
              <w:t>young people</w:t>
            </w:r>
          </w:p>
          <w:p w:rsidR="00000000" w:rsidRPr="00C75584" w:rsidP="00C75584">
            <w:pPr>
              <w:pStyle w:val="ListBullet"/>
            </w:pPr>
            <w:r w:rsidRPr="00C75584">
              <w:t>older people</w:t>
            </w:r>
          </w:p>
          <w:p w:rsidR="00000000" w:rsidRPr="00C75584" w:rsidP="00C75584">
            <w:pPr>
              <w:pStyle w:val="ListBullet"/>
            </w:pPr>
            <w:r w:rsidRPr="00C75584">
              <w:t>people in rural and remote locations</w:t>
            </w:r>
          </w:p>
          <w:p w:rsidR="00000000" w:rsidRPr="00C75584" w:rsidP="00C75584">
            <w:pPr>
              <w:pStyle w:val="BodyText"/>
            </w:pPr>
            <w:r w:rsidRPr="00C75584">
              <w:t>Assessment methods suitable for valid and reliable assessment of this competency may include, but are not l</w:t>
            </w:r>
            <w:r w:rsidRPr="00C75584">
              <w:t xml:space="preserve">imited to, a combination of 2 or more of: </w:t>
            </w:r>
          </w:p>
          <w:p w:rsidR="00000000" w:rsidRPr="00C75584" w:rsidP="00C75584">
            <w:pPr>
              <w:pStyle w:val="ListBullet"/>
            </w:pPr>
            <w:r w:rsidRPr="00C75584">
              <w:t>case studies</w:t>
            </w:r>
          </w:p>
          <w:p w:rsidR="00000000" w:rsidRPr="00C75584" w:rsidP="00C75584">
            <w:pPr>
              <w:pStyle w:val="ListBullet"/>
            </w:pPr>
            <w:r w:rsidRPr="00C75584">
              <w:t>observation</w:t>
            </w:r>
          </w:p>
          <w:p w:rsidR="00000000" w:rsidRPr="00C75584" w:rsidP="00C75584">
            <w:pPr>
              <w:pStyle w:val="ListBullet"/>
            </w:pPr>
            <w:r w:rsidRPr="00C75584">
              <w:t xml:space="preserve">portfolios </w:t>
            </w:r>
          </w:p>
          <w:p w:rsidR="00000000" w:rsidRPr="00C75584" w:rsidP="00C75584">
            <w:pPr>
              <w:pStyle w:val="ListBullet"/>
            </w:pPr>
            <w:r w:rsidRPr="00C75584">
              <w:t>questioning</w:t>
            </w:r>
          </w:p>
          <w:p w:rsidR="00000000" w:rsidRPr="00C75584" w:rsidP="00C75584">
            <w:pPr>
              <w:pStyle w:val="ListBullet"/>
            </w:pPr>
            <w:r w:rsidRPr="00C75584">
              <w:t>scenarios</w:t>
            </w:r>
          </w:p>
          <w:p w:rsidR="00000000" w:rsidRPr="00C75584" w:rsidP="00C75584">
            <w:pPr>
              <w:pStyle w:val="ListBullet"/>
            </w:pPr>
            <w:r w:rsidRPr="00C75584">
              <w:t>simulation or role plays</w:t>
            </w:r>
          </w:p>
          <w:p w:rsidR="00000000" w:rsidP="00C75584">
            <w:pPr>
              <w:pStyle w:val="ListBullet"/>
              <w:rPr>
                <w:lang w:val="en-NZ"/>
              </w:rPr>
            </w:pPr>
            <w:r w:rsidRPr="00C75584">
              <w:t xml:space="preserve"> authenticated evidence from the workplace and/or training courses</w:t>
            </w:r>
          </w:p>
        </w:tc>
      </w:tr>
      <w:tr w:rsidTr="00C7558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C75584">
            <w:pPr>
              <w:pStyle w:val="BodyText"/>
              <w:rPr>
                <w:lang w:val="en-NZ"/>
              </w:rPr>
            </w:pPr>
            <w:r w:rsidRPr="00C75584">
              <w:rPr>
                <w:rStyle w:val="SpecialBold"/>
              </w:rPr>
              <w:t>For consistency of assessment</w:t>
            </w:r>
          </w:p>
        </w:tc>
        <w:tc>
          <w:tcPr>
            <w:tcW w:w="6740" w:type="dxa"/>
            <w:tcBorders>
              <w:top w:val="nil"/>
              <w:left w:val="nil"/>
              <w:bottom w:val="nil"/>
              <w:right w:val="nil"/>
            </w:tcBorders>
            <w:tcMar>
              <w:top w:w="0" w:type="dxa"/>
              <w:left w:w="62" w:type="dxa"/>
              <w:bottom w:w="0" w:type="dxa"/>
              <w:right w:w="62" w:type="dxa"/>
            </w:tcMar>
          </w:tcPr>
          <w:p w:rsidR="00000000" w:rsidRPr="00C75584" w:rsidP="00C75584">
            <w:pPr>
              <w:pStyle w:val="BodyText"/>
            </w:pPr>
            <w:r w:rsidRPr="00C75584">
              <w:t>Evidence must be gathered over time in a range of contexts to ensure the person can achieve the unit outcome and apply the competency in different situations or environments</w:t>
            </w:r>
          </w:p>
        </w:tc>
      </w:tr>
    </w:tbl>
    <w:p w:rsidR="00000000" w:rsidRPr="00C75584" w:rsidP="00C75584">
      <w:pPr>
        <w:pStyle w:val="BodyText"/>
      </w:pPr>
    </w:p>
    <w:p w:rsidR="00000000" w:rsidRPr="00C75584" w:rsidP="00C75584">
      <w:pPr>
        <w:pStyle w:val="AllowPageBreak"/>
      </w:pPr>
    </w:p>
    <w:p w:rsidR="00000000" w:rsidRPr="00C75584" w:rsidP="00C75584">
      <w:pPr>
        <w:pStyle w:val="Heading1"/>
      </w:pPr>
      <w:bookmarkStart w:id="11" w:name="O_502463"/>
      <w:bookmarkEnd w:id="11"/>
      <w:r w:rsidRPr="00C75584">
        <w:t>Range Statement</w:t>
      </w:r>
    </w:p>
    <w:tbl>
      <w:tblPr>
        <w:tblW w:w="0" w:type="auto"/>
        <w:tblLayout w:type="fixed"/>
        <w:tblCellMar>
          <w:left w:w="62" w:type="dxa"/>
          <w:right w:w="62" w:type="dxa"/>
        </w:tblCellMar>
        <w:tblLook w:val="0000"/>
      </w:tblPr>
      <w:tblGrid>
        <w:gridCol w:w="2636"/>
        <w:gridCol w:w="6544"/>
      </w:tblGrid>
      <w:tr w:rsidTr="00C75584">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t>The range statement relates to the unit of comp</w:t>
            </w:r>
            <w:r w:rsidRPr="00C75584">
              <w:t>etency as a whole. It allows for different work environments and situations that may affect performance. Bold italicised wording, if used in the performance criteria, is detailed below. Essential operating conditions that may be present with training and a</w:t>
            </w:r>
            <w:r w:rsidRPr="00C75584">
              <w:t>ssessment (depending on the work situation, needs of the candidate, accessibility of the item, and local industry and regional contexts) may also be included.</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 xml:space="preserve">Investigation </w:t>
            </w:r>
            <w:r w:rsidRPr="00C75584">
              <w:t>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ListBullet"/>
              <w:rPr>
                <w:lang w:val="en-NZ"/>
              </w:rPr>
            </w:pPr>
            <w:r w:rsidRPr="00C75584">
              <w:t>multi</w:t>
            </w:r>
            <w:r w:rsidRPr="00C75584">
              <w:noBreakHyphen/>
              <w:t>disciplinary approaches and may have criminal and/or coronial</w:t>
            </w:r>
            <w:r w:rsidRPr="00C75584">
              <w:t xml:space="preserve"> purposes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Unforeseen events</w:t>
            </w:r>
            <w:r w:rsidRPr="00C75584">
              <w:t xml:space="preserve"> 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withdrawal/reduction of allocated resources</w:t>
            </w:r>
          </w:p>
          <w:p w:rsidR="00000000" w:rsidP="00C75584">
            <w:pPr>
              <w:pStyle w:val="ListBullet"/>
              <w:rPr>
                <w:lang w:val="en-NZ"/>
              </w:rPr>
            </w:pPr>
            <w:r w:rsidRPr="00C75584">
              <w:t>critical evidence</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All relevant personnel</w:t>
            </w:r>
            <w:r w:rsidRPr="00C75584">
              <w:t xml:space="preserve"> 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team members, investigation supervisors</w:t>
            </w:r>
          </w:p>
          <w:p w:rsidR="00000000" w:rsidRPr="00C75584" w:rsidP="00C75584">
            <w:pPr>
              <w:pStyle w:val="ListBullet"/>
            </w:pPr>
            <w:r w:rsidRPr="00C75584">
              <w:t>sources of information may include:</w:t>
            </w:r>
          </w:p>
          <w:p w:rsidR="00000000" w:rsidRPr="00C75584" w:rsidP="00C75584">
            <w:pPr>
              <w:pStyle w:val="ListBullet2"/>
            </w:pPr>
            <w:r w:rsidRPr="00C75584">
              <w:t>witnesses/victims/informants</w:t>
            </w:r>
          </w:p>
          <w:p w:rsidR="00000000" w:rsidRPr="00C75584" w:rsidP="00C75584">
            <w:pPr>
              <w:pStyle w:val="ListBullet2"/>
            </w:pPr>
            <w:r w:rsidRPr="00C75584">
              <w:t>suspects</w:t>
            </w:r>
          </w:p>
          <w:p w:rsidR="00000000" w:rsidRPr="00C75584" w:rsidP="00C75584">
            <w:pPr>
              <w:pStyle w:val="ListBullet2"/>
            </w:pPr>
            <w:r w:rsidRPr="00C75584">
              <w:t>internal/external agencies</w:t>
            </w:r>
          </w:p>
          <w:p w:rsidR="00000000" w:rsidP="00C75584">
            <w:pPr>
              <w:pStyle w:val="ListBullet2"/>
              <w:rPr>
                <w:lang w:val="en-NZ"/>
              </w:rPr>
            </w:pPr>
            <w:r w:rsidRPr="00C75584">
              <w:t>surveillance provided by self or from other legitimate sources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 xml:space="preserve">Resources </w:t>
            </w:r>
            <w:r w:rsidRPr="00C75584">
              <w:t>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human, physical and financial and may include other agencies, such as:</w:t>
            </w:r>
          </w:p>
          <w:p w:rsidR="00000000" w:rsidRPr="00C75584" w:rsidP="00C75584">
            <w:pPr>
              <w:pStyle w:val="ListBullet2"/>
            </w:pPr>
            <w:r w:rsidRPr="00C75584">
              <w:t>other police organisations</w:t>
            </w:r>
          </w:p>
          <w:p w:rsidR="00000000" w:rsidRPr="00C75584" w:rsidP="00C75584">
            <w:pPr>
              <w:pStyle w:val="ListBullet2"/>
            </w:pPr>
            <w:r w:rsidRPr="00C75584">
              <w:t>National Crime Authority</w:t>
            </w:r>
          </w:p>
          <w:p w:rsidR="00000000" w:rsidRPr="00C75584" w:rsidP="00C75584">
            <w:pPr>
              <w:pStyle w:val="ListBullet2"/>
            </w:pPr>
            <w:r w:rsidRPr="00C75584">
              <w:t>Criminal Justice Commissions</w:t>
            </w:r>
          </w:p>
          <w:p w:rsidR="00000000" w:rsidRPr="00C75584" w:rsidP="00C75584">
            <w:pPr>
              <w:pStyle w:val="ListBullet2"/>
            </w:pPr>
            <w:r w:rsidRPr="00C75584">
              <w:t>other government departments/agencies</w:t>
            </w:r>
          </w:p>
          <w:p w:rsidR="00000000" w:rsidP="00C75584">
            <w:pPr>
              <w:pStyle w:val="ListBullet2"/>
              <w:rPr>
                <w:lang w:val="en-NZ"/>
              </w:rPr>
            </w:pPr>
            <w:r w:rsidRPr="00C75584">
              <w:t>non-government agencies such as financial institutions and insurance companies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 xml:space="preserve">Information </w:t>
            </w:r>
            <w:r w:rsidRPr="00C75584">
              <w:t>may be utilised in relation to:</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task allocation</w:t>
            </w:r>
          </w:p>
          <w:p w:rsidR="00000000" w:rsidRPr="00C75584" w:rsidP="00C75584">
            <w:pPr>
              <w:pStyle w:val="ListBullet"/>
            </w:pPr>
            <w:r w:rsidRPr="00C75584">
              <w:t>information analysis</w:t>
            </w:r>
          </w:p>
          <w:p w:rsidR="00000000" w:rsidRPr="00C75584" w:rsidP="00C75584">
            <w:pPr>
              <w:pStyle w:val="ListBullet"/>
            </w:pPr>
            <w:r w:rsidRPr="00C75584">
              <w:t>identification of data collection plans</w:t>
            </w:r>
          </w:p>
          <w:p w:rsidR="00000000" w:rsidP="00C75584">
            <w:pPr>
              <w:pStyle w:val="ListBullet"/>
              <w:rPr>
                <w:lang w:val="en-NZ"/>
              </w:rPr>
            </w:pPr>
            <w:r w:rsidRPr="00C75584">
              <w:t>linking of information</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 xml:space="preserve">Exhibits </w:t>
            </w:r>
            <w:r w:rsidRPr="00C75584">
              <w:t>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the individual items of evidence that could be presented to a court and may be required for viewing by:</w:t>
            </w:r>
          </w:p>
          <w:p w:rsidR="00000000" w:rsidRPr="00C75584" w:rsidP="00C75584">
            <w:pPr>
              <w:pStyle w:val="ListBullet2"/>
            </w:pPr>
            <w:r w:rsidRPr="00C75584">
              <w:t>judicial officers</w:t>
            </w:r>
          </w:p>
          <w:p w:rsidR="00000000" w:rsidRPr="00C75584" w:rsidP="00C75584">
            <w:pPr>
              <w:pStyle w:val="ListBullet2"/>
            </w:pPr>
            <w:r w:rsidRPr="00C75584">
              <w:t>prosecutors</w:t>
            </w:r>
          </w:p>
          <w:p w:rsidR="00000000" w:rsidRPr="00C75584" w:rsidP="00C75584">
            <w:pPr>
              <w:pStyle w:val="ListBullet2"/>
            </w:pPr>
            <w:r w:rsidRPr="00C75584">
              <w:t>defence counsel</w:t>
            </w:r>
          </w:p>
          <w:p w:rsidR="00000000" w:rsidRPr="00C75584" w:rsidP="00C75584">
            <w:pPr>
              <w:pStyle w:val="ListBullet2"/>
            </w:pPr>
            <w:r w:rsidRPr="00C75584">
              <w:t>expert</w:t>
            </w:r>
            <w:r w:rsidRPr="00C75584">
              <w:t xml:space="preserve"> and non-expert witnesses</w:t>
            </w:r>
          </w:p>
          <w:p w:rsidR="00000000" w:rsidP="00C75584">
            <w:pPr>
              <w:pStyle w:val="ListBullet2"/>
              <w:rPr>
                <w:lang w:val="en-NZ"/>
              </w:rPr>
            </w:pPr>
            <w:r w:rsidRPr="00C75584">
              <w:t>for audit purposes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 xml:space="preserve">Seize </w:t>
            </w:r>
            <w:r w:rsidRPr="00C75584">
              <w:t>incorporates:</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ListBullet"/>
              <w:rPr>
                <w:lang w:val="en-NZ"/>
              </w:rPr>
            </w:pPr>
            <w:r w:rsidRPr="00C75584">
              <w:t>the lawful procedures that permit seizure of property/goods including the procurement and execution of relevant warrants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Avenues of inquir</w:t>
            </w:r>
            <w:r w:rsidRPr="00C75584">
              <w:t>y  need to consider:</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financial practicalities</w:t>
            </w:r>
          </w:p>
          <w:p w:rsidR="00000000" w:rsidRPr="00C75584" w:rsidP="00C75584">
            <w:pPr>
              <w:pStyle w:val="ListBullet"/>
            </w:pPr>
            <w:r w:rsidRPr="00C75584">
              <w:t>physical</w:t>
            </w:r>
          </w:p>
          <w:p w:rsidR="00000000" w:rsidP="00C75584">
            <w:pPr>
              <w:pStyle w:val="ListBullet"/>
              <w:rPr>
                <w:lang w:val="en-NZ"/>
              </w:rPr>
            </w:pPr>
            <w:r w:rsidRPr="00C75584">
              <w:t>human and legal constraints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 xml:space="preserve">Subjects </w:t>
            </w:r>
            <w:r w:rsidRPr="00C75584">
              <w:t>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vehicles</w:t>
            </w:r>
          </w:p>
          <w:p w:rsidR="00000000" w:rsidRPr="00C75584" w:rsidP="00C75584">
            <w:pPr>
              <w:pStyle w:val="ListBullet"/>
            </w:pPr>
            <w:r w:rsidRPr="00C75584">
              <w:t>premises</w:t>
            </w:r>
          </w:p>
          <w:p w:rsidR="00000000" w:rsidP="00C75584">
            <w:pPr>
              <w:pStyle w:val="ListBullet"/>
              <w:rPr>
                <w:lang w:val="en-NZ"/>
              </w:rPr>
            </w:pPr>
            <w:r w:rsidRPr="00C75584">
              <w:t>vessels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Investigation techniques</w:t>
            </w:r>
            <w:r w:rsidRPr="00C75584">
              <w:t xml:space="preserve"> 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using other sources of information such as media</w:t>
            </w:r>
          </w:p>
          <w:p w:rsidR="00000000" w:rsidRPr="00C75584" w:rsidP="00C75584">
            <w:pPr>
              <w:pStyle w:val="ListBullet"/>
            </w:pPr>
            <w:r w:rsidRPr="00C75584">
              <w:t>doorknocks</w:t>
            </w:r>
          </w:p>
          <w:p w:rsidR="00000000" w:rsidRPr="00C75584" w:rsidP="00C75584">
            <w:pPr>
              <w:pStyle w:val="ListBullet"/>
            </w:pPr>
            <w:r w:rsidRPr="00C75584">
              <w:t>forensic examination/analysis</w:t>
            </w:r>
          </w:p>
          <w:p w:rsidR="00000000" w:rsidRPr="00C75584" w:rsidP="00C75584">
            <w:pPr>
              <w:pStyle w:val="ListBullet"/>
            </w:pPr>
            <w:r w:rsidRPr="00C75584">
              <w:t>informants/informers</w:t>
            </w:r>
          </w:p>
          <w:p w:rsidR="00000000" w:rsidRPr="00C75584" w:rsidP="00C75584">
            <w:pPr>
              <w:pStyle w:val="ListBullet"/>
            </w:pPr>
            <w:r w:rsidRPr="00C75584">
              <w:t>listening devices and other covert surveillance techniques</w:t>
            </w:r>
          </w:p>
          <w:p w:rsidR="00000000" w:rsidRPr="00C75584" w:rsidP="00C75584">
            <w:pPr>
              <w:pStyle w:val="ListBullet"/>
            </w:pPr>
            <w:r w:rsidRPr="00C75584">
              <w:t>search and search warrants</w:t>
            </w:r>
          </w:p>
          <w:p w:rsidR="00000000" w:rsidP="00C75584">
            <w:pPr>
              <w:pStyle w:val="ListBullet"/>
              <w:rPr>
                <w:lang w:val="en-NZ"/>
              </w:rPr>
            </w:pPr>
            <w:r w:rsidRPr="00C75584">
              <w:t>computer interrogation/data retrieval</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Persons relevant</w:t>
            </w:r>
            <w:r w:rsidRPr="00C75584">
              <w:t xml:space="preserve"> to the investigation 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victims (individuals and/or companies)</w:t>
            </w:r>
          </w:p>
          <w:p w:rsidR="00000000" w:rsidRPr="00C75584" w:rsidP="00C75584">
            <w:pPr>
              <w:pStyle w:val="ListBullet"/>
            </w:pPr>
            <w:r w:rsidRPr="00C75584">
              <w:t>complainant</w:t>
            </w:r>
          </w:p>
          <w:p w:rsidR="00000000" w:rsidRPr="00C75584" w:rsidP="00C75584">
            <w:pPr>
              <w:pStyle w:val="ListBullet"/>
            </w:pPr>
            <w:r w:rsidRPr="00C75584">
              <w:t>next-of-kin</w:t>
            </w:r>
          </w:p>
          <w:p w:rsidR="00000000" w:rsidRPr="00C75584" w:rsidP="00C75584">
            <w:pPr>
              <w:pStyle w:val="ListBullet"/>
            </w:pPr>
            <w:r w:rsidRPr="00C75584">
              <w:t>neighbours</w:t>
            </w:r>
          </w:p>
          <w:p w:rsidR="00000000" w:rsidRPr="00C75584" w:rsidP="00C75584">
            <w:pPr>
              <w:pStyle w:val="ListBullet"/>
            </w:pPr>
            <w:r w:rsidRPr="00C75584">
              <w:t>legal</w:t>
            </w:r>
            <w:r w:rsidRPr="00C75584">
              <w:t xml:space="preserve"> representatives</w:t>
            </w:r>
          </w:p>
          <w:p w:rsidR="00000000" w:rsidRPr="00C75584" w:rsidP="00C75584">
            <w:pPr>
              <w:pStyle w:val="ListBullet"/>
            </w:pPr>
            <w:r w:rsidRPr="00C75584">
              <w:t>Immigration Department</w:t>
            </w:r>
          </w:p>
          <w:p w:rsidR="00000000" w:rsidRPr="00C75584" w:rsidP="00C75584">
            <w:pPr>
              <w:pStyle w:val="ListBullet"/>
            </w:pPr>
            <w:r w:rsidRPr="00C75584">
              <w:t xml:space="preserve">embassies </w:t>
            </w:r>
          </w:p>
          <w:p w:rsidR="00000000" w:rsidP="00C75584">
            <w:pPr>
              <w:pStyle w:val="ListBullet"/>
              <w:rPr>
                <w:lang w:val="en-NZ"/>
              </w:rPr>
            </w:pPr>
            <w:r w:rsidRPr="00C75584">
              <w:t>Defence forces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 xml:space="preserve">Profiles </w:t>
            </w:r>
            <w:r w:rsidRPr="00C75584">
              <w:t>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simple or detailed</w:t>
            </w:r>
          </w:p>
          <w:p w:rsidR="00000000" w:rsidRPr="00C75584" w:rsidP="00C75584">
            <w:pPr>
              <w:pStyle w:val="ListBullet"/>
            </w:pPr>
            <w:r w:rsidRPr="00C75584">
              <w:t>formal or informal</w:t>
            </w:r>
          </w:p>
          <w:p w:rsidR="00000000" w:rsidRPr="00C75584" w:rsidP="00C75584">
            <w:pPr>
              <w:pStyle w:val="ListBullet"/>
            </w:pPr>
            <w:r w:rsidRPr="00C75584">
              <w:t>victims</w:t>
            </w:r>
          </w:p>
          <w:p w:rsidR="00000000" w:rsidRPr="00C75584" w:rsidP="00C75584">
            <w:pPr>
              <w:pStyle w:val="ListBullet"/>
            </w:pPr>
            <w:r w:rsidRPr="00C75584">
              <w:t>offenders</w:t>
            </w:r>
          </w:p>
          <w:p w:rsidR="00000000" w:rsidRPr="00C75584" w:rsidP="00C75584">
            <w:pPr>
              <w:pStyle w:val="ListBullet"/>
            </w:pPr>
            <w:r w:rsidRPr="00C75584">
              <w:t>witnesses</w:t>
            </w:r>
          </w:p>
          <w:p w:rsidR="00000000" w:rsidRPr="00C75584" w:rsidP="00C75584">
            <w:pPr>
              <w:pStyle w:val="ListBullet"/>
            </w:pPr>
            <w:r w:rsidRPr="00C75584">
              <w:t>financial and industrial organisations</w:t>
            </w:r>
          </w:p>
          <w:p w:rsidR="00000000" w:rsidRPr="00C75584" w:rsidP="00C75584">
            <w:pPr>
              <w:pStyle w:val="ListBullet"/>
            </w:pPr>
            <w:r w:rsidRPr="00C75584">
              <w:t>physical description</w:t>
            </w:r>
          </w:p>
          <w:p w:rsidR="00000000" w:rsidRPr="00C75584" w:rsidP="00C75584">
            <w:pPr>
              <w:pStyle w:val="ListBullet"/>
            </w:pPr>
            <w:r w:rsidRPr="00C75584">
              <w:t>list of family and friends</w:t>
            </w:r>
          </w:p>
          <w:p w:rsidR="00000000" w:rsidRPr="00C75584" w:rsidP="00C75584">
            <w:pPr>
              <w:pStyle w:val="ListBullet"/>
            </w:pPr>
            <w:r w:rsidRPr="00C75584">
              <w:t>criminal antecedents,</w:t>
            </w:r>
          </w:p>
          <w:p w:rsidR="00000000" w:rsidRPr="00C75584" w:rsidP="00C75584">
            <w:pPr>
              <w:pStyle w:val="ListBullet"/>
            </w:pPr>
            <w:r w:rsidRPr="00C75584">
              <w:t>list of assets</w:t>
            </w:r>
          </w:p>
          <w:p w:rsidR="00000000" w:rsidRPr="00C75584" w:rsidP="00C75584">
            <w:pPr>
              <w:pStyle w:val="ListBullet"/>
            </w:pPr>
            <w:r w:rsidRPr="00C75584">
              <w:t>details of any debtors/creditors</w:t>
            </w:r>
          </w:p>
          <w:p w:rsidR="00000000" w:rsidRPr="00C75584" w:rsidP="00C75584">
            <w:pPr>
              <w:pStyle w:val="ListBullet"/>
            </w:pPr>
            <w:r w:rsidRPr="00C75584">
              <w:t>sexual identify</w:t>
            </w:r>
          </w:p>
          <w:p w:rsidR="00000000" w:rsidRPr="00C75584" w:rsidP="00C75584">
            <w:pPr>
              <w:pStyle w:val="ListBullet"/>
            </w:pPr>
            <w:r w:rsidRPr="00C75584">
              <w:t>sexuality</w:t>
            </w:r>
          </w:p>
          <w:p w:rsidR="00000000" w:rsidRPr="00C75584" w:rsidP="00C75584">
            <w:pPr>
              <w:pStyle w:val="ListBullet"/>
            </w:pPr>
            <w:r w:rsidRPr="00C75584">
              <w:t>sexual partners</w:t>
            </w:r>
          </w:p>
          <w:p w:rsidR="00000000" w:rsidRPr="00C75584" w:rsidP="00C75584">
            <w:pPr>
              <w:pStyle w:val="ListBullet"/>
            </w:pPr>
            <w:r w:rsidRPr="00C75584">
              <w:t>details of siblings</w:t>
            </w:r>
          </w:p>
          <w:p w:rsidR="00000000" w:rsidRPr="00C75584" w:rsidP="00C75584">
            <w:pPr>
              <w:pStyle w:val="ListBullet"/>
            </w:pPr>
            <w:r w:rsidRPr="00C75584">
              <w:t>race/ethnicity</w:t>
            </w:r>
          </w:p>
          <w:p w:rsidR="00000000" w:rsidRPr="00C75584" w:rsidP="00C75584">
            <w:pPr>
              <w:pStyle w:val="ListBullet"/>
            </w:pPr>
            <w:r w:rsidRPr="00C75584">
              <w:t>vehicles</w:t>
            </w:r>
          </w:p>
          <w:p w:rsidR="00000000" w:rsidRPr="00C75584" w:rsidP="00C75584">
            <w:pPr>
              <w:pStyle w:val="ListBullet"/>
            </w:pPr>
            <w:r w:rsidRPr="00C75584">
              <w:t>employment details</w:t>
            </w:r>
          </w:p>
          <w:p w:rsidR="00000000" w:rsidRPr="00C75584" w:rsidP="00C75584">
            <w:pPr>
              <w:pStyle w:val="ListBullet"/>
            </w:pPr>
            <w:r w:rsidRPr="00C75584">
              <w:t>qualifications</w:t>
            </w:r>
          </w:p>
          <w:p w:rsidR="00000000" w:rsidRPr="00C75584" w:rsidP="00C75584">
            <w:pPr>
              <w:pStyle w:val="ListBullet"/>
            </w:pPr>
            <w:r w:rsidRPr="00C75584">
              <w:t>skills</w:t>
            </w:r>
          </w:p>
          <w:p w:rsidR="00000000" w:rsidP="00C75584">
            <w:pPr>
              <w:pStyle w:val="ListBullet"/>
              <w:rPr>
                <w:lang w:val="en-NZ"/>
              </w:rPr>
            </w:pPr>
            <w:r w:rsidRPr="00C75584">
              <w:t>affiliations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 xml:space="preserve">Persons </w:t>
            </w:r>
            <w:r w:rsidRPr="00C75584">
              <w:t>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suspects</w:t>
            </w:r>
          </w:p>
          <w:p w:rsidR="00000000" w:rsidRPr="00C75584" w:rsidP="00C75584">
            <w:pPr>
              <w:pStyle w:val="ListBullet"/>
            </w:pPr>
            <w:r w:rsidRPr="00C75584">
              <w:t>informants</w:t>
            </w:r>
          </w:p>
          <w:p w:rsidR="00000000" w:rsidRPr="00C75584" w:rsidP="00C75584">
            <w:pPr>
              <w:pStyle w:val="ListBullet"/>
            </w:pPr>
            <w:r w:rsidRPr="00C75584">
              <w:t>witnesses</w:t>
            </w:r>
          </w:p>
          <w:p w:rsidR="00000000" w:rsidRPr="00C75584" w:rsidP="00C75584">
            <w:pPr>
              <w:pStyle w:val="ListBullet"/>
            </w:pPr>
            <w:r w:rsidRPr="00C75584">
              <w:t>juveniles</w:t>
            </w:r>
          </w:p>
          <w:p w:rsidR="00000000" w:rsidRPr="00C75584" w:rsidP="00C75584">
            <w:pPr>
              <w:pStyle w:val="ListBullet"/>
            </w:pPr>
            <w:r w:rsidRPr="00C75584">
              <w:t>people with disabilities</w:t>
            </w:r>
          </w:p>
          <w:p w:rsidR="00000000" w:rsidP="00C75584">
            <w:pPr>
              <w:pStyle w:val="ListBullet"/>
              <w:rPr>
                <w:lang w:val="en-NZ"/>
              </w:rPr>
            </w:pPr>
            <w:r w:rsidRPr="00C75584">
              <w:t>people from different cultural backgrounds</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Other agencies</w:t>
            </w:r>
            <w:r w:rsidRPr="00C75584">
              <w:t xml:space="preserve"> 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other police organisations</w:t>
            </w:r>
          </w:p>
          <w:p w:rsidR="00000000" w:rsidRPr="00C75584" w:rsidP="00C75584">
            <w:pPr>
              <w:pStyle w:val="ListBullet"/>
            </w:pPr>
            <w:r w:rsidRPr="00C75584">
              <w:t>government departments</w:t>
            </w:r>
          </w:p>
          <w:p w:rsidR="00000000" w:rsidRPr="00C75584" w:rsidP="00C75584">
            <w:pPr>
              <w:pStyle w:val="ListBullet"/>
            </w:pPr>
            <w:r w:rsidRPr="00C75584">
              <w:t>charities</w:t>
            </w:r>
          </w:p>
          <w:p w:rsidR="00000000" w:rsidRPr="00C75584" w:rsidP="00C75584">
            <w:pPr>
              <w:pStyle w:val="ListBullet"/>
            </w:pPr>
            <w:r w:rsidRPr="00C75584">
              <w:t>financial institutions</w:t>
            </w:r>
          </w:p>
          <w:p w:rsidR="00000000" w:rsidRPr="00C75584" w:rsidP="00C75584">
            <w:pPr>
              <w:pStyle w:val="ListBullet"/>
            </w:pPr>
            <w:r w:rsidRPr="00C75584">
              <w:t>hospitals</w:t>
            </w:r>
          </w:p>
          <w:p w:rsidR="00000000" w:rsidRPr="00C75584" w:rsidP="00C75584">
            <w:pPr>
              <w:pStyle w:val="ListBullet"/>
            </w:pPr>
            <w:r w:rsidRPr="00C75584">
              <w:t>forensic agencies</w:t>
            </w:r>
          </w:p>
          <w:p w:rsidR="00000000" w:rsidRPr="00C75584" w:rsidP="00C75584">
            <w:pPr>
              <w:pStyle w:val="ListBullet"/>
            </w:pPr>
            <w:r w:rsidRPr="00C75584">
              <w:t>crime stoppers</w:t>
            </w:r>
          </w:p>
          <w:p w:rsidR="00000000" w:rsidRPr="00C75584" w:rsidP="00C75584">
            <w:pPr>
              <w:pStyle w:val="ListBullet"/>
            </w:pPr>
            <w:r w:rsidRPr="00C75584">
              <w:t>neighbourhood watch</w:t>
            </w:r>
          </w:p>
          <w:p w:rsidR="00000000" w:rsidRPr="00C75584" w:rsidP="00C75584">
            <w:pPr>
              <w:pStyle w:val="ListBullet"/>
            </w:pPr>
            <w:r w:rsidRPr="00C75584">
              <w:t>defence forces</w:t>
            </w:r>
          </w:p>
          <w:p w:rsidR="00000000" w:rsidRPr="00C75584" w:rsidP="00C75584">
            <w:pPr>
              <w:pStyle w:val="ListBullet"/>
            </w:pPr>
            <w:r w:rsidRPr="00C75584">
              <w:t>Australian Securities Commission</w:t>
            </w:r>
          </w:p>
          <w:p w:rsidR="00000000" w:rsidRPr="00C75584" w:rsidP="00C75584">
            <w:pPr>
              <w:pStyle w:val="ListBullet"/>
            </w:pPr>
            <w:r w:rsidRPr="00C75584">
              <w:t>Trade Practices Commission</w:t>
            </w:r>
          </w:p>
          <w:p w:rsidR="00000000" w:rsidRPr="00C75584" w:rsidP="00C75584">
            <w:pPr>
              <w:pStyle w:val="ListBullet"/>
            </w:pPr>
            <w:r w:rsidRPr="00C75584">
              <w:t>law society</w:t>
            </w:r>
          </w:p>
          <w:p w:rsidR="00000000" w:rsidRPr="00C75584" w:rsidP="00C75584">
            <w:pPr>
              <w:pStyle w:val="ListBullet"/>
            </w:pPr>
            <w:r w:rsidRPr="00C75584">
              <w:t>legal practitioners</w:t>
            </w:r>
          </w:p>
          <w:p w:rsidR="00000000" w:rsidRPr="00C75584" w:rsidP="00C75584">
            <w:pPr>
              <w:pStyle w:val="ListBullet"/>
            </w:pPr>
            <w:r w:rsidRPr="00C75584">
              <w:t>complaints committee</w:t>
            </w:r>
          </w:p>
          <w:p w:rsidR="00000000" w:rsidP="00C75584">
            <w:pPr>
              <w:pStyle w:val="ListBullet"/>
              <w:rPr>
                <w:lang w:val="en-NZ"/>
              </w:rPr>
            </w:pPr>
            <w:r w:rsidRPr="00C75584">
              <w:t>Australian Taxation Office</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Briefings/debriefings</w:t>
            </w:r>
            <w:r w:rsidRPr="00C75584">
              <w:t xml:space="preserve">  may be: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formal or informal</w:t>
            </w:r>
          </w:p>
          <w:p w:rsidR="00000000" w:rsidP="00C75584">
            <w:pPr>
              <w:pStyle w:val="ListBullet"/>
              <w:rPr>
                <w:lang w:val="en-NZ"/>
              </w:rPr>
            </w:pPr>
            <w:r w:rsidRPr="00C75584">
              <w:t>written or verbal</w:t>
            </w:r>
          </w:p>
        </w:tc>
      </w:tr>
      <w:tr w:rsidTr="00C7558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84">
            <w:pPr>
              <w:pStyle w:val="BodyText"/>
              <w:rPr>
                <w:lang w:val="en-NZ"/>
              </w:rPr>
            </w:pPr>
            <w:r w:rsidRPr="00C75584">
              <w:rPr>
                <w:rStyle w:val="BoldandItalics"/>
              </w:rPr>
              <w:t xml:space="preserve">Recommendations </w:t>
            </w:r>
            <w:r w:rsidRPr="00C75584">
              <w:t>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84" w:rsidP="00C75584">
            <w:pPr>
              <w:pStyle w:val="ListBullet"/>
            </w:pPr>
            <w:r w:rsidRPr="00C75584">
              <w:t>changes to law</w:t>
            </w:r>
          </w:p>
          <w:p w:rsidR="00000000" w:rsidRPr="00C75584" w:rsidP="00C75584">
            <w:pPr>
              <w:pStyle w:val="ListBullet"/>
            </w:pPr>
            <w:r w:rsidRPr="00C75584">
              <w:t>policy and procedures of both internal and external agencies</w:t>
            </w:r>
          </w:p>
        </w:tc>
      </w:tr>
    </w:tbl>
    <w:p w:rsidR="00000000" w:rsidRPr="00C75584" w:rsidP="00C75584">
      <w:pPr>
        <w:pStyle w:val="BodyText"/>
      </w:pPr>
    </w:p>
    <w:p w:rsidR="00000000" w:rsidRPr="00C75584" w:rsidP="00C75584">
      <w:pPr>
        <w:pStyle w:val="AllowPageBreak"/>
      </w:pPr>
    </w:p>
    <w:p w:rsidR="00000000" w:rsidRPr="00C75584" w:rsidP="00C75584">
      <w:pPr>
        <w:pStyle w:val="Heading1"/>
      </w:pPr>
      <w:bookmarkStart w:id="12" w:name="O_502464"/>
      <w:bookmarkEnd w:id="12"/>
      <w:r w:rsidRPr="00C75584">
        <w:t>Unit Sector(s)</w:t>
      </w:r>
    </w:p>
    <w:p w:rsidR="00000000" w:rsidRPr="00C75584" w:rsidP="00C75584">
      <w:pPr>
        <w:pStyle w:val="BodyText"/>
      </w:pPr>
      <w:r w:rsidRPr="00C75584">
        <w:t xml:space="preserve">Regulatory </w:t>
      </w:r>
    </w:p>
    <w:p w:rsidR="00000000" w:rsidRPr="00C75584" w:rsidP="00C75584">
      <w:pPr>
        <w:pStyle w:val="AllowPageBreak"/>
      </w:pPr>
    </w:p>
    <w:p w:rsidR="00000000" w:rsidRPr="00C75584" w:rsidP="00C75584">
      <w:pPr>
        <w:pStyle w:val="Heading1"/>
      </w:pPr>
      <w:bookmarkStart w:id="13" w:name="O_502465"/>
      <w:bookmarkEnd w:id="13"/>
      <w:r w:rsidRPr="00C75584">
        <w:t>Custom Content Section</w:t>
      </w:r>
    </w:p>
    <w:p w:rsidR="00000000" w:rsidRPr="00C75584" w:rsidP="00C75584">
      <w:pPr>
        <w:pStyle w:val="BodyText"/>
      </w:pPr>
      <w:r w:rsidRPr="00C75584">
        <w:t>Not applicable.</w:t>
      </w:r>
    </w:p>
    <w:p w:rsidR="00000000" w:rsidRPr="00C75584" w:rsidP="00C75584"/>
    <w:sectPr w:rsidSect="00C75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BFB" w:rsidP="00371B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FB" w:rsidP="00C755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1BFB" w:rsidP="00C755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71BFB" w:rsidP="00C755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4" w:rsidRPr="00371BFB" w:rsidP="00371B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FB" w:rsidRPr="002D2AF8" w:rsidP="00C75584">
    <w:pPr>
      <w:pStyle w:val="Header"/>
      <w:framePr w:wrap="around"/>
    </w:pPr>
    <w:r>
      <w:fldChar w:fldCharType="begin"/>
    </w:r>
    <w:r>
      <w:instrText xml:space="preserve"> TITLE   \* MERGEFORMAT </w:instrText>
    </w:r>
    <w:r>
      <w:fldChar w:fldCharType="separate"/>
    </w:r>
    <w:r>
      <w:t>PSPREG425 Conduct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71BFB" w:rsidP="00C75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340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36C218B2"/>
    <w:lvl w:ilvl="0">
      <w:start w:val="1"/>
      <w:numFmt w:val="decimal"/>
      <w:pStyle w:val="ListNumber"/>
      <w:lvlText w:val="%1."/>
      <w:lvlJc w:val="left"/>
      <w:pPr>
        <w:tabs>
          <w:tab w:val="num" w:pos="360"/>
        </w:tabs>
        <w:ind w:left="360" w:hanging="360"/>
      </w:pPr>
    </w:lvl>
  </w:abstractNum>
  <w:abstractNum w:abstractNumId="8">
    <w:nsid w:val="FFFFFF89"/>
    <w:multiLevelType w:val="singleLevel"/>
    <w:tmpl w:val="E8AA7376"/>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38CE8552"/>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584"/>
    <w:pPr>
      <w:spacing w:before="360" w:after="60"/>
      <w:outlineLvl w:val="0"/>
    </w:pPr>
    <w:rPr>
      <w:sz w:val="32"/>
    </w:rPr>
  </w:style>
  <w:style w:type="paragraph" w:styleId="Heading2">
    <w:name w:val="heading 2"/>
    <w:basedOn w:val="HeadingBase"/>
    <w:next w:val="BodyText"/>
    <w:link w:val="Heading2Char"/>
    <w:qFormat/>
    <w:rsid w:val="00C75584"/>
    <w:pPr>
      <w:keepLines/>
      <w:spacing w:before="240" w:after="120"/>
      <w:outlineLvl w:val="1"/>
    </w:pPr>
    <w:rPr>
      <w:sz w:val="28"/>
      <w:szCs w:val="40"/>
    </w:rPr>
  </w:style>
  <w:style w:type="paragraph" w:styleId="Heading3">
    <w:name w:val="heading 3"/>
    <w:basedOn w:val="HeadingBase"/>
    <w:next w:val="BodyText"/>
    <w:link w:val="Heading3Char"/>
    <w:qFormat/>
    <w:rsid w:val="00C75584"/>
    <w:pPr>
      <w:spacing w:before="180" w:after="120"/>
      <w:outlineLvl w:val="2"/>
    </w:pPr>
    <w:rPr>
      <w:spacing w:val="-10"/>
      <w:kern w:val="32"/>
    </w:rPr>
  </w:style>
  <w:style w:type="paragraph" w:styleId="Heading4">
    <w:name w:val="heading 4"/>
    <w:basedOn w:val="HeadingBase"/>
    <w:next w:val="BodyText"/>
    <w:link w:val="Heading4Char"/>
    <w:qFormat/>
    <w:rsid w:val="00C75584"/>
    <w:pPr>
      <w:spacing w:before="160" w:after="120"/>
      <w:outlineLvl w:val="3"/>
    </w:pPr>
    <w:rPr>
      <w:sz w:val="22"/>
    </w:rPr>
  </w:style>
  <w:style w:type="paragraph" w:styleId="Heading5">
    <w:name w:val="heading 5"/>
    <w:basedOn w:val="HeadingBase"/>
    <w:next w:val="Normal"/>
    <w:link w:val="Heading5Char"/>
    <w:qFormat/>
    <w:rsid w:val="00C75584"/>
    <w:pPr>
      <w:spacing w:before="80"/>
      <w:outlineLvl w:val="4"/>
    </w:pPr>
    <w:rPr>
      <w:color w:val="918585"/>
      <w:sz w:val="20"/>
    </w:rPr>
  </w:style>
  <w:style w:type="paragraph" w:styleId="Heading6">
    <w:name w:val="heading 6"/>
    <w:basedOn w:val="HeadingBase"/>
    <w:next w:val="Normal"/>
    <w:link w:val="Heading6Char"/>
    <w:qFormat/>
    <w:rsid w:val="00C75584"/>
    <w:pPr>
      <w:spacing w:before="60"/>
      <w:outlineLvl w:val="5"/>
    </w:pPr>
    <w:rPr>
      <w:color w:val="918585"/>
      <w:sz w:val="20"/>
    </w:rPr>
  </w:style>
  <w:style w:type="paragraph" w:styleId="Heading7">
    <w:name w:val="heading 7"/>
    <w:basedOn w:val="Normal"/>
    <w:next w:val="Normal"/>
    <w:link w:val="Heading7Char"/>
    <w:qFormat/>
    <w:rsid w:val="00C75584"/>
    <w:pPr>
      <w:ind w:left="720"/>
      <w:outlineLvl w:val="6"/>
    </w:pPr>
    <w:rPr>
      <w:i/>
    </w:rPr>
  </w:style>
  <w:style w:type="paragraph" w:styleId="Heading8">
    <w:name w:val="heading 8"/>
    <w:basedOn w:val="Normal"/>
    <w:next w:val="Normal"/>
    <w:link w:val="Heading8Char"/>
    <w:qFormat/>
    <w:rsid w:val="00C75584"/>
    <w:pPr>
      <w:ind w:left="720"/>
      <w:outlineLvl w:val="7"/>
    </w:pPr>
    <w:rPr>
      <w:i/>
    </w:rPr>
  </w:style>
  <w:style w:type="paragraph" w:styleId="Heading9">
    <w:name w:val="heading 9"/>
    <w:basedOn w:val="Normal"/>
    <w:next w:val="Normal"/>
    <w:link w:val="Heading9Char"/>
    <w:qFormat/>
    <w:rsid w:val="00C75584"/>
    <w:pPr>
      <w:ind w:left="720"/>
      <w:outlineLvl w:val="8"/>
    </w:pPr>
    <w:rPr>
      <w:i/>
    </w:rPr>
  </w:style>
  <w:style w:type="character" w:default="1" w:styleId="DefaultParagraphFont">
    <w:name w:val="Default Paragraph Font"/>
    <w:uiPriority w:val="1"/>
    <w:unhideWhenUsed/>
    <w:rsid w:val="00C75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584"/>
  </w:style>
  <w:style w:type="character" w:customStyle="1" w:styleId="Heading1Char">
    <w:name w:val="Heading 1 Char"/>
    <w:basedOn w:val="DefaultParagraphFont"/>
    <w:link w:val="Heading1"/>
    <w:rsid w:val="00C75584"/>
    <w:rPr>
      <w:rFonts w:ascii="Times New Roman" w:eastAsia="Times New Roman" w:hAnsi="Times New Roman" w:cs="Times New Roman"/>
      <w:b/>
      <w:sz w:val="32"/>
      <w:szCs w:val="20"/>
      <w:lang w:eastAsia="en-US"/>
    </w:rPr>
  </w:style>
  <w:style w:type="paragraph" w:styleId="BodyText">
    <w:name w:val="Body Text"/>
    <w:basedOn w:val="Normal"/>
    <w:link w:val="BodyTextChar"/>
    <w:rsid w:val="00C755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5584"/>
    <w:rPr>
      <w:rFonts w:ascii="Times New Roman" w:eastAsia="Times New Roman" w:hAnsi="Times New Roman" w:cs="Times New Roman"/>
      <w:sz w:val="24"/>
      <w:lang w:eastAsia="en-US"/>
    </w:rPr>
  </w:style>
  <w:style w:type="paragraph" w:styleId="Footer">
    <w:name w:val="footer"/>
    <w:basedOn w:val="Normal"/>
    <w:link w:val="FooterChar"/>
    <w:rsid w:val="00C75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584"/>
    <w:rPr>
      <w:rFonts w:ascii="Times New Roman" w:eastAsia="Times New Roman" w:hAnsi="Times New Roman" w:cs="Times New Roman"/>
      <w:sz w:val="16"/>
      <w:lang w:eastAsia="en-US"/>
    </w:rPr>
  </w:style>
  <w:style w:type="paragraph" w:styleId="ListBullet">
    <w:name w:val="List Bullet"/>
    <w:basedOn w:val="List"/>
    <w:rsid w:val="00C75584"/>
    <w:pPr>
      <w:numPr>
        <w:numId w:val="14"/>
      </w:numPr>
      <w:tabs>
        <w:tab w:val="clear" w:pos="340"/>
      </w:tabs>
      <w:spacing w:before="40" w:after="40"/>
    </w:pPr>
  </w:style>
  <w:style w:type="character" w:customStyle="1" w:styleId="SpecialBold">
    <w:name w:val="Special Bold"/>
    <w:basedOn w:val="DefaultParagraphFont"/>
    <w:rsid w:val="00C75584"/>
    <w:rPr>
      <w:b/>
      <w:spacing w:val="0"/>
    </w:rPr>
  </w:style>
  <w:style w:type="paragraph" w:styleId="ListBullet2">
    <w:name w:val="List Bullet 2"/>
    <w:basedOn w:val="List2"/>
    <w:rsid w:val="00C75584"/>
    <w:pPr>
      <w:numPr>
        <w:numId w:val="15"/>
      </w:numPr>
      <w:tabs>
        <w:tab w:val="clear" w:pos="680"/>
      </w:tabs>
    </w:pPr>
  </w:style>
  <w:style w:type="paragraph" w:customStyle="1" w:styleId="SuperHeading">
    <w:name w:val="SuperHeading"/>
    <w:basedOn w:val="Normal"/>
    <w:rsid w:val="00C75584"/>
    <w:pPr>
      <w:spacing w:before="240" w:after="120"/>
      <w:outlineLvl w:val="0"/>
    </w:pPr>
    <w:rPr>
      <w:rFonts w:ascii="Times New Roman" w:hAnsi="Times New Roman"/>
      <w:b/>
      <w:sz w:val="28"/>
    </w:rPr>
  </w:style>
  <w:style w:type="paragraph" w:styleId="ListNumber">
    <w:name w:val="List Number"/>
    <w:basedOn w:val="List"/>
    <w:rsid w:val="00C75584"/>
    <w:pPr>
      <w:numPr>
        <w:numId w:val="12"/>
      </w:numPr>
    </w:pPr>
  </w:style>
  <w:style w:type="paragraph" w:customStyle="1" w:styleId="AllowPageBreak">
    <w:name w:val="AllowPageBreak"/>
    <w:rsid w:val="00C755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75584"/>
    <w:pPr>
      <w:spacing w:before="60" w:after="60"/>
    </w:pPr>
  </w:style>
  <w:style w:type="character" w:customStyle="1" w:styleId="BoldandItalics">
    <w:name w:val="Bold and Italics"/>
    <w:qFormat/>
    <w:rsid w:val="00C75584"/>
    <w:rPr>
      <w:b/>
      <w:i/>
      <w:u w:val="none"/>
    </w:rPr>
  </w:style>
  <w:style w:type="character" w:customStyle="1" w:styleId="Heading2Char">
    <w:name w:val="Heading 2 Char"/>
    <w:basedOn w:val="DefaultParagraphFont"/>
    <w:link w:val="Heading2"/>
    <w:rsid w:val="00C75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584"/>
    <w:rPr>
      <w:rFonts w:ascii="Courier New" w:eastAsia="Times New Roman" w:hAnsi="Courier New" w:cs="Times New Roman"/>
      <w:i/>
      <w:szCs w:val="20"/>
      <w:lang w:eastAsia="en-US"/>
    </w:rPr>
  </w:style>
  <w:style w:type="paragraph" w:customStyle="1" w:styleId="HeadingBase">
    <w:name w:val="Heading Base"/>
    <w:rsid w:val="00C75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584"/>
    <w:pPr>
      <w:tabs>
        <w:tab w:val="right" w:leader="dot" w:pos="9072"/>
      </w:tabs>
      <w:ind w:left="567"/>
    </w:pPr>
    <w:rPr>
      <w:szCs w:val="22"/>
    </w:rPr>
  </w:style>
  <w:style w:type="paragraph" w:customStyle="1" w:styleId="TOCBase">
    <w:name w:val="TOC Base"/>
    <w:rsid w:val="00C75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584"/>
    <w:pPr>
      <w:tabs>
        <w:tab w:val="right" w:leader="dot" w:pos="9072"/>
      </w:tabs>
      <w:spacing w:before="40" w:after="40"/>
      <w:ind w:left="284"/>
    </w:pPr>
    <w:rPr>
      <w:rFonts w:ascii="Times New Roman" w:hAnsi="Times New Roman"/>
    </w:rPr>
  </w:style>
  <w:style w:type="paragraph" w:styleId="TOC1">
    <w:name w:val="toc 1"/>
    <w:basedOn w:val="TOCBase"/>
    <w:next w:val="Normal"/>
    <w:rsid w:val="00C755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584"/>
    <w:pPr>
      <w:spacing w:before="5040"/>
      <w:jc w:val="center"/>
    </w:pPr>
    <w:rPr>
      <w:sz w:val="48"/>
      <w:szCs w:val="72"/>
      <w:lang w:val="en-US"/>
    </w:rPr>
  </w:style>
  <w:style w:type="character" w:customStyle="1" w:styleId="TitleChar">
    <w:name w:val="Title Char"/>
    <w:basedOn w:val="DefaultParagraphFont"/>
    <w:link w:val="Title"/>
    <w:rsid w:val="00C75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584"/>
    <w:pPr>
      <w:tabs>
        <w:tab w:val="left" w:pos="3600"/>
        <w:tab w:val="left" w:pos="3958"/>
      </w:tabs>
    </w:pPr>
  </w:style>
  <w:style w:type="paragraph" w:styleId="List">
    <w:name w:val="List"/>
    <w:basedOn w:val="BodyText"/>
    <w:next w:val="BodyText"/>
    <w:rsid w:val="00C75584"/>
    <w:pPr>
      <w:tabs>
        <w:tab w:val="left" w:pos="340"/>
      </w:tabs>
      <w:spacing w:before="60" w:after="60"/>
      <w:ind w:left="340" w:hanging="340"/>
    </w:pPr>
  </w:style>
  <w:style w:type="paragraph" w:customStyle="1" w:styleId="Note">
    <w:name w:val="Note"/>
    <w:basedOn w:val="BodyText"/>
    <w:rsid w:val="00C75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584"/>
    <w:pPr>
      <w:framePr w:wrap="auto" w:hAnchor="text" w:y="6049"/>
    </w:pPr>
    <w:rPr>
      <w:color w:val="000000"/>
      <w:sz w:val="40"/>
    </w:rPr>
  </w:style>
  <w:style w:type="paragraph" w:customStyle="1" w:styleId="TOCTitle">
    <w:name w:val="TOCTitle"/>
    <w:basedOn w:val="Heading1"/>
    <w:rsid w:val="00C75584"/>
    <w:pPr>
      <w:spacing w:after="240"/>
      <w:jc w:val="center"/>
      <w:outlineLvl w:val="9"/>
    </w:pPr>
    <w:rPr>
      <w:caps/>
    </w:rPr>
  </w:style>
  <w:style w:type="paragraph" w:customStyle="1" w:styleId="Version">
    <w:name w:val="Version"/>
    <w:rsid w:val="00C75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584"/>
    <w:pPr>
      <w:keepNext w:val="0"/>
      <w:tabs>
        <w:tab w:val="right" w:pos="4176"/>
      </w:tabs>
      <w:ind w:left="198" w:hanging="198"/>
    </w:pPr>
    <w:rPr>
      <w:rFonts w:ascii="Garamond" w:hAnsi="Garamond"/>
    </w:rPr>
  </w:style>
  <w:style w:type="paragraph" w:styleId="IndexHeading">
    <w:name w:val="index heading"/>
    <w:basedOn w:val="Normal"/>
    <w:next w:val="Index1"/>
    <w:semiHidden/>
    <w:rsid w:val="00C75584"/>
    <w:pPr>
      <w:spacing w:before="120" w:after="120"/>
    </w:pPr>
    <w:rPr>
      <w:rFonts w:ascii="Arial" w:hAnsi="Arial"/>
      <w:b/>
      <w:color w:val="918585"/>
      <w:sz w:val="24"/>
    </w:rPr>
  </w:style>
  <w:style w:type="paragraph" w:styleId="Header">
    <w:name w:val="header"/>
    <w:basedOn w:val="Normal"/>
    <w:link w:val="HeaderChar"/>
    <w:rsid w:val="00C75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584"/>
    <w:rPr>
      <w:rFonts w:ascii="Times New Roman" w:eastAsia="Times New Roman" w:hAnsi="Times New Roman" w:cs="Times New Roman"/>
      <w:sz w:val="16"/>
      <w:szCs w:val="20"/>
      <w:lang w:val="en-GB" w:eastAsia="en-US"/>
    </w:rPr>
  </w:style>
  <w:style w:type="paragraph" w:customStyle="1" w:styleId="Chapter">
    <w:name w:val="Chapter"/>
    <w:basedOn w:val="Normal"/>
    <w:rsid w:val="00C75584"/>
    <w:pPr>
      <w:spacing w:before="240"/>
    </w:pPr>
    <w:rPr>
      <w:rFonts w:ascii="Times New Roman" w:hAnsi="Times New Roman"/>
      <w:smallCaps/>
      <w:spacing w:val="80"/>
      <w:sz w:val="28"/>
    </w:rPr>
  </w:style>
  <w:style w:type="paragraph" w:customStyle="1" w:styleId="InChapter">
    <w:name w:val="InChapter"/>
    <w:basedOn w:val="Heading3"/>
    <w:rsid w:val="00C75584"/>
    <w:pPr>
      <w:spacing w:after="240"/>
      <w:outlineLvl w:val="9"/>
    </w:pPr>
    <w:rPr>
      <w:noProof/>
    </w:rPr>
  </w:style>
  <w:style w:type="paragraph" w:styleId="Index2">
    <w:name w:val="index 2"/>
    <w:basedOn w:val="Normal"/>
    <w:next w:val="Normal"/>
    <w:semiHidden/>
    <w:rsid w:val="00C75584"/>
    <w:pPr>
      <w:tabs>
        <w:tab w:val="right" w:pos="4176"/>
      </w:tabs>
      <w:ind w:left="568" w:hanging="284"/>
    </w:pPr>
    <w:rPr>
      <w:rFonts w:ascii="Garamond" w:hAnsi="Garamond"/>
    </w:rPr>
  </w:style>
  <w:style w:type="paragraph" w:customStyle="1" w:styleId="Byline">
    <w:name w:val="Byline"/>
    <w:rsid w:val="00C75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584"/>
    <w:pPr>
      <w:tabs>
        <w:tab w:val="clear" w:pos="3600"/>
        <w:tab w:val="clear" w:pos="3958"/>
      </w:tabs>
      <w:jc w:val="right"/>
    </w:pPr>
  </w:style>
  <w:style w:type="character" w:styleId="Emphasis">
    <w:name w:val="Emphasis"/>
    <w:basedOn w:val="DefaultParagraphFont"/>
    <w:qFormat/>
    <w:rsid w:val="00C75584"/>
    <w:rPr>
      <w:i/>
    </w:rPr>
  </w:style>
  <w:style w:type="paragraph" w:styleId="Caption">
    <w:name w:val="caption"/>
    <w:basedOn w:val="BodyText"/>
    <w:next w:val="Normal"/>
    <w:qFormat/>
    <w:rsid w:val="00C75584"/>
    <w:pPr>
      <w:framePr w:w="2268" w:hSpace="181" w:vSpace="181" w:wrap="around" w:vAnchor="text" w:hAnchor="page" w:x="1135" w:y="285" w:anchorLock="1"/>
    </w:pPr>
    <w:rPr>
      <w:i/>
    </w:rPr>
  </w:style>
  <w:style w:type="paragraph" w:customStyle="1" w:styleId="MiniTOCTitle">
    <w:name w:val="MiniTOCTitle"/>
    <w:basedOn w:val="Heading4"/>
    <w:rsid w:val="00C75584"/>
    <w:pPr>
      <w:spacing w:before="240"/>
      <w:outlineLvl w:val="9"/>
    </w:pPr>
    <w:rPr>
      <w:noProof/>
      <w:sz w:val="24"/>
    </w:rPr>
  </w:style>
  <w:style w:type="paragraph" w:customStyle="1" w:styleId="MiniTOCItem">
    <w:name w:val="MiniTOCItem"/>
    <w:basedOn w:val="ListBullet"/>
    <w:rsid w:val="00C75584"/>
    <w:pPr>
      <w:numPr>
        <w:numId w:val="0"/>
      </w:numPr>
      <w:tabs>
        <w:tab w:val="right" w:leader="dot" w:pos="6521"/>
      </w:tabs>
      <w:spacing w:before="0" w:after="0"/>
    </w:pPr>
  </w:style>
  <w:style w:type="paragraph" w:customStyle="1" w:styleId="TOFTitle">
    <w:name w:val="TOFTitle"/>
    <w:basedOn w:val="TOCTitle"/>
    <w:rsid w:val="00C75584"/>
  </w:style>
  <w:style w:type="paragraph" w:styleId="TableofFigures">
    <w:name w:val="table of figures"/>
    <w:basedOn w:val="Normal"/>
    <w:next w:val="Normal"/>
    <w:semiHidden/>
    <w:rsid w:val="00C75584"/>
    <w:pPr>
      <w:tabs>
        <w:tab w:val="right" w:leader="dot" w:pos="9072"/>
      </w:tabs>
      <w:ind w:left="970" w:hanging="403"/>
    </w:pPr>
    <w:rPr>
      <w:rFonts w:ascii="Times New Roman" w:hAnsi="Times New Roman"/>
      <w:b/>
    </w:rPr>
  </w:style>
  <w:style w:type="character" w:customStyle="1" w:styleId="WingdingSymbols">
    <w:name w:val="Wingding Symbols"/>
    <w:rsid w:val="00C75584"/>
    <w:rPr>
      <w:rFonts w:ascii="Wingdings" w:hAnsi="Wingdings"/>
    </w:rPr>
  </w:style>
  <w:style w:type="paragraph" w:customStyle="1" w:styleId="TableHeading">
    <w:name w:val="Table Heading"/>
    <w:basedOn w:val="HeadingBase"/>
    <w:rsid w:val="00C75584"/>
    <w:pPr>
      <w:keepLines/>
      <w:pBdr>
        <w:bottom w:val="single" w:sz="6" w:space="1" w:color="918585"/>
      </w:pBdr>
      <w:spacing w:before="240"/>
    </w:pPr>
  </w:style>
  <w:style w:type="character" w:customStyle="1" w:styleId="HotSpot">
    <w:name w:val="HotSpot"/>
    <w:rsid w:val="00C75584"/>
    <w:rPr>
      <w:color w:val="0033CC"/>
      <w:u w:val="none"/>
    </w:rPr>
  </w:style>
  <w:style w:type="paragraph" w:customStyle="1" w:styleId="BodyTextRight">
    <w:name w:val="Body Text Right"/>
    <w:basedOn w:val="BodyText"/>
    <w:rsid w:val="00C75584"/>
    <w:pPr>
      <w:spacing w:before="0" w:after="0"/>
      <w:jc w:val="right"/>
    </w:pPr>
  </w:style>
  <w:style w:type="paragraph" w:styleId="Index3">
    <w:name w:val="index 3"/>
    <w:basedOn w:val="ListNumber2"/>
    <w:next w:val="Normal"/>
    <w:semiHidden/>
    <w:rsid w:val="00C75584"/>
    <w:pPr>
      <w:numPr>
        <w:numId w:val="0"/>
      </w:numPr>
      <w:tabs>
        <w:tab w:val="right" w:leader="dot" w:pos="4176"/>
      </w:tabs>
    </w:pPr>
  </w:style>
  <w:style w:type="paragraph" w:styleId="ListNumber2">
    <w:name w:val="List Number 2"/>
    <w:basedOn w:val="List2"/>
    <w:rsid w:val="00C75584"/>
    <w:pPr>
      <w:numPr>
        <w:numId w:val="11"/>
      </w:numPr>
      <w:tabs>
        <w:tab w:val="clear" w:pos="1060"/>
      </w:tabs>
    </w:pPr>
  </w:style>
  <w:style w:type="paragraph" w:customStyle="1" w:styleId="MarginNote">
    <w:name w:val="Margin Note"/>
    <w:basedOn w:val="BodyText"/>
    <w:rsid w:val="00C75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584"/>
    <w:rPr>
      <w:sz w:val="32"/>
    </w:rPr>
  </w:style>
  <w:style w:type="paragraph" w:customStyle="1" w:styleId="HeadingProcedure">
    <w:name w:val="Heading Procedure"/>
    <w:basedOn w:val="HeadingBase"/>
    <w:next w:val="Normal"/>
    <w:rsid w:val="00C75584"/>
    <w:pPr>
      <w:tabs>
        <w:tab w:val="left" w:pos="0"/>
      </w:tabs>
      <w:spacing w:before="120" w:after="60"/>
    </w:pPr>
    <w:rPr>
      <w:i/>
      <w:color w:val="918585"/>
      <w:sz w:val="22"/>
    </w:rPr>
  </w:style>
  <w:style w:type="paragraph" w:styleId="ListContinue">
    <w:name w:val="List Continue"/>
    <w:basedOn w:val="List"/>
    <w:rsid w:val="00C75584"/>
    <w:pPr>
      <w:ind w:firstLine="0"/>
    </w:pPr>
  </w:style>
  <w:style w:type="paragraph" w:customStyle="1" w:styleId="ListNote">
    <w:name w:val="List Note"/>
    <w:basedOn w:val="List"/>
    <w:rsid w:val="00C75584"/>
    <w:pPr>
      <w:pBdr>
        <w:top w:val="single" w:sz="6" w:space="2" w:color="918585"/>
        <w:bottom w:val="single" w:sz="6" w:space="2" w:color="918585"/>
      </w:pBdr>
      <w:tabs>
        <w:tab w:val="left" w:pos="1021"/>
      </w:tabs>
      <w:ind w:firstLine="0"/>
    </w:pPr>
  </w:style>
  <w:style w:type="paragraph" w:customStyle="1" w:styleId="Warning">
    <w:name w:val="Warning"/>
    <w:basedOn w:val="BodyText"/>
    <w:rsid w:val="00C75584"/>
    <w:pPr>
      <w:shd w:val="clear" w:color="auto" w:fill="D9D9D9"/>
      <w:tabs>
        <w:tab w:val="left" w:pos="992"/>
      </w:tabs>
      <w:ind w:left="119" w:right="119"/>
    </w:pPr>
    <w:rPr>
      <w:sz w:val="20"/>
    </w:rPr>
  </w:style>
  <w:style w:type="paragraph" w:customStyle="1" w:styleId="MarginIcons">
    <w:name w:val="Margin Icons"/>
    <w:basedOn w:val="BodyText"/>
    <w:rsid w:val="00C75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584"/>
    <w:rPr>
      <w:rFonts w:ascii="Courier New" w:hAnsi="Courier New"/>
    </w:rPr>
  </w:style>
  <w:style w:type="paragraph" w:customStyle="1" w:styleId="NoteBullet">
    <w:name w:val="Note Bullet"/>
    <w:basedOn w:val="Note"/>
    <w:rsid w:val="00C75584"/>
    <w:pPr>
      <w:tabs>
        <w:tab w:val="clear" w:pos="680"/>
      </w:tabs>
      <w:spacing w:before="60" w:after="60"/>
    </w:pPr>
  </w:style>
  <w:style w:type="paragraph" w:customStyle="1" w:styleId="SubHeading2">
    <w:name w:val="SubHeading2"/>
    <w:basedOn w:val="HeadingBase"/>
    <w:rsid w:val="00C75584"/>
    <w:pPr>
      <w:spacing w:before="240" w:after="60"/>
    </w:pPr>
    <w:rPr>
      <w:sz w:val="20"/>
    </w:rPr>
  </w:style>
  <w:style w:type="paragraph" w:customStyle="1" w:styleId="SubHeading1">
    <w:name w:val="SubHeading1"/>
    <w:basedOn w:val="HeadingBase"/>
    <w:rsid w:val="00C75584"/>
    <w:pPr>
      <w:spacing w:before="240" w:after="60"/>
    </w:pPr>
    <w:rPr>
      <w:color w:val="918585"/>
      <w:sz w:val="22"/>
    </w:rPr>
  </w:style>
  <w:style w:type="paragraph" w:customStyle="1" w:styleId="SideHeading">
    <w:name w:val="Side Heading"/>
    <w:basedOn w:val="HeadingBase"/>
    <w:rsid w:val="00C75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584"/>
    <w:pPr>
      <w:numPr>
        <w:numId w:val="13"/>
      </w:numPr>
    </w:pPr>
  </w:style>
  <w:style w:type="paragraph" w:styleId="PlainText">
    <w:name w:val="Plain Text"/>
    <w:basedOn w:val="Normal"/>
    <w:link w:val="PlainTextChar"/>
    <w:rsid w:val="00C75584"/>
    <w:rPr>
      <w:sz w:val="20"/>
    </w:rPr>
  </w:style>
  <w:style w:type="character" w:customStyle="1" w:styleId="PlainTextChar">
    <w:name w:val="Plain Text Char"/>
    <w:basedOn w:val="DefaultParagraphFont"/>
    <w:link w:val="PlainText"/>
    <w:rsid w:val="00C75584"/>
    <w:rPr>
      <w:rFonts w:ascii="Courier New" w:eastAsia="Times New Roman" w:hAnsi="Courier New" w:cs="Times New Roman"/>
      <w:sz w:val="20"/>
      <w:szCs w:val="20"/>
      <w:lang w:eastAsia="en-US"/>
    </w:rPr>
  </w:style>
  <w:style w:type="character" w:customStyle="1" w:styleId="MenuOption">
    <w:name w:val="Menu Option"/>
    <w:basedOn w:val="DefaultParagraphFont"/>
    <w:rsid w:val="00C75584"/>
    <w:rPr>
      <w:b/>
      <w:smallCaps/>
    </w:rPr>
  </w:style>
  <w:style w:type="paragraph" w:customStyle="1" w:styleId="TableListNumber">
    <w:name w:val="Table List Number"/>
    <w:basedOn w:val="ListNumber"/>
    <w:rsid w:val="00C75584"/>
    <w:pPr>
      <w:numPr>
        <w:numId w:val="0"/>
      </w:numPr>
    </w:pPr>
  </w:style>
  <w:style w:type="paragraph" w:styleId="TOC4">
    <w:name w:val="toc 4"/>
    <w:basedOn w:val="TOCBase"/>
    <w:next w:val="Normal"/>
    <w:semiHidden/>
    <w:rsid w:val="00C75584"/>
    <w:pPr>
      <w:tabs>
        <w:tab w:val="right" w:leader="dot" w:pos="9071"/>
      </w:tabs>
      <w:ind w:left="1701"/>
    </w:pPr>
  </w:style>
  <w:style w:type="paragraph" w:customStyle="1" w:styleId="ListAlpha">
    <w:name w:val="List Alpha"/>
    <w:basedOn w:val="List"/>
    <w:rsid w:val="00C75584"/>
    <w:pPr>
      <w:numPr>
        <w:numId w:val="10"/>
      </w:numPr>
    </w:pPr>
  </w:style>
  <w:style w:type="paragraph" w:customStyle="1" w:styleId="ListAlpha2">
    <w:name w:val="List Alpha 2"/>
    <w:basedOn w:val="List2"/>
    <w:rsid w:val="00C75584"/>
    <w:pPr>
      <w:numPr>
        <w:numId w:val="9"/>
      </w:numPr>
    </w:pPr>
  </w:style>
  <w:style w:type="paragraph" w:styleId="List2">
    <w:name w:val="List 2"/>
    <w:basedOn w:val="BodyText"/>
    <w:rsid w:val="00C75584"/>
    <w:pPr>
      <w:tabs>
        <w:tab w:val="left" w:pos="680"/>
      </w:tabs>
      <w:spacing w:before="60" w:after="60"/>
      <w:ind w:left="680" w:hanging="340"/>
    </w:pPr>
  </w:style>
  <w:style w:type="paragraph" w:styleId="List3">
    <w:name w:val="List 3"/>
    <w:basedOn w:val="BodyText"/>
    <w:rsid w:val="00C75584"/>
    <w:pPr>
      <w:tabs>
        <w:tab w:val="left" w:pos="1021"/>
      </w:tabs>
      <w:spacing w:before="60" w:after="60"/>
      <w:ind w:left="1020" w:hanging="340"/>
    </w:pPr>
  </w:style>
  <w:style w:type="paragraph" w:styleId="List4">
    <w:name w:val="List 4"/>
    <w:basedOn w:val="BodyText"/>
    <w:rsid w:val="00C75584"/>
    <w:pPr>
      <w:tabs>
        <w:tab w:val="left" w:pos="1361"/>
      </w:tabs>
      <w:spacing w:before="60" w:after="60"/>
      <w:ind w:left="1361" w:hanging="340"/>
    </w:pPr>
  </w:style>
  <w:style w:type="paragraph" w:styleId="List5">
    <w:name w:val="List 5"/>
    <w:basedOn w:val="BodyText"/>
    <w:rsid w:val="00C75584"/>
    <w:pPr>
      <w:tabs>
        <w:tab w:val="left" w:pos="1701"/>
      </w:tabs>
      <w:spacing w:before="60" w:after="60"/>
      <w:ind w:left="1701" w:hanging="340"/>
    </w:pPr>
  </w:style>
  <w:style w:type="paragraph" w:styleId="ListBullet3">
    <w:name w:val="List Bullet 3"/>
    <w:basedOn w:val="List3"/>
    <w:rsid w:val="00C75584"/>
    <w:pPr>
      <w:numPr>
        <w:numId w:val="16"/>
      </w:numPr>
      <w:tabs>
        <w:tab w:val="clear" w:pos="1021"/>
      </w:tabs>
      <w:ind w:left="1037" w:hanging="357"/>
    </w:pPr>
  </w:style>
  <w:style w:type="paragraph" w:styleId="ListBullet4">
    <w:name w:val="List Bullet 4"/>
    <w:basedOn w:val="List4"/>
    <w:rsid w:val="00C75584"/>
    <w:pPr>
      <w:numPr>
        <w:numId w:val="4"/>
      </w:numPr>
    </w:pPr>
  </w:style>
  <w:style w:type="paragraph" w:styleId="ListBullet5">
    <w:name w:val="List Bullet 5"/>
    <w:basedOn w:val="List5"/>
    <w:rsid w:val="00C75584"/>
    <w:pPr>
      <w:numPr>
        <w:numId w:val="5"/>
      </w:numPr>
    </w:pPr>
  </w:style>
  <w:style w:type="paragraph" w:styleId="ListContinue2">
    <w:name w:val="List Continue 2"/>
    <w:basedOn w:val="List2"/>
    <w:rsid w:val="00C75584"/>
    <w:pPr>
      <w:ind w:firstLine="0"/>
    </w:pPr>
  </w:style>
  <w:style w:type="paragraph" w:styleId="ListContinue3">
    <w:name w:val="List Continue 3"/>
    <w:basedOn w:val="List3"/>
    <w:rsid w:val="00C75584"/>
    <w:pPr>
      <w:ind w:left="1021" w:firstLine="0"/>
    </w:pPr>
  </w:style>
  <w:style w:type="paragraph" w:styleId="ListContinue4">
    <w:name w:val="List Continue 4"/>
    <w:basedOn w:val="List4"/>
    <w:rsid w:val="00C75584"/>
    <w:pPr>
      <w:ind w:firstLine="0"/>
    </w:pPr>
  </w:style>
  <w:style w:type="paragraph" w:styleId="ListContinue5">
    <w:name w:val="List Continue 5"/>
    <w:basedOn w:val="List5"/>
    <w:rsid w:val="00C75584"/>
    <w:pPr>
      <w:ind w:firstLine="0"/>
    </w:pPr>
  </w:style>
  <w:style w:type="paragraph" w:styleId="ListNumber3">
    <w:name w:val="List Number 3"/>
    <w:basedOn w:val="List3"/>
    <w:rsid w:val="00C75584"/>
    <w:pPr>
      <w:numPr>
        <w:numId w:val="6"/>
      </w:numPr>
    </w:pPr>
  </w:style>
  <w:style w:type="paragraph" w:styleId="ListNumber4">
    <w:name w:val="List Number 4"/>
    <w:basedOn w:val="List4"/>
    <w:rsid w:val="00C75584"/>
    <w:pPr>
      <w:numPr>
        <w:numId w:val="7"/>
      </w:numPr>
    </w:pPr>
  </w:style>
  <w:style w:type="paragraph" w:styleId="ListNumber5">
    <w:name w:val="List Number 5"/>
    <w:basedOn w:val="List5"/>
    <w:rsid w:val="00C75584"/>
    <w:pPr>
      <w:numPr>
        <w:numId w:val="8"/>
      </w:numPr>
    </w:pPr>
  </w:style>
  <w:style w:type="paragraph" w:styleId="BlockText">
    <w:name w:val="Block Text"/>
    <w:basedOn w:val="Normal"/>
    <w:rsid w:val="00C75584"/>
    <w:pPr>
      <w:spacing w:after="120"/>
      <w:ind w:left="1440" w:right="1440"/>
    </w:pPr>
  </w:style>
  <w:style w:type="character" w:customStyle="1" w:styleId="Subscript">
    <w:name w:val="Subscript"/>
    <w:basedOn w:val="DefaultParagraphFont"/>
    <w:rsid w:val="00C75584"/>
    <w:rPr>
      <w:sz w:val="16"/>
      <w:vertAlign w:val="subscript"/>
    </w:rPr>
  </w:style>
  <w:style w:type="character" w:customStyle="1" w:styleId="Superscript">
    <w:name w:val="Superscript"/>
    <w:basedOn w:val="DefaultParagraphFont"/>
    <w:rsid w:val="00C75584"/>
    <w:rPr>
      <w:sz w:val="16"/>
      <w:vertAlign w:val="superscript"/>
    </w:rPr>
  </w:style>
  <w:style w:type="character" w:customStyle="1" w:styleId="Symbols">
    <w:name w:val="Symbols"/>
    <w:basedOn w:val="DefaultParagraphFont"/>
    <w:rsid w:val="00C75584"/>
    <w:rPr>
      <w:rFonts w:ascii="Symbol" w:hAnsi="Symbol"/>
    </w:rPr>
  </w:style>
  <w:style w:type="character" w:customStyle="1" w:styleId="MenuOptions">
    <w:name w:val="Menu Options"/>
    <w:basedOn w:val="DefaultParagraphFont"/>
    <w:rsid w:val="00C75584"/>
    <w:rPr>
      <w:rFonts w:ascii="Arial Narrow" w:hAnsi="Arial Narrow"/>
      <w:smallCaps/>
    </w:rPr>
  </w:style>
  <w:style w:type="character" w:customStyle="1" w:styleId="Buttons">
    <w:name w:val="Buttons"/>
    <w:basedOn w:val="DefaultParagraphFont"/>
    <w:rsid w:val="00C75584"/>
    <w:rPr>
      <w:b/>
    </w:rPr>
  </w:style>
  <w:style w:type="character" w:customStyle="1" w:styleId="Underlined">
    <w:name w:val="Underlined"/>
    <w:basedOn w:val="DefaultParagraphFont"/>
    <w:rsid w:val="00C75584"/>
    <w:rPr>
      <w:u w:val="single"/>
    </w:rPr>
  </w:style>
  <w:style w:type="paragraph" w:customStyle="1" w:styleId="TableBodyTextRight">
    <w:name w:val="Table Body Text Right"/>
    <w:basedOn w:val="TableBodyText"/>
    <w:rsid w:val="00C75584"/>
    <w:pPr>
      <w:widowControl w:val="0"/>
      <w:autoSpaceDE w:val="0"/>
      <w:autoSpaceDN w:val="0"/>
      <w:adjustRightInd w:val="0"/>
      <w:jc w:val="right"/>
    </w:pPr>
    <w:rPr>
      <w:rFonts w:cs="Arial"/>
      <w:szCs w:val="18"/>
    </w:rPr>
  </w:style>
  <w:style w:type="paragraph" w:customStyle="1" w:styleId="CopyrightText">
    <w:name w:val="Copyright Text"/>
    <w:basedOn w:val="BodyText"/>
    <w:rsid w:val="00C75584"/>
    <w:rPr>
      <w:sz w:val="18"/>
    </w:rPr>
  </w:style>
  <w:style w:type="paragraph" w:customStyle="1" w:styleId="BodySmallRight">
    <w:name w:val="Body Small Right"/>
    <w:basedOn w:val="BodyTextRight"/>
    <w:rsid w:val="00C75584"/>
    <w:rPr>
      <w:sz w:val="18"/>
      <w:szCs w:val="18"/>
    </w:rPr>
  </w:style>
  <w:style w:type="paragraph" w:customStyle="1" w:styleId="MarginEdition">
    <w:name w:val="Margin Edition"/>
    <w:basedOn w:val="MarginNote"/>
    <w:rsid w:val="00C75584"/>
    <w:pPr>
      <w:spacing w:before="0" w:after="0"/>
    </w:pPr>
    <w:rPr>
      <w:rFonts w:ascii="Times New Roman" w:hAnsi="Times New Roman"/>
      <w:color w:val="999999"/>
    </w:rPr>
  </w:style>
  <w:style w:type="paragraph" w:customStyle="1" w:styleId="Spacer">
    <w:name w:val="Spacer"/>
    <w:basedOn w:val="Normal"/>
    <w:rsid w:val="00C75584"/>
    <w:rPr>
      <w:sz w:val="2"/>
      <w:szCs w:val="2"/>
    </w:rPr>
  </w:style>
  <w:style w:type="character" w:customStyle="1" w:styleId="Small">
    <w:name w:val="Small"/>
    <w:basedOn w:val="DefaultParagraphFont"/>
    <w:rsid w:val="00C75584"/>
    <w:rPr>
      <w:sz w:val="16"/>
    </w:rPr>
  </w:style>
  <w:style w:type="paragraph" w:customStyle="1" w:styleId="WideTable">
    <w:name w:val="Wide Table"/>
    <w:basedOn w:val="Normal"/>
    <w:rsid w:val="00C75584"/>
    <w:pPr>
      <w:ind w:left="-1418"/>
    </w:pPr>
    <w:rPr>
      <w:sz w:val="2"/>
      <w:szCs w:val="2"/>
    </w:rPr>
  </w:style>
  <w:style w:type="character" w:styleId="PageNumber">
    <w:name w:val="page number"/>
    <w:basedOn w:val="DefaultParagraphFont"/>
    <w:rsid w:val="00C75584"/>
  </w:style>
  <w:style w:type="paragraph" w:styleId="Quote">
    <w:name w:val="Quote"/>
    <w:basedOn w:val="Heading1"/>
    <w:link w:val="QuoteChar"/>
    <w:qFormat/>
    <w:rsid w:val="00C75584"/>
    <w:rPr>
      <w:b w:val="0"/>
      <w:sz w:val="72"/>
      <w:szCs w:val="72"/>
      <w:lang w:val="en-NZ"/>
    </w:rPr>
  </w:style>
  <w:style w:type="character" w:customStyle="1" w:styleId="QuoteChar">
    <w:name w:val="Quote Char"/>
    <w:basedOn w:val="DefaultParagraphFont"/>
    <w:link w:val="Quote"/>
    <w:rsid w:val="00C75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584"/>
    <w:pPr>
      <w:pageBreakBefore/>
    </w:pPr>
  </w:style>
  <w:style w:type="paragraph" w:customStyle="1" w:styleId="Border">
    <w:name w:val="Border"/>
    <w:basedOn w:val="Normal"/>
    <w:qFormat/>
    <w:rsid w:val="00C75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584"/>
    <w:rPr>
      <w:b/>
      <w:bCs/>
      <w:i/>
      <w:iCs/>
      <w:color w:val="auto"/>
    </w:rPr>
  </w:style>
  <w:style w:type="paragraph" w:styleId="IntenseQuote">
    <w:name w:val="Intense Quote"/>
    <w:basedOn w:val="Normal"/>
    <w:next w:val="Normal"/>
    <w:link w:val="IntenseQuoteChar"/>
    <w:uiPriority w:val="30"/>
    <w:qFormat/>
    <w:rsid w:val="00C75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584"/>
    <w:rPr>
      <w:smallCaps/>
      <w:color w:val="auto"/>
      <w:u w:val="single"/>
    </w:rPr>
  </w:style>
  <w:style w:type="character" w:styleId="IntenseReference">
    <w:name w:val="Intense Reference"/>
    <w:basedOn w:val="DefaultParagraphFont"/>
    <w:uiPriority w:val="32"/>
    <w:qFormat/>
    <w:rsid w:val="00C75584"/>
    <w:rPr>
      <w:b/>
      <w:bCs/>
      <w:smallCaps/>
      <w:color w:val="auto"/>
      <w:spacing w:val="5"/>
      <w:u w:val="single"/>
    </w:rPr>
  </w:style>
  <w:style w:type="paragraph" w:customStyle="1" w:styleId="2ColumnHeading">
    <w:name w:val="2Column Heading"/>
    <w:basedOn w:val="BodyText"/>
    <w:qFormat/>
    <w:rsid w:val="00C75584"/>
    <w:pPr>
      <w:spacing w:after="60"/>
      <w:ind w:left="-2268"/>
    </w:pPr>
    <w:rPr>
      <w:b/>
    </w:rPr>
  </w:style>
  <w:style w:type="paragraph" w:customStyle="1" w:styleId="Heading1TOC">
    <w:name w:val="Heading1 TOC"/>
    <w:basedOn w:val="Normal"/>
    <w:qFormat/>
    <w:rsid w:val="00C75584"/>
    <w:pPr>
      <w:spacing w:before="240" w:after="120"/>
    </w:pPr>
    <w:rPr>
      <w:rFonts w:ascii="Times New Roman" w:hAnsi="Times New Roman"/>
      <w:b/>
      <w:sz w:val="32"/>
    </w:rPr>
  </w:style>
  <w:style w:type="paragraph" w:customStyle="1" w:styleId="Heading2TOC">
    <w:name w:val="Heading2 TOC"/>
    <w:basedOn w:val="Normal"/>
    <w:qFormat/>
    <w:rsid w:val="00C75584"/>
    <w:pPr>
      <w:spacing w:before="240" w:after="60"/>
    </w:pPr>
    <w:rPr>
      <w:rFonts w:ascii="Times New Roman" w:hAnsi="Times New Roman"/>
      <w:b/>
      <w:sz w:val="28"/>
    </w:rPr>
  </w:style>
  <w:style w:type="character" w:customStyle="1" w:styleId="Underline">
    <w:name w:val="Underline"/>
    <w:basedOn w:val="DefaultParagraphFont"/>
    <w:qFormat/>
    <w:rsid w:val="00C75584"/>
    <w:rPr>
      <w:u w:val="single"/>
    </w:rPr>
  </w:style>
  <w:style w:type="paragraph" w:styleId="BalloonText">
    <w:name w:val="Balloon Text"/>
    <w:basedOn w:val="Normal"/>
    <w:link w:val="BalloonTextChar"/>
    <w:rsid w:val="00C75584"/>
    <w:rPr>
      <w:rFonts w:ascii="Tahoma" w:hAnsi="Tahoma" w:cs="Tahoma"/>
      <w:sz w:val="16"/>
      <w:szCs w:val="16"/>
    </w:rPr>
  </w:style>
  <w:style w:type="character" w:customStyle="1" w:styleId="BalloonTextChar">
    <w:name w:val="Balloon Text Char"/>
    <w:basedOn w:val="DefaultParagraphFont"/>
    <w:link w:val="BalloonText"/>
    <w:rsid w:val="00C75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5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5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584"/>
    <w:rPr>
      <w:b/>
      <w:color w:val="660033"/>
      <w:spacing w:val="0"/>
    </w:rPr>
  </w:style>
  <w:style w:type="paragraph" w:customStyle="1" w:styleId="Nameditemlist">
    <w:name w:val="Named item list"/>
    <w:basedOn w:val="BodyText"/>
    <w:qFormat/>
    <w:rsid w:val="00C755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1552</Words>
  <Characters>10276</Characters>
  <Application>Microsoft Office Word</Application>
  <DocSecurity>0</DocSecurity>
  <Lines>350</Lines>
  <Paragraphs>227</Paragraphs>
  <ScaleCrop>false</ScaleCrop>
  <Company>Author-it Software Corporation Ltd.</Company>
  <LinksUpToDate>false</LinksUpToDate>
  <CharactersWithSpaces>11742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PSPREG425 Conduct investigations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2012-11-01T16:56:00Z</dcterms:created>
  <dcterms:modified xsi:type="dcterms:W3CDTF">2012-11-01T16:56:00Z</dcterms:modified>
</cp:coreProperties>
</file>