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8BC" w:rsidP="003328BC">
      <w:pPr>
        <w:pStyle w:val="Title"/>
      </w:pPr>
      <w:bookmarkStart w:id="0" w:name="_GoBack"/>
      <w:bookmarkEnd w:id="0"/>
      <w:r>
        <w:fldChar w:fldCharType="begin"/>
      </w:r>
      <w:r>
        <w:instrText xml:space="preserve"> TITLE   \* MERGEFORMAT </w:instrText>
      </w:r>
      <w:r>
        <w:fldChar w:fldCharType="separate"/>
      </w:r>
      <w:r>
        <w:t>PSPWPR503A Apply workplace relations dispute-resolution procedures</w:t>
      </w:r>
      <w:r>
        <w:fldChar w:fldCharType="end"/>
      </w:r>
    </w:p>
    <w:p w:rsidR="003328BC" w:rsidP="003328BC">
      <w:pPr>
        <w:pStyle w:val="Version"/>
        <w:sectPr w:rsidSect="00EA55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A5513" w:rsidP="00EA5513">
      <w:pPr>
        <w:pStyle w:val="SuperHeading"/>
      </w:pPr>
      <w:r w:rsidRPr="00EA5513">
        <w:t>PSPWPR503A Apply workplace relations dispute-resolution procedures</w:t>
      </w:r>
    </w:p>
    <w:p w:rsidR="00000000" w:rsidRPr="00EA5513" w:rsidP="00EA5513">
      <w:pPr>
        <w:pStyle w:val="SuperHeading"/>
      </w:pPr>
    </w:p>
    <w:p w:rsidR="00000000" w:rsidRPr="00EA5513" w:rsidP="00EA5513">
      <w:pPr>
        <w:pStyle w:val="Heading1"/>
      </w:pPr>
      <w:bookmarkStart w:id="1" w:name="O_496318"/>
      <w:bookmarkEnd w:id="1"/>
      <w:r w:rsidRPr="00EA5513">
        <w:t>Modification History</w:t>
      </w:r>
    </w:p>
    <w:tbl>
      <w:tblPr>
        <w:tblW w:w="0" w:type="auto"/>
        <w:tblLayout w:type="fixed"/>
        <w:tblCellMar>
          <w:left w:w="62" w:type="dxa"/>
          <w:right w:w="62" w:type="dxa"/>
        </w:tblCellMar>
        <w:tblLook w:val="0000"/>
      </w:tblPr>
      <w:tblGrid>
        <w:gridCol w:w="3052"/>
        <w:gridCol w:w="3052"/>
        <w:gridCol w:w="3052"/>
      </w:tblGrid>
      <w:tr w:rsidTr="003328B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513" w:rsidP="00EA5513">
            <w:pPr>
              <w:pStyle w:val="BodyText"/>
            </w:pPr>
            <w:r w:rsidRPr="00EA551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513" w:rsidP="00EA5513">
            <w:pPr>
              <w:pStyle w:val="BodyText"/>
            </w:pPr>
            <w:r w:rsidRPr="00EA551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rPr>
                <w:rStyle w:val="SpecialBold"/>
              </w:rPr>
              <w:t>Comments</w:t>
            </w:r>
          </w:p>
        </w:tc>
      </w:tr>
      <w:tr w:rsidTr="003328B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Layout adjusted. No ch</w:t>
            </w:r>
            <w:r w:rsidRPr="00EA5513">
              <w:t>anges to content.</w:t>
            </w:r>
          </w:p>
        </w:tc>
      </w:tr>
      <w:tr w:rsidTr="003328B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Layout adjusted. No changes to content.</w:t>
            </w:r>
          </w:p>
        </w:tc>
      </w:tr>
      <w:tr w:rsidTr="003328B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513">
            <w:pPr>
              <w:pStyle w:val="BodyText"/>
              <w:rPr>
                <w:lang w:val="en-NZ"/>
              </w:rPr>
            </w:pPr>
            <w:r w:rsidRPr="00EA551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513" w:rsidP="00EA5513">
            <w:pPr>
              <w:pStyle w:val="BodyText"/>
            </w:pPr>
            <w:r w:rsidRPr="00EA5513">
              <w:t>Primary release.</w:t>
            </w:r>
          </w:p>
        </w:tc>
      </w:tr>
    </w:tbl>
    <w:p w:rsidR="003328BC" w:rsidP="00EA5513">
      <w:pPr>
        <w:pStyle w:val="BodyText"/>
      </w:pPr>
    </w:p>
    <w:p w:rsidR="003328BC" w:rsidP="00EA5513">
      <w:pPr>
        <w:pStyle w:val="BodyText"/>
      </w:pPr>
    </w:p>
    <w:p w:rsidR="00000000" w:rsidRPr="00EA5513" w:rsidP="00EA5513">
      <w:pPr>
        <w:pStyle w:val="Heading1"/>
      </w:pPr>
      <w:bookmarkStart w:id="2" w:name="O_496312"/>
      <w:bookmarkEnd w:id="2"/>
      <w:r w:rsidRPr="00EA5513">
        <w:t>Unit Descriptor</w:t>
      </w:r>
    </w:p>
    <w:p w:rsidR="00000000" w:rsidRPr="00EA5513" w:rsidP="00EA5513">
      <w:pPr>
        <w:pStyle w:val="BodyText"/>
      </w:pPr>
      <w:r w:rsidRPr="00EA5513">
        <w:t xml:space="preserve">This unit covers the competency required to resolve or advise on the resolution of workplace disputes by </w:t>
      </w:r>
      <w:r w:rsidRPr="00EA5513">
        <w:t>applying workplace relations dispute procedures that comply with relevant legislation. It includes identifying and clarifying workplace disputes, selecting and implementing resolution processes, and reporting on and evaluating the effectiveness of processe</w:t>
      </w:r>
      <w:r w:rsidRPr="00EA5513">
        <w:t>s used.</w:t>
      </w:r>
    </w:p>
    <w:p w:rsidR="00000000" w:rsidRPr="00EA5513" w:rsidP="00EA5513">
      <w:pPr>
        <w:pStyle w:val="BodyText"/>
      </w:pPr>
      <w:r w:rsidRPr="00EA5513">
        <w:t>No licensing, legislative, regulatory or certification requirements apply to this unit at the time of endorsement.</w:t>
      </w:r>
    </w:p>
    <w:p w:rsidR="00000000" w:rsidRPr="00EA5513" w:rsidP="00EA5513">
      <w:pPr>
        <w:pStyle w:val="AllowPageBreak"/>
      </w:pPr>
    </w:p>
    <w:p w:rsidR="00000000" w:rsidRPr="00EA5513" w:rsidP="00EA5513">
      <w:pPr>
        <w:pStyle w:val="Heading1"/>
      </w:pPr>
      <w:bookmarkStart w:id="3" w:name="O_496325"/>
      <w:bookmarkEnd w:id="3"/>
      <w:r w:rsidRPr="00EA5513">
        <w:t>Application of the Unit</w:t>
      </w:r>
    </w:p>
    <w:p w:rsidR="00000000" w:rsidRPr="00EA5513" w:rsidP="00EA5513">
      <w:pPr>
        <w:pStyle w:val="BodyText"/>
      </w:pPr>
      <w:r w:rsidRPr="00EA5513">
        <w:t>In practice, people responsible for applying workplace relations dispute-resolution procedures may be working as a:</w:t>
      </w:r>
    </w:p>
    <w:p w:rsidR="00000000" w:rsidRPr="00EA5513" w:rsidP="00EA5513">
      <w:pPr>
        <w:pStyle w:val="ListBullet2"/>
      </w:pPr>
      <w:r w:rsidRPr="00EA5513">
        <w:t>researcher or advisor in an advisory organisation</w:t>
      </w:r>
    </w:p>
    <w:p w:rsidR="00000000" w:rsidRPr="00EA5513" w:rsidP="00EA5513">
      <w:pPr>
        <w:pStyle w:val="ListBullet2"/>
      </w:pPr>
      <w:r w:rsidRPr="00EA5513">
        <w:t>workplace relations inspector or investigator</w:t>
      </w:r>
    </w:p>
    <w:p w:rsidR="00000000" w:rsidRPr="00EA5513" w:rsidP="00EA5513">
      <w:pPr>
        <w:pStyle w:val="ListBullet2"/>
      </w:pPr>
      <w:r w:rsidRPr="00EA5513">
        <w:t>senior human resources officer with respons</w:t>
      </w:r>
      <w:r w:rsidRPr="00EA5513">
        <w:t>ibility for compliance with dispute resolution</w:t>
      </w:r>
    </w:p>
    <w:p w:rsidR="00000000" w:rsidRPr="00EA5513" w:rsidP="00EA5513">
      <w:pPr>
        <w:pStyle w:val="AllowPageBreak"/>
      </w:pPr>
    </w:p>
    <w:p w:rsidR="00000000" w:rsidRPr="00EA5513" w:rsidP="00EA5513">
      <w:pPr>
        <w:pStyle w:val="Heading1"/>
      </w:pPr>
      <w:bookmarkStart w:id="4" w:name="O_496311"/>
      <w:bookmarkEnd w:id="4"/>
      <w:r w:rsidRPr="00EA5513">
        <w:t>Licensing/Regulatory Information</w:t>
      </w:r>
    </w:p>
    <w:p w:rsidR="00000000" w:rsidRPr="00EA5513" w:rsidP="00EA5513">
      <w:pPr>
        <w:pStyle w:val="BodyText"/>
      </w:pPr>
      <w:r w:rsidRPr="00EA5513">
        <w:t>Not applicable.</w:t>
      </w:r>
    </w:p>
    <w:p w:rsidR="00000000" w:rsidRPr="00EA5513" w:rsidP="00EA5513">
      <w:pPr>
        <w:pStyle w:val="AllowPageBreak"/>
      </w:pPr>
    </w:p>
    <w:p w:rsidR="00000000" w:rsidRPr="00EA5513" w:rsidP="00EA5513">
      <w:pPr>
        <w:pStyle w:val="Heading1"/>
      </w:pPr>
      <w:bookmarkStart w:id="5" w:name="O_496316"/>
      <w:bookmarkEnd w:id="5"/>
      <w:r w:rsidRPr="00EA5513">
        <w:t>Pre-Requisites</w:t>
      </w:r>
    </w:p>
    <w:p w:rsidR="00000000" w:rsidRPr="00EA5513" w:rsidP="00EA5513">
      <w:pPr>
        <w:pStyle w:val="BodyText"/>
      </w:pPr>
      <w:r w:rsidRPr="00EA5513">
        <w:t>Not applicable.</w:t>
      </w:r>
    </w:p>
    <w:p w:rsidR="00000000" w:rsidRPr="00EA5513" w:rsidP="00EA5513">
      <w:pPr>
        <w:pStyle w:val="AllowPageBreak"/>
      </w:pPr>
    </w:p>
    <w:p w:rsidR="00000000" w:rsidRPr="00EA5513" w:rsidP="00EA5513">
      <w:pPr>
        <w:pStyle w:val="Heading1"/>
      </w:pPr>
      <w:bookmarkStart w:id="6" w:name="O_496320"/>
      <w:bookmarkEnd w:id="6"/>
      <w:r w:rsidRPr="00EA5513">
        <w:t>Employability Skills Information</w:t>
      </w:r>
    </w:p>
    <w:p w:rsidR="00000000" w:rsidRPr="00EA5513" w:rsidP="00EA5513">
      <w:pPr>
        <w:pStyle w:val="BodyText"/>
      </w:pPr>
      <w:r w:rsidRPr="00EA5513">
        <w:t>This unit contains employability skills.</w:t>
      </w:r>
    </w:p>
    <w:p w:rsidR="00000000" w:rsidRPr="00EA5513" w:rsidP="00EA5513">
      <w:pPr>
        <w:pStyle w:val="AllowPageBreak"/>
      </w:pPr>
    </w:p>
    <w:p w:rsidR="00000000" w:rsidRPr="00EA5513" w:rsidP="00EA5513">
      <w:pPr>
        <w:pStyle w:val="Heading1"/>
      </w:pPr>
      <w:bookmarkStart w:id="7" w:name="O_496321"/>
      <w:bookmarkEnd w:id="7"/>
      <w:r w:rsidRPr="00EA5513">
        <w:t>Elements and Performance Criteria Pre-Content</w:t>
      </w:r>
    </w:p>
    <w:tbl>
      <w:tblPr>
        <w:tblW w:w="0" w:type="auto"/>
        <w:tblLayout w:type="fixed"/>
        <w:tblCellMar>
          <w:left w:w="62" w:type="dxa"/>
          <w:right w:w="62" w:type="dxa"/>
        </w:tblCellMar>
        <w:tblLook w:val="0000"/>
      </w:tblPr>
      <w:tblGrid>
        <w:gridCol w:w="2569"/>
        <w:gridCol w:w="5953"/>
      </w:tblGrid>
      <w:tr w:rsidTr="003328B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RPr="00EA5513" w:rsidP="00EA5513">
            <w:pPr>
              <w:pStyle w:val="BodyText"/>
            </w:pPr>
            <w:r w:rsidRPr="00EA5513">
              <w:t>Performance criteria describe the performance needed to demonstrate achievement of the element. Where</w:t>
            </w:r>
            <w:r w:rsidRPr="00EA5513">
              <w:rPr>
                <w:rStyle w:val="BoldandItalics"/>
              </w:rPr>
              <w:t xml:space="preserve"> bold italicised</w:t>
            </w:r>
            <w:r w:rsidRPr="00EA5513">
              <w:t xml:space="preserve"> text is used, further information is detailed in the range statement. Assessment of performance is to be consistent with the evidence guide.</w:t>
            </w:r>
          </w:p>
        </w:tc>
      </w:tr>
    </w:tbl>
    <w:p w:rsidR="00000000" w:rsidRPr="00EA5513" w:rsidP="00EA5513">
      <w:pPr>
        <w:pStyle w:val="BodyText"/>
      </w:pPr>
    </w:p>
    <w:p w:rsidR="00000000" w:rsidRPr="00EA5513" w:rsidP="00EA5513">
      <w:pPr>
        <w:pStyle w:val="AllowPageBreak"/>
      </w:pPr>
    </w:p>
    <w:p w:rsidR="00000000" w:rsidRPr="00EA5513" w:rsidP="00EA5513">
      <w:pPr>
        <w:pStyle w:val="Heading1"/>
      </w:pPr>
      <w:bookmarkStart w:id="8" w:name="O_496322"/>
      <w:bookmarkEnd w:id="8"/>
      <w:r w:rsidRPr="00EA5513">
        <w:t>Elements and Performance Criteria</w:t>
      </w:r>
    </w:p>
    <w:tbl>
      <w:tblPr>
        <w:tblW w:w="0" w:type="auto"/>
        <w:tblLayout w:type="fixed"/>
        <w:tblCellMar>
          <w:left w:w="62" w:type="dxa"/>
          <w:right w:w="62" w:type="dxa"/>
        </w:tblCellMar>
        <w:tblLook w:val="0000"/>
      </w:tblPr>
      <w:tblGrid>
        <w:gridCol w:w="2569"/>
        <w:gridCol w:w="5953"/>
      </w:tblGrid>
      <w:tr w:rsidTr="003328B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RPr="00EA5513" w:rsidP="00EA5513">
            <w:pPr>
              <w:pStyle w:val="BodyText"/>
            </w:pPr>
            <w:r w:rsidRPr="00EA5513">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PERFORMANCE CRITERIA</w:t>
            </w:r>
          </w:p>
        </w:tc>
      </w:tr>
      <w:tr w:rsidTr="003328B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5513">
            <w:pPr>
              <w:pStyle w:val="List"/>
              <w:rPr>
                <w:lang w:val="en-NZ"/>
              </w:rPr>
            </w:pPr>
            <w:r w:rsidRPr="00EA5513">
              <w:rPr>
                <w:rStyle w:val="SpecialBold"/>
              </w:rPr>
              <w:t>1.</w:t>
            </w:r>
            <w:r w:rsidRPr="00EA5513">
              <w:rPr>
                <w:rStyle w:val="SpecialBold"/>
              </w:rPr>
              <w:tab/>
              <w:t xml:space="preserve">Identify and </w:t>
            </w:r>
            <w:r w:rsidRPr="00EA5513">
              <w:rPr>
                <w:rStyle w:val="SpecialBold"/>
              </w:rPr>
              <w:t>clarify the nature of workplace disputes</w:t>
            </w:r>
          </w:p>
        </w:tc>
        <w:tc>
          <w:tcPr>
            <w:tcW w:w="5953" w:type="dxa"/>
            <w:tcBorders>
              <w:top w:val="nil"/>
              <w:left w:val="nil"/>
              <w:bottom w:val="nil"/>
              <w:right w:val="nil"/>
            </w:tcBorders>
            <w:tcMar>
              <w:top w:w="0" w:type="dxa"/>
              <w:left w:w="62" w:type="dxa"/>
              <w:bottom w:w="0" w:type="dxa"/>
              <w:right w:w="62" w:type="dxa"/>
            </w:tcMar>
          </w:tcPr>
          <w:p w:rsidR="00000000" w:rsidRPr="00EA5513" w:rsidP="00EA5513">
            <w:pPr>
              <w:pStyle w:val="List"/>
            </w:pPr>
            <w:r w:rsidRPr="00EA5513">
              <w:t>1.1</w:t>
            </w:r>
            <w:r w:rsidRPr="00EA5513">
              <w:tab/>
              <w:t xml:space="preserve">Potential and actual </w:t>
            </w:r>
            <w:r w:rsidRPr="00EA5513">
              <w:rPr>
                <w:rStyle w:val="BoldandItalics"/>
              </w:rPr>
              <w:t>workplace disputes</w:t>
            </w:r>
            <w:r w:rsidRPr="00EA5513">
              <w:t xml:space="preserve"> are identified, or reported disputes noted, and resolution procedures initiated according to workplace procedures. </w:t>
            </w:r>
          </w:p>
          <w:p w:rsidR="00000000" w:rsidRPr="00EA5513" w:rsidP="00EA5513">
            <w:pPr>
              <w:pStyle w:val="List"/>
            </w:pPr>
            <w:r w:rsidRPr="00EA5513">
              <w:t>1.2</w:t>
            </w:r>
            <w:r w:rsidRPr="00EA5513">
              <w:tab/>
              <w:t>Facts and issues surrounding dispute are establishe</w:t>
            </w:r>
            <w:r w:rsidRPr="00EA5513">
              <w:t xml:space="preserve">d through separate consultations with each disputing party and appropriate organisational research. </w:t>
            </w:r>
          </w:p>
          <w:p w:rsidR="00000000" w:rsidP="00EA5513">
            <w:pPr>
              <w:pStyle w:val="List"/>
              <w:rPr>
                <w:lang w:val="en-NZ"/>
              </w:rPr>
            </w:pPr>
            <w:r w:rsidRPr="00EA5513">
              <w:t>1.3</w:t>
            </w:r>
            <w:r w:rsidRPr="00EA5513">
              <w:tab/>
              <w:t xml:space="preserve">Relevant information is documented, collated and disseminated to the disputing parties and other appropriate persons according to </w:t>
            </w:r>
            <w:r w:rsidRPr="00EA5513">
              <w:rPr>
                <w:rStyle w:val="BoldandItalics"/>
              </w:rPr>
              <w:t>organisational and le</w:t>
            </w:r>
            <w:r w:rsidRPr="00EA5513">
              <w:rPr>
                <w:rStyle w:val="BoldandItalics"/>
              </w:rPr>
              <w:t>gislative requirements</w:t>
            </w:r>
            <w:r w:rsidRPr="00EA5513">
              <w:t xml:space="preserve">. </w:t>
            </w:r>
          </w:p>
        </w:tc>
      </w:tr>
      <w:tr w:rsidTr="003328B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5513">
            <w:pPr>
              <w:pStyle w:val="List"/>
              <w:rPr>
                <w:lang w:val="en-NZ"/>
              </w:rPr>
            </w:pPr>
            <w:r w:rsidRPr="00EA5513">
              <w:rPr>
                <w:rStyle w:val="SpecialBold"/>
              </w:rPr>
              <w:t>2.</w:t>
            </w:r>
            <w:r w:rsidRPr="00EA5513">
              <w:rPr>
                <w:rStyle w:val="SpecialBold"/>
              </w:rPr>
              <w:tab/>
              <w:t>Select and explain dispute-resolution procedures</w:t>
            </w:r>
          </w:p>
        </w:tc>
        <w:tc>
          <w:tcPr>
            <w:tcW w:w="5953" w:type="dxa"/>
            <w:tcBorders>
              <w:top w:val="nil"/>
              <w:left w:val="nil"/>
              <w:bottom w:val="nil"/>
              <w:right w:val="nil"/>
            </w:tcBorders>
            <w:tcMar>
              <w:top w:w="0" w:type="dxa"/>
              <w:left w:w="62" w:type="dxa"/>
              <w:bottom w:w="0" w:type="dxa"/>
              <w:right w:w="62" w:type="dxa"/>
            </w:tcMar>
          </w:tcPr>
          <w:p w:rsidR="00000000" w:rsidRPr="00EA5513" w:rsidP="00EA5513">
            <w:pPr>
              <w:pStyle w:val="List"/>
            </w:pPr>
            <w:r w:rsidRPr="00EA5513">
              <w:t>2.1</w:t>
            </w:r>
            <w:r w:rsidRPr="00EA5513">
              <w:tab/>
            </w:r>
            <w:r w:rsidRPr="00EA5513">
              <w:rPr>
                <w:rStyle w:val="BoldandItalics"/>
              </w:rPr>
              <w:t>Dispute</w:t>
            </w:r>
            <w:r w:rsidRPr="00EA5513">
              <w:t>-</w:t>
            </w:r>
            <w:r w:rsidRPr="00EA5513">
              <w:rPr>
                <w:rStyle w:val="BoldandItalics"/>
              </w:rPr>
              <w:t>resolution procedures</w:t>
            </w:r>
            <w:r w:rsidRPr="00EA5513">
              <w:t xml:space="preserve"> are analysed, explained to and discussed with relevant parties.</w:t>
            </w:r>
          </w:p>
          <w:p w:rsidR="00000000" w:rsidRPr="00EA5513" w:rsidP="00EA5513">
            <w:pPr>
              <w:pStyle w:val="List"/>
            </w:pPr>
            <w:r w:rsidRPr="00EA5513">
              <w:t>2.2</w:t>
            </w:r>
            <w:r w:rsidRPr="00EA5513">
              <w:tab/>
              <w:t>Dispute-resolution procedures and objectives are negotiated with relevant pa</w:t>
            </w:r>
            <w:r w:rsidRPr="00EA5513">
              <w:t>rties and decisions are verified and documented.</w:t>
            </w:r>
          </w:p>
          <w:p w:rsidR="00000000" w:rsidRPr="00EA5513" w:rsidP="00EA5513">
            <w:pPr>
              <w:pStyle w:val="List"/>
            </w:pPr>
            <w:r w:rsidRPr="00EA5513">
              <w:t>2.3</w:t>
            </w:r>
            <w:r w:rsidRPr="00EA5513">
              <w:tab/>
              <w:t xml:space="preserve">Roles and responsibilities of parties in the dispute-resolution process are determined and explained to participants. </w:t>
            </w:r>
          </w:p>
          <w:p w:rsidR="00000000" w:rsidRPr="00EA5513" w:rsidP="00EA5513">
            <w:pPr>
              <w:pStyle w:val="List"/>
            </w:pPr>
            <w:r w:rsidRPr="00EA5513">
              <w:t>2.4</w:t>
            </w:r>
            <w:r w:rsidRPr="00EA5513">
              <w:tab/>
              <w:t>Dispute-resolution procedures are scheduled and initiated according to organisat</w:t>
            </w:r>
            <w:r w:rsidRPr="00EA5513">
              <w:t xml:space="preserve">ional and legislative requirements. </w:t>
            </w:r>
          </w:p>
          <w:p w:rsidR="00000000" w:rsidRPr="00EA5513" w:rsidP="00EA5513">
            <w:pPr>
              <w:pStyle w:val="List"/>
            </w:pPr>
            <w:r w:rsidRPr="00EA5513">
              <w:t>2.5</w:t>
            </w:r>
            <w:r w:rsidRPr="00EA5513">
              <w:tab/>
              <w:t>Dispute-resolution procedures conducted by either statutory agencies or external dispute-resolution providers are analysed and explained.</w:t>
            </w:r>
          </w:p>
          <w:p w:rsidR="00000000" w:rsidP="00EA5513">
            <w:pPr>
              <w:pStyle w:val="List"/>
              <w:rPr>
                <w:lang w:val="en-NZ"/>
              </w:rPr>
            </w:pPr>
            <w:r w:rsidRPr="00EA5513">
              <w:t>2.6</w:t>
            </w:r>
            <w:r w:rsidRPr="00EA5513">
              <w:tab/>
              <w:t xml:space="preserve">Referrals to statutory agencies or external dispute-resolution providers </w:t>
            </w:r>
            <w:r w:rsidRPr="00EA5513">
              <w:t>are made, as necessary, according to workplace procedures.</w:t>
            </w:r>
          </w:p>
        </w:tc>
      </w:tr>
      <w:tr w:rsidTr="003328B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5513">
            <w:pPr>
              <w:pStyle w:val="List"/>
              <w:rPr>
                <w:lang w:val="en-NZ"/>
              </w:rPr>
            </w:pPr>
            <w:r w:rsidRPr="00EA5513">
              <w:rPr>
                <w:rStyle w:val="SpecialBold"/>
              </w:rPr>
              <w:t>3.</w:t>
            </w:r>
            <w:r w:rsidRPr="00EA5513">
              <w:rPr>
                <w:rStyle w:val="SpecialBold"/>
              </w:rPr>
              <w:tab/>
              <w:t>Implement dispute-resolution procedures</w:t>
            </w:r>
          </w:p>
        </w:tc>
        <w:tc>
          <w:tcPr>
            <w:tcW w:w="5953" w:type="dxa"/>
            <w:tcBorders>
              <w:top w:val="nil"/>
              <w:left w:val="nil"/>
              <w:bottom w:val="nil"/>
              <w:right w:val="nil"/>
            </w:tcBorders>
            <w:tcMar>
              <w:top w:w="0" w:type="dxa"/>
              <w:left w:w="62" w:type="dxa"/>
              <w:bottom w:w="0" w:type="dxa"/>
              <w:right w:w="62" w:type="dxa"/>
            </w:tcMar>
          </w:tcPr>
          <w:p w:rsidR="00000000" w:rsidRPr="00EA5513" w:rsidP="00EA5513">
            <w:pPr>
              <w:pStyle w:val="List"/>
            </w:pPr>
            <w:r w:rsidRPr="00EA5513">
              <w:t>3.1</w:t>
            </w:r>
            <w:r w:rsidRPr="00EA5513">
              <w:tab/>
              <w:t xml:space="preserve">Appropriate conduct of disputing parties during dispute-resolution procedures is explained and confirmed as understood. </w:t>
            </w:r>
          </w:p>
          <w:p w:rsidR="00000000" w:rsidRPr="00EA5513" w:rsidP="00EA5513">
            <w:pPr>
              <w:pStyle w:val="List"/>
            </w:pPr>
            <w:r w:rsidRPr="00EA5513">
              <w:t>3.2</w:t>
            </w:r>
            <w:r w:rsidRPr="00EA5513">
              <w:tab/>
            </w:r>
            <w:r w:rsidRPr="00EA5513">
              <w:rPr>
                <w:rStyle w:val="BoldandItalics"/>
              </w:rPr>
              <w:t>Communication strategies</w:t>
            </w:r>
            <w:r w:rsidRPr="00EA5513">
              <w:t xml:space="preserve"> are employed during the resolution process to ensure timely progress and promote positive outcomes. </w:t>
            </w:r>
          </w:p>
          <w:p w:rsidR="00000000" w:rsidRPr="00EA5513" w:rsidP="00EA5513">
            <w:pPr>
              <w:pStyle w:val="List"/>
            </w:pPr>
            <w:r w:rsidRPr="00EA5513">
              <w:t>3.3</w:t>
            </w:r>
            <w:r w:rsidRPr="00EA5513">
              <w:tab/>
              <w:t xml:space="preserve">Negotiation between parties is facilitated and supported to encourage agreement to a course of action. </w:t>
            </w:r>
          </w:p>
          <w:p w:rsidR="00000000" w:rsidRPr="00EA5513" w:rsidP="00EA5513">
            <w:pPr>
              <w:pStyle w:val="List"/>
            </w:pPr>
            <w:r w:rsidRPr="00EA5513">
              <w:t>3.4</w:t>
            </w:r>
            <w:r w:rsidRPr="00EA5513">
              <w:tab/>
              <w:t>Agreed courses of action are clarified, do</w:t>
            </w:r>
            <w:r w:rsidRPr="00EA5513">
              <w:t>cumented and validated by all parties or reasons for failure to agree are documented and dispute-resolution procedures are closed.</w:t>
            </w:r>
          </w:p>
          <w:p w:rsidR="00000000" w:rsidP="00EA5513">
            <w:pPr>
              <w:pStyle w:val="List"/>
              <w:rPr>
                <w:lang w:val="en-NZ"/>
              </w:rPr>
            </w:pPr>
            <w:r w:rsidRPr="00EA5513">
              <w:t>3.5</w:t>
            </w:r>
            <w:r w:rsidRPr="00EA5513">
              <w:tab/>
              <w:t>Unresolved disputes are referred to appropriate tribunal or person according to organisational and legislative requiremen</w:t>
            </w:r>
            <w:r w:rsidRPr="00EA5513">
              <w:t>ts.</w:t>
            </w:r>
          </w:p>
        </w:tc>
      </w:tr>
      <w:tr w:rsidTr="003328B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5513">
            <w:pPr>
              <w:pStyle w:val="List"/>
              <w:rPr>
                <w:lang w:val="en-NZ"/>
              </w:rPr>
            </w:pPr>
            <w:r w:rsidRPr="00EA5513">
              <w:rPr>
                <w:rStyle w:val="SpecialBold"/>
              </w:rPr>
              <w:t>4.</w:t>
            </w:r>
            <w:r w:rsidRPr="00EA5513">
              <w:rPr>
                <w:rStyle w:val="SpecialBold"/>
              </w:rPr>
              <w:tab/>
              <w:t>Report on and evaluate resolution procedures</w:t>
            </w:r>
          </w:p>
        </w:tc>
        <w:tc>
          <w:tcPr>
            <w:tcW w:w="5953" w:type="dxa"/>
            <w:tcBorders>
              <w:top w:val="nil"/>
              <w:left w:val="nil"/>
              <w:bottom w:val="nil"/>
              <w:right w:val="nil"/>
            </w:tcBorders>
            <w:tcMar>
              <w:top w:w="0" w:type="dxa"/>
              <w:left w:w="62" w:type="dxa"/>
              <w:bottom w:w="0" w:type="dxa"/>
              <w:right w:w="62" w:type="dxa"/>
            </w:tcMar>
          </w:tcPr>
          <w:p w:rsidR="00000000" w:rsidRPr="00EA5513" w:rsidP="00EA5513">
            <w:pPr>
              <w:pStyle w:val="List"/>
            </w:pPr>
            <w:r w:rsidRPr="00EA5513">
              <w:t>4.1</w:t>
            </w:r>
            <w:r w:rsidRPr="00EA5513">
              <w:tab/>
              <w:t>Outcomes of dispute-resolution procedures are reported to relevant parties according to organisational and legislative requirements.</w:t>
            </w:r>
          </w:p>
          <w:p w:rsidR="00000000" w:rsidRPr="00EA5513" w:rsidP="00EA5513">
            <w:pPr>
              <w:pStyle w:val="List"/>
            </w:pPr>
            <w:r w:rsidRPr="00EA5513">
              <w:t>4.2</w:t>
            </w:r>
            <w:r w:rsidRPr="00EA5513">
              <w:tab/>
              <w:t xml:space="preserve">Outcomes are compared to objectives and any issues preventing </w:t>
            </w:r>
            <w:r w:rsidRPr="00EA5513">
              <w:t>satisfactory resolution are reviewed.</w:t>
            </w:r>
          </w:p>
          <w:p w:rsidR="00000000" w:rsidRPr="00EA5513" w:rsidP="00EA5513">
            <w:pPr>
              <w:pStyle w:val="List"/>
            </w:pPr>
            <w:r w:rsidRPr="00EA5513">
              <w:t>4.3</w:t>
            </w:r>
            <w:r w:rsidRPr="00EA5513">
              <w:tab/>
              <w:t xml:space="preserve">Strategies for improving the effectiveness of dispute-resolution procedures are discussed with relevant parties and reported according to organisational procedures. </w:t>
            </w:r>
          </w:p>
        </w:tc>
      </w:tr>
    </w:tbl>
    <w:p w:rsidR="00000000" w:rsidRPr="00EA5513" w:rsidP="00EA5513">
      <w:pPr>
        <w:pStyle w:val="BodyText"/>
      </w:pPr>
    </w:p>
    <w:p w:rsidR="00000000" w:rsidRPr="00EA5513" w:rsidP="00EA5513">
      <w:pPr>
        <w:pStyle w:val="AllowPageBreak"/>
      </w:pPr>
    </w:p>
    <w:p w:rsidR="00000000" w:rsidRPr="00EA5513" w:rsidP="00EA5513">
      <w:pPr>
        <w:pStyle w:val="Heading1"/>
      </w:pPr>
      <w:bookmarkStart w:id="9" w:name="O_496319"/>
      <w:bookmarkEnd w:id="9"/>
      <w:r w:rsidRPr="00EA5513">
        <w:t>Required Skills and Knowledge</w:t>
      </w:r>
    </w:p>
    <w:tbl>
      <w:tblPr>
        <w:tblW w:w="0" w:type="auto"/>
        <w:tblLayout w:type="fixed"/>
        <w:tblCellMar>
          <w:left w:w="62" w:type="dxa"/>
          <w:right w:w="62" w:type="dxa"/>
        </w:tblCellMar>
        <w:tblLook w:val="0000"/>
      </w:tblPr>
      <w:tblGrid>
        <w:gridCol w:w="8522"/>
      </w:tblGrid>
      <w:tr w:rsidTr="003328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t>This section describes the skills and knowledge required for this unit.</w:t>
            </w:r>
          </w:p>
        </w:tc>
      </w:tr>
      <w:tr w:rsidTr="003328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Required skills</w:t>
            </w:r>
          </w:p>
        </w:tc>
      </w:tr>
      <w:tr w:rsidTr="003328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5513" w:rsidP="00EA5513">
            <w:pPr>
              <w:pStyle w:val="ListBullet2"/>
            </w:pPr>
            <w:r w:rsidRPr="00EA5513">
              <w:t>conflict-management skills to manage negotiations between opposing parties</w:t>
            </w:r>
          </w:p>
          <w:p w:rsidR="00000000" w:rsidRPr="00EA5513" w:rsidP="00EA5513">
            <w:pPr>
              <w:pStyle w:val="ListBullet2"/>
            </w:pPr>
            <w:r w:rsidRPr="00EA5513">
              <w:t>self-management skills to:</w:t>
            </w:r>
          </w:p>
          <w:p w:rsidR="00000000" w:rsidRPr="00EA5513" w:rsidP="00EA5513">
            <w:pPr>
              <w:pStyle w:val="ListBullet3"/>
            </w:pPr>
            <w:r w:rsidRPr="00EA5513">
              <w:t>remain impartial and objective</w:t>
            </w:r>
          </w:p>
          <w:p w:rsidR="00000000" w:rsidRPr="00EA5513" w:rsidP="00EA5513">
            <w:pPr>
              <w:pStyle w:val="ListBullet3"/>
            </w:pPr>
            <w:r w:rsidRPr="00EA5513">
              <w:t xml:space="preserve">apply information and protocols in the context of workplace relations dispute-resolution procedures </w:t>
            </w:r>
          </w:p>
          <w:p w:rsidR="00000000" w:rsidRPr="00EA5513" w:rsidP="00EA5513">
            <w:pPr>
              <w:pStyle w:val="ListBullet3"/>
            </w:pPr>
            <w:r w:rsidRPr="00EA5513">
              <w:t xml:space="preserve">apply procedures relating to OHS in the context of workplace communication </w:t>
            </w:r>
          </w:p>
          <w:p w:rsidR="00000000" w:rsidRPr="00EA5513" w:rsidP="00EA5513">
            <w:pPr>
              <w:pStyle w:val="ListBullet2"/>
            </w:pPr>
            <w:r w:rsidRPr="00EA5513">
              <w:t>analytical skills to:</w:t>
            </w:r>
          </w:p>
          <w:p w:rsidR="00000000" w:rsidRPr="00EA5513" w:rsidP="00EA5513">
            <w:pPr>
              <w:pStyle w:val="ListBullet3"/>
            </w:pPr>
            <w:r w:rsidRPr="00EA5513">
              <w:t>analyse problems</w:t>
            </w:r>
          </w:p>
          <w:p w:rsidR="00000000" w:rsidRPr="00EA5513" w:rsidP="00EA5513">
            <w:pPr>
              <w:pStyle w:val="ListBullet3"/>
            </w:pPr>
            <w:r w:rsidRPr="00EA5513">
              <w:t>clarify the nature of a workplace disp</w:t>
            </w:r>
            <w:r w:rsidRPr="00EA5513">
              <w:t>ute and identify appropriate resolution procedures</w:t>
            </w:r>
          </w:p>
          <w:p w:rsidR="00000000" w:rsidRPr="00EA5513" w:rsidP="00EA5513">
            <w:pPr>
              <w:pStyle w:val="ListBullet2"/>
            </w:pPr>
            <w:r w:rsidRPr="00EA5513">
              <w:t>interpersonal and communication skills to facilitate complex discussions and negotiations in potentially contentious situations</w:t>
            </w:r>
          </w:p>
          <w:p w:rsidR="00000000" w:rsidRPr="00EA5513" w:rsidP="00EA5513">
            <w:pPr>
              <w:pStyle w:val="ListBullet2"/>
            </w:pPr>
            <w:r w:rsidRPr="00EA5513">
              <w:t>language and literacy skills to:</w:t>
            </w:r>
          </w:p>
          <w:p w:rsidR="00000000" w:rsidRPr="00EA5513" w:rsidP="00EA5513">
            <w:pPr>
              <w:pStyle w:val="ListBullet3"/>
            </w:pPr>
            <w:r w:rsidRPr="00EA5513">
              <w:t>research complex documents</w:t>
            </w:r>
          </w:p>
          <w:p w:rsidR="00000000" w:rsidRPr="00EA5513" w:rsidP="00EA5513">
            <w:pPr>
              <w:pStyle w:val="ListBullet3"/>
            </w:pPr>
            <w:r w:rsidRPr="00EA5513">
              <w:t>communicate com</w:t>
            </w:r>
            <w:r w:rsidRPr="00EA5513">
              <w:t>plex ideas and information</w:t>
            </w:r>
          </w:p>
          <w:p w:rsidR="00000000" w:rsidP="00EA5513">
            <w:pPr>
              <w:pStyle w:val="ListBullet3"/>
              <w:rPr>
                <w:lang w:val="en-NZ"/>
              </w:rPr>
            </w:pPr>
            <w:r w:rsidRPr="00EA5513">
              <w:t>record and report on processes and outcomes</w:t>
            </w:r>
          </w:p>
        </w:tc>
      </w:tr>
      <w:tr w:rsidTr="003328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Required knowledge</w:t>
            </w:r>
          </w:p>
        </w:tc>
      </w:tr>
      <w:tr w:rsidTr="003328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5513" w:rsidP="00EA5513">
            <w:pPr>
              <w:pStyle w:val="ListBullet2"/>
            </w:pPr>
            <w:r w:rsidRPr="00EA5513">
              <w:t>workplace relations framework</w:t>
            </w:r>
          </w:p>
          <w:p w:rsidR="00000000" w:rsidRPr="00EA5513" w:rsidP="00EA5513">
            <w:pPr>
              <w:pStyle w:val="ListBullet2"/>
            </w:pPr>
            <w:r w:rsidRPr="00EA5513">
              <w:t>workplace relations legislation, including conditions and entitlements</w:t>
            </w:r>
          </w:p>
          <w:p w:rsidR="00000000" w:rsidRPr="00EA5513" w:rsidP="00EA5513">
            <w:pPr>
              <w:pStyle w:val="ListBullet2"/>
            </w:pPr>
            <w:r w:rsidRPr="00EA5513">
              <w:t>common and case law</w:t>
            </w:r>
          </w:p>
          <w:p w:rsidR="00000000" w:rsidRPr="00EA5513" w:rsidP="00EA5513">
            <w:pPr>
              <w:pStyle w:val="ListBullet2"/>
            </w:pPr>
            <w:r w:rsidRPr="00EA5513">
              <w:t xml:space="preserve">roles and responsibilities of stakeholders, including employers, employees, legal representatives, unions, advisory bodies and other government agencies </w:t>
            </w:r>
          </w:p>
          <w:p w:rsidR="00000000" w:rsidRPr="00EA5513" w:rsidP="00EA5513">
            <w:pPr>
              <w:pStyle w:val="ListBullet2"/>
            </w:pPr>
            <w:r w:rsidRPr="00EA5513">
              <w:t>workplace policies and procedures in relation to the application of dispute-resolution procedures</w:t>
            </w:r>
          </w:p>
          <w:p w:rsidR="00000000" w:rsidRPr="00EA5513" w:rsidP="00EA5513">
            <w:pPr>
              <w:pStyle w:val="ListBullet2"/>
            </w:pPr>
            <w:r w:rsidRPr="00EA5513">
              <w:t>conf</w:t>
            </w:r>
            <w:r w:rsidRPr="00EA5513">
              <w:t xml:space="preserve">lict resolution techniques </w:t>
            </w:r>
          </w:p>
          <w:p w:rsidR="00000000" w:rsidRPr="00EA5513" w:rsidP="00EA5513">
            <w:pPr>
              <w:pStyle w:val="ListBullet2"/>
            </w:pPr>
            <w:r w:rsidRPr="00EA5513">
              <w:t>legal rights and responsibilities of the parties involved in the workplace dispute</w:t>
            </w:r>
          </w:p>
        </w:tc>
      </w:tr>
    </w:tbl>
    <w:p w:rsidR="00000000" w:rsidRPr="00EA5513" w:rsidP="00EA5513">
      <w:pPr>
        <w:pStyle w:val="BodyText"/>
      </w:pPr>
    </w:p>
    <w:p w:rsidR="00000000" w:rsidRPr="00EA5513" w:rsidP="00EA5513">
      <w:pPr>
        <w:pStyle w:val="AllowPageBreak"/>
      </w:pPr>
    </w:p>
    <w:p w:rsidR="00000000" w:rsidRPr="00EA5513" w:rsidP="00EA5513">
      <w:pPr>
        <w:pStyle w:val="Heading1"/>
      </w:pPr>
      <w:bookmarkStart w:id="10" w:name="O_496315"/>
      <w:bookmarkEnd w:id="10"/>
      <w:r w:rsidRPr="00EA5513">
        <w:t>Evidence Guide</w:t>
      </w:r>
    </w:p>
    <w:tbl>
      <w:tblPr>
        <w:tblW w:w="9608" w:type="dxa"/>
        <w:tblLayout w:type="fixed"/>
        <w:tblCellMar>
          <w:left w:w="62" w:type="dxa"/>
          <w:right w:w="62" w:type="dxa"/>
        </w:tblCellMar>
        <w:tblLook w:val="0000"/>
      </w:tblPr>
      <w:tblGrid>
        <w:gridCol w:w="2808"/>
        <w:gridCol w:w="6800"/>
      </w:tblGrid>
      <w:tr w:rsidTr="003328BC">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t>The Evidence Guide provides advice on assessment and must be read in conjunction with the performance criteria, required skills and knowledge, range statement and the Assessment Guidelines for the Training Package.</w:t>
            </w:r>
          </w:p>
        </w:tc>
      </w:tr>
      <w:tr w:rsidTr="003328BC">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Overview of assessment</w:t>
            </w:r>
          </w:p>
        </w:tc>
        <w:tc>
          <w:tcPr>
            <w:tcW w:w="6800"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t xml:space="preserve">Competency must </w:t>
            </w:r>
            <w:r w:rsidRPr="00EA5513">
              <w:t>be demonstrated by the application of dispute resolution procedures</w:t>
            </w:r>
          </w:p>
        </w:tc>
      </w:tr>
      <w:tr w:rsidTr="003328BC">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EA5513" w:rsidP="00EA5513">
            <w:pPr>
              <w:pStyle w:val="BodyText"/>
            </w:pPr>
            <w:r w:rsidRPr="00EA5513">
              <w:t xml:space="preserve">Assessment must confirm the ability to: </w:t>
            </w:r>
          </w:p>
          <w:p w:rsidR="00000000" w:rsidRPr="00EA5513" w:rsidP="00EA5513">
            <w:pPr>
              <w:pStyle w:val="ListBullet2"/>
            </w:pPr>
            <w:r w:rsidRPr="00EA5513">
              <w:t>analyse workplace disputes</w:t>
            </w:r>
          </w:p>
          <w:p w:rsidR="00000000" w:rsidRPr="00EA5513" w:rsidP="00EA5513">
            <w:pPr>
              <w:pStyle w:val="ListBullet2"/>
            </w:pPr>
            <w:r w:rsidRPr="00EA5513">
              <w:t xml:space="preserve">apply dispute-resolution procedures from initiation to closure </w:t>
            </w:r>
          </w:p>
          <w:p w:rsidR="00000000" w:rsidRPr="00EA5513" w:rsidP="00EA5513">
            <w:pPr>
              <w:pStyle w:val="ListBullet2"/>
            </w:pPr>
            <w:r w:rsidRPr="00EA5513">
              <w:t>apply appropriate communication strategies to facilitate resolution</w:t>
            </w:r>
          </w:p>
          <w:p w:rsidR="00000000" w:rsidRPr="00EA5513" w:rsidP="00EA5513">
            <w:pPr>
              <w:pStyle w:val="ListBullet2"/>
            </w:pPr>
            <w:r w:rsidRPr="00EA5513">
              <w:t>interpret and communicate workplace relations information</w:t>
            </w:r>
          </w:p>
          <w:p w:rsidR="00000000" w:rsidRPr="00EA5513" w:rsidP="00EA5513">
            <w:pPr>
              <w:pStyle w:val="ListBullet2"/>
            </w:pPr>
            <w:r w:rsidRPr="00EA5513">
              <w:t>evaluate processes and contribute to process improvement</w:t>
            </w:r>
          </w:p>
          <w:p w:rsidR="00000000" w:rsidRPr="00EA5513" w:rsidP="00EA5513">
            <w:pPr>
              <w:pStyle w:val="BodyText"/>
            </w:pPr>
            <w:r w:rsidRPr="00EA5513">
              <w:rPr>
                <w:rStyle w:val="SpecialBold"/>
              </w:rPr>
              <w:t>Consisten</w:t>
            </w:r>
            <w:r w:rsidRPr="00EA5513">
              <w:rPr>
                <w:rStyle w:val="SpecialBold"/>
              </w:rPr>
              <w:t>cy in performance</w:t>
            </w:r>
          </w:p>
          <w:p w:rsidR="00000000" w:rsidP="00EA5513">
            <w:pPr>
              <w:pStyle w:val="BodyText"/>
              <w:rPr>
                <w:lang w:val="en-NZ"/>
              </w:rPr>
            </w:pPr>
            <w:r w:rsidRPr="00EA5513">
              <w:t>Competency should be demonstrated by the application of a range of dispute-resolution procedures to different disputes involving various types of industrial instruments and a range of conditions and entitlement issues.</w:t>
            </w:r>
          </w:p>
        </w:tc>
      </w:tr>
      <w:tr w:rsidTr="003328BC">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Context of and spe</w:t>
            </w:r>
            <w:r w:rsidRPr="00EA5513">
              <w:rPr>
                <w:rStyle w:val="SpecialBold"/>
              </w:rPr>
              <w:t>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EA5513" w:rsidP="00EA5513">
            <w:pPr>
              <w:pStyle w:val="BodyText"/>
            </w:pPr>
            <w:r w:rsidRPr="00EA5513">
              <w:t>Assessment must comply with:</w:t>
            </w:r>
          </w:p>
          <w:p w:rsidR="00000000" w:rsidRPr="00EA5513" w:rsidP="00EA5513">
            <w:pPr>
              <w:pStyle w:val="ListBullet2"/>
            </w:pPr>
            <w:r w:rsidRPr="00EA5513">
              <w:t>organisational client management and health and safety procedures</w:t>
            </w:r>
          </w:p>
          <w:p w:rsidR="00000000" w:rsidRPr="00EA5513" w:rsidP="00EA5513">
            <w:pPr>
              <w:pStyle w:val="ListBullet2"/>
            </w:pPr>
            <w:r w:rsidRPr="00EA5513">
              <w:t>applicable regulations and codes</w:t>
            </w:r>
          </w:p>
          <w:p w:rsidR="00000000" w:rsidRPr="00EA5513" w:rsidP="00EA5513">
            <w:pPr>
              <w:pStyle w:val="BodyText"/>
            </w:pPr>
            <w:r w:rsidRPr="00EA5513">
              <w:t>Access may be required to:</w:t>
            </w:r>
          </w:p>
          <w:p w:rsidR="00000000" w:rsidRPr="00EA5513" w:rsidP="00EA5513">
            <w:pPr>
              <w:pStyle w:val="ListBullet2"/>
            </w:pPr>
            <w:r w:rsidRPr="00EA5513">
              <w:t xml:space="preserve">a simulated work environment </w:t>
            </w:r>
          </w:p>
          <w:p w:rsidR="00000000" w:rsidRPr="00EA5513" w:rsidP="00EA5513">
            <w:pPr>
              <w:pStyle w:val="ListBullet2"/>
            </w:pPr>
            <w:r w:rsidRPr="00EA5513">
              <w:t>organisational policies and procedures</w:t>
            </w:r>
          </w:p>
          <w:p w:rsidR="00000000" w:rsidP="00EA5513">
            <w:pPr>
              <w:pStyle w:val="ListBullet2"/>
              <w:rPr>
                <w:lang w:val="en-NZ"/>
              </w:rPr>
            </w:pPr>
            <w:r w:rsidRPr="00EA5513">
              <w:t>workplace relations information</w:t>
            </w:r>
          </w:p>
        </w:tc>
      </w:tr>
      <w:tr w:rsidTr="003328BC">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EA5513" w:rsidP="00EA5513">
            <w:pPr>
              <w:pStyle w:val="BodyText"/>
            </w:pPr>
            <w:r w:rsidRPr="00EA5513">
              <w:t>The following assessment methods are suggested:</w:t>
            </w:r>
          </w:p>
          <w:p w:rsidR="00000000" w:rsidRPr="00EA5513" w:rsidP="00EA5513">
            <w:pPr>
              <w:pStyle w:val="ListBullet2"/>
            </w:pPr>
            <w:r w:rsidRPr="00EA5513">
              <w:t>questioning about types and application of dispute-resolution procedures and the processes involved in each</w:t>
            </w:r>
          </w:p>
          <w:p w:rsidR="00000000" w:rsidRPr="00EA5513" w:rsidP="00EA5513">
            <w:pPr>
              <w:pStyle w:val="ListBullet2"/>
            </w:pPr>
            <w:r w:rsidRPr="00EA5513">
              <w:t>observation of the candidate applying workplace relations dispute-resolution procedures in a variety of contexts</w:t>
            </w:r>
          </w:p>
          <w:p w:rsidR="00000000" w:rsidRPr="00EA5513" w:rsidP="00EA5513">
            <w:pPr>
              <w:pStyle w:val="ListBullet2"/>
            </w:pPr>
            <w:r w:rsidRPr="00EA5513">
              <w:t>feedback from peers and/or supervisor that the candidate consistently applies relevant workplace procedures</w:t>
            </w:r>
          </w:p>
          <w:p w:rsidR="00000000" w:rsidRPr="00EA5513" w:rsidP="00EA5513">
            <w:pPr>
              <w:pStyle w:val="ListBullet2"/>
            </w:pPr>
            <w:r w:rsidRPr="00EA5513">
              <w:t>review of records completed by cand</w:t>
            </w:r>
            <w:r w:rsidRPr="00EA5513">
              <w:t>idate or reports of performance</w:t>
            </w:r>
          </w:p>
          <w:p w:rsidR="00000000" w:rsidRPr="00EA5513" w:rsidP="00EA5513">
            <w:pPr>
              <w:pStyle w:val="BodyText"/>
            </w:pPr>
            <w:r w:rsidRPr="00EA5513">
              <w:t xml:space="preserve">In all cases, practical assessment should be supported by questions to assess underpinning knowledge and those aspects of competency that are difficult to assess directly. Questioning techniques should suit the language and </w:t>
            </w:r>
            <w:r w:rsidRPr="00EA5513">
              <w:t>literacy levels of the candidate.</w:t>
            </w:r>
          </w:p>
        </w:tc>
      </w:tr>
    </w:tbl>
    <w:p w:rsidR="00000000" w:rsidRPr="00EA5513" w:rsidP="00EA5513">
      <w:pPr>
        <w:pStyle w:val="BodyText"/>
      </w:pPr>
    </w:p>
    <w:p w:rsidR="00000000" w:rsidRPr="00EA5513" w:rsidP="00EA5513">
      <w:pPr>
        <w:pStyle w:val="AllowPageBreak"/>
      </w:pPr>
    </w:p>
    <w:p w:rsidR="00000000" w:rsidRPr="00EA5513" w:rsidP="00EA5513">
      <w:pPr>
        <w:pStyle w:val="Heading1"/>
      </w:pPr>
      <w:bookmarkStart w:id="11" w:name="O_496313"/>
      <w:bookmarkEnd w:id="11"/>
      <w:r w:rsidRPr="00EA5513">
        <w:t>Range Statement</w:t>
      </w:r>
    </w:p>
    <w:tbl>
      <w:tblPr>
        <w:tblW w:w="0" w:type="auto"/>
        <w:tblLayout w:type="fixed"/>
        <w:tblCellMar>
          <w:left w:w="62" w:type="dxa"/>
          <w:right w:w="62" w:type="dxa"/>
        </w:tblCellMar>
        <w:tblLook w:val="0000"/>
      </w:tblPr>
      <w:tblGrid>
        <w:gridCol w:w="2574"/>
        <w:gridCol w:w="5948"/>
      </w:tblGrid>
      <w:tr w:rsidTr="003328B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t>The range statement relates to the unit of competency as a whole. It allows for different work environments and situations that may affect performance.</w:t>
            </w:r>
            <w:r w:rsidRPr="00EA5513">
              <w:rPr>
                <w:rStyle w:val="BoldandItalics"/>
              </w:rPr>
              <w:t xml:space="preserve"> Bold italicised</w:t>
            </w:r>
            <w:r w:rsidRPr="00EA5513">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EA5513">
              <w:t>gional contexts) may also be included.</w:t>
            </w:r>
          </w:p>
        </w:tc>
      </w:tr>
      <w:tr w:rsidTr="003328BC">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BoldandItalics"/>
              </w:rPr>
              <w:t>Workplace disputes</w:t>
            </w:r>
            <w:r w:rsidRPr="00EA5513">
              <w:t xml:space="preserve"> may include:</w:t>
            </w:r>
          </w:p>
        </w:tc>
        <w:tc>
          <w:tcPr>
            <w:tcW w:w="5948" w:type="dxa"/>
            <w:tcBorders>
              <w:top w:val="nil"/>
              <w:left w:val="nil"/>
              <w:bottom w:val="nil"/>
              <w:right w:val="nil"/>
            </w:tcBorders>
            <w:tcMar>
              <w:top w:w="0" w:type="dxa"/>
              <w:left w:w="62" w:type="dxa"/>
              <w:bottom w:w="0" w:type="dxa"/>
              <w:right w:w="62" w:type="dxa"/>
            </w:tcMar>
          </w:tcPr>
          <w:p w:rsidR="00000000" w:rsidRPr="00EA5513" w:rsidP="00EA5513">
            <w:pPr>
              <w:pStyle w:val="ListBullet2"/>
            </w:pPr>
            <w:r w:rsidRPr="00EA5513">
              <w:t>any disagreement in industrial relations between relevant stakeholders regarding such things as:</w:t>
            </w:r>
          </w:p>
          <w:p w:rsidR="00000000" w:rsidRPr="00EA5513" w:rsidP="00EA5513">
            <w:pPr>
              <w:pStyle w:val="ListBullet3"/>
            </w:pPr>
            <w:r w:rsidRPr="00EA5513">
              <w:t xml:space="preserve">wages </w:t>
            </w:r>
          </w:p>
          <w:p w:rsidR="00000000" w:rsidRPr="00EA5513" w:rsidP="00EA5513">
            <w:pPr>
              <w:pStyle w:val="ListBullet3"/>
            </w:pPr>
            <w:r w:rsidRPr="00EA5513">
              <w:t>conditions of employment</w:t>
            </w:r>
          </w:p>
          <w:p w:rsidR="00000000" w:rsidRPr="00EA5513" w:rsidP="00EA5513">
            <w:pPr>
              <w:pStyle w:val="ListBullet3"/>
            </w:pPr>
            <w:r w:rsidRPr="00EA5513">
              <w:t>employee entitlements</w:t>
            </w:r>
          </w:p>
          <w:p w:rsidR="00000000" w:rsidRPr="00EA5513" w:rsidP="00EA5513">
            <w:pPr>
              <w:pStyle w:val="ListBullet3"/>
            </w:pPr>
            <w:r w:rsidRPr="00EA5513">
              <w:t>termination of employment</w:t>
            </w:r>
          </w:p>
          <w:p w:rsidR="00000000" w:rsidRPr="00EA5513" w:rsidP="00EA5513">
            <w:pPr>
              <w:pStyle w:val="ListBullet3"/>
            </w:pPr>
            <w:r w:rsidRPr="00EA5513">
              <w:t>industrial action</w:t>
            </w:r>
          </w:p>
          <w:p w:rsidR="00000000" w:rsidRPr="00EA5513" w:rsidP="00EA5513">
            <w:pPr>
              <w:pStyle w:val="ListBullet3"/>
            </w:pPr>
            <w:r w:rsidRPr="00EA5513">
              <w:t xml:space="preserve">enforcement and compliance with workplace laws </w:t>
            </w:r>
          </w:p>
          <w:p w:rsidR="00000000" w:rsidRPr="00EA5513" w:rsidP="00EA5513">
            <w:pPr>
              <w:pStyle w:val="ListBullet3"/>
            </w:pPr>
            <w:r w:rsidRPr="00EA5513">
              <w:t xml:space="preserve">coercion and duress </w:t>
            </w:r>
          </w:p>
          <w:p w:rsidR="00000000" w:rsidP="00EA5513">
            <w:pPr>
              <w:pStyle w:val="ListBullet3"/>
              <w:rPr>
                <w:lang w:val="en-NZ"/>
              </w:rPr>
            </w:pPr>
            <w:r w:rsidRPr="00EA5513">
              <w:t>OHS</w:t>
            </w:r>
          </w:p>
        </w:tc>
      </w:tr>
      <w:tr w:rsidTr="003328BC">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BoldandItalics"/>
              </w:rPr>
              <w:t>Organisational and legislative requirements</w:t>
            </w:r>
            <w:r w:rsidRPr="00EA5513">
              <w:t xml:space="preserve"> may include:</w:t>
            </w:r>
          </w:p>
        </w:tc>
        <w:tc>
          <w:tcPr>
            <w:tcW w:w="5948" w:type="dxa"/>
            <w:tcBorders>
              <w:top w:val="nil"/>
              <w:left w:val="nil"/>
              <w:bottom w:val="nil"/>
              <w:right w:val="nil"/>
            </w:tcBorders>
            <w:tcMar>
              <w:top w:w="0" w:type="dxa"/>
              <w:left w:w="62" w:type="dxa"/>
              <w:bottom w:w="0" w:type="dxa"/>
              <w:right w:w="62" w:type="dxa"/>
            </w:tcMar>
          </w:tcPr>
          <w:p w:rsidR="00000000" w:rsidRPr="00EA5513" w:rsidP="00EA5513">
            <w:pPr>
              <w:pStyle w:val="ListBullet2"/>
            </w:pPr>
            <w:r w:rsidRPr="00EA5513">
              <w:t>OHS procedures</w:t>
            </w:r>
          </w:p>
          <w:p w:rsidR="00000000" w:rsidRPr="00EA5513" w:rsidP="00EA5513">
            <w:pPr>
              <w:pStyle w:val="ListBullet2"/>
            </w:pPr>
            <w:r w:rsidRPr="00EA5513">
              <w:t>dispute-resolution procedures</w:t>
            </w:r>
          </w:p>
          <w:p w:rsidR="00000000" w:rsidRPr="00EA5513" w:rsidP="00EA5513">
            <w:pPr>
              <w:pStyle w:val="ListBullet2"/>
            </w:pPr>
            <w:r w:rsidRPr="00EA5513">
              <w:t xml:space="preserve">legislation, codes and standards relevant to the workplace, such as: </w:t>
            </w:r>
          </w:p>
          <w:p w:rsidR="00000000" w:rsidRPr="00EA5513" w:rsidP="00EA5513">
            <w:pPr>
              <w:pStyle w:val="ListBullet3"/>
            </w:pPr>
            <w:r w:rsidRPr="00EA5513">
              <w:t>Workplace Relations Act 1996</w:t>
            </w:r>
          </w:p>
          <w:p w:rsidR="00000000" w:rsidRPr="00EA5513" w:rsidP="00EA5513">
            <w:pPr>
              <w:pStyle w:val="ListBullet3"/>
            </w:pPr>
            <w:r w:rsidRPr="00EA5513">
              <w:t>workplace relations regulations</w:t>
            </w:r>
          </w:p>
          <w:p w:rsidR="00000000" w:rsidRPr="00EA5513" w:rsidP="00EA5513">
            <w:pPr>
              <w:pStyle w:val="ListBullet3"/>
            </w:pPr>
            <w:r w:rsidRPr="00EA5513">
              <w:t xml:space="preserve">Fair Work Act 2009 </w:t>
            </w:r>
          </w:p>
          <w:p w:rsidR="00000000" w:rsidRPr="00EA5513" w:rsidP="00EA5513">
            <w:pPr>
              <w:pStyle w:val="ListBullet3"/>
            </w:pPr>
            <w:r w:rsidRPr="00EA5513">
              <w:t>Independent Contractors Act 2006</w:t>
            </w:r>
          </w:p>
          <w:p w:rsidR="00000000" w:rsidRPr="00EA5513" w:rsidP="00EA5513">
            <w:pPr>
              <w:pStyle w:val="ListBullet3"/>
            </w:pPr>
            <w:r w:rsidRPr="00EA5513">
              <w:t>other relevant federal, state or territory, and local legislation relat</w:t>
            </w:r>
            <w:r w:rsidRPr="00EA5513">
              <w:t>ing to:</w:t>
            </w:r>
          </w:p>
          <w:p w:rsidR="00000000" w:rsidRPr="00EA5513" w:rsidP="00EA5513">
            <w:pPr>
              <w:pStyle w:val="ListBullet3"/>
            </w:pPr>
            <w:r w:rsidRPr="00EA5513">
              <w:t>OHS</w:t>
            </w:r>
          </w:p>
          <w:p w:rsidR="00000000" w:rsidRPr="00EA5513" w:rsidP="00EA5513">
            <w:pPr>
              <w:pStyle w:val="ListBullet3"/>
            </w:pPr>
            <w:r w:rsidRPr="00EA5513">
              <w:t>human rights and equal employment opportunity</w:t>
            </w:r>
          </w:p>
          <w:p w:rsidR="00000000" w:rsidRPr="00EA5513" w:rsidP="00EA5513">
            <w:pPr>
              <w:pStyle w:val="ListBullet3"/>
            </w:pPr>
            <w:r w:rsidRPr="00EA5513">
              <w:t xml:space="preserve">industrial relations </w:t>
            </w:r>
          </w:p>
          <w:p w:rsidR="00000000" w:rsidRPr="00EA5513" w:rsidP="00EA5513">
            <w:pPr>
              <w:pStyle w:val="ListBullet3"/>
            </w:pPr>
            <w:r w:rsidRPr="00EA5513">
              <w:t>immigration</w:t>
            </w:r>
          </w:p>
          <w:p w:rsidR="00000000" w:rsidRPr="00EA5513" w:rsidP="00EA5513">
            <w:pPr>
              <w:pStyle w:val="ListBullet3"/>
            </w:pPr>
            <w:r w:rsidRPr="00EA5513">
              <w:t>superannuation</w:t>
            </w:r>
          </w:p>
          <w:p w:rsidR="00000000" w:rsidRPr="00EA5513" w:rsidP="00EA5513">
            <w:pPr>
              <w:pStyle w:val="ListBullet3"/>
            </w:pPr>
            <w:r w:rsidRPr="00EA5513">
              <w:t>workers compensation</w:t>
            </w:r>
          </w:p>
          <w:p w:rsidR="00000000" w:rsidRPr="00EA5513" w:rsidP="00EA5513">
            <w:pPr>
              <w:pStyle w:val="ListBullet3"/>
            </w:pPr>
            <w:r w:rsidRPr="00EA5513">
              <w:t xml:space="preserve">long service leave </w:t>
            </w:r>
          </w:p>
          <w:p w:rsidR="00000000" w:rsidRPr="00EA5513" w:rsidP="00EA5513">
            <w:pPr>
              <w:pStyle w:val="ListBullet3"/>
            </w:pPr>
            <w:r w:rsidRPr="00EA5513">
              <w:t>relevant industry codes of practice</w:t>
            </w:r>
          </w:p>
          <w:p w:rsidR="00000000" w:rsidRPr="00EA5513" w:rsidP="00EA5513">
            <w:pPr>
              <w:pStyle w:val="ListBullet3"/>
            </w:pPr>
            <w:r w:rsidRPr="00EA5513">
              <w:t>note: legislation, codes and standards are subject to change and current relevant versions should be researched</w:t>
            </w:r>
          </w:p>
          <w:p w:rsidR="00000000" w:rsidRPr="00EA5513" w:rsidP="00EA5513">
            <w:pPr>
              <w:pStyle w:val="ListBullet2"/>
            </w:pPr>
            <w:r w:rsidRPr="00EA5513">
              <w:t>relevant awards, employment contracts or industrial instruments, such as:</w:t>
            </w:r>
          </w:p>
          <w:p w:rsidR="00000000" w:rsidRPr="00EA5513" w:rsidP="00EA5513">
            <w:pPr>
              <w:pStyle w:val="ListBullet3"/>
            </w:pPr>
            <w:r w:rsidRPr="00EA5513">
              <w:t>employee collective agreement (ECA)</w:t>
            </w:r>
          </w:p>
          <w:p w:rsidR="00000000" w:rsidRPr="00EA5513" w:rsidP="00EA5513">
            <w:pPr>
              <w:pStyle w:val="ListBullet3"/>
            </w:pPr>
            <w:r w:rsidRPr="00EA5513">
              <w:t>union collective agreement (UCA)</w:t>
            </w:r>
          </w:p>
          <w:p w:rsidR="00000000" w:rsidRPr="00EA5513" w:rsidP="00EA5513">
            <w:pPr>
              <w:pStyle w:val="ListBullet3"/>
            </w:pPr>
            <w:r w:rsidRPr="00EA5513">
              <w:t>employee greenfield agreement (EGA)</w:t>
            </w:r>
          </w:p>
          <w:p w:rsidR="00000000" w:rsidRPr="00EA5513" w:rsidP="00EA5513">
            <w:pPr>
              <w:pStyle w:val="ListBullet3"/>
            </w:pPr>
            <w:r w:rsidRPr="00EA5513">
              <w:t xml:space="preserve">union greenfield agreement (UGA) </w:t>
            </w:r>
          </w:p>
          <w:p w:rsidR="00000000" w:rsidRPr="00EA5513" w:rsidP="00EA5513">
            <w:pPr>
              <w:pStyle w:val="ListBullet3"/>
            </w:pPr>
            <w:r w:rsidRPr="00EA5513">
              <w:t>Australian workplace agreement(AWA)</w:t>
            </w:r>
          </w:p>
          <w:p w:rsidR="00000000" w:rsidRPr="00EA5513" w:rsidP="00EA5513">
            <w:pPr>
              <w:pStyle w:val="ListBullet3"/>
            </w:pPr>
            <w:r w:rsidRPr="00EA5513">
              <w:t>individual transitional employment agreement (ITEA)</w:t>
            </w:r>
          </w:p>
          <w:p w:rsidR="00000000" w:rsidRPr="00EA5513" w:rsidP="00EA5513">
            <w:pPr>
              <w:pStyle w:val="ListBullet3"/>
            </w:pPr>
            <w:r w:rsidRPr="00EA5513">
              <w:t>enterprise bargaining agreement (EBAs)</w:t>
            </w:r>
          </w:p>
          <w:p w:rsidR="00000000" w:rsidRPr="00EA5513" w:rsidP="00EA5513">
            <w:pPr>
              <w:pStyle w:val="ListBullet3"/>
            </w:pPr>
            <w:r w:rsidRPr="00EA5513">
              <w:t>enterprise agreement</w:t>
            </w:r>
          </w:p>
          <w:p w:rsidR="00000000" w:rsidRPr="00EA5513" w:rsidP="00EA5513">
            <w:pPr>
              <w:pStyle w:val="ListBullet3"/>
            </w:pPr>
            <w:r w:rsidRPr="00EA5513">
              <w:t>single enterprise agreement</w:t>
            </w:r>
          </w:p>
          <w:p w:rsidR="00000000" w:rsidRPr="00EA5513" w:rsidP="00EA5513">
            <w:pPr>
              <w:pStyle w:val="ListBullet3"/>
            </w:pPr>
            <w:r w:rsidRPr="00EA5513">
              <w:t>multi enterprise agreement</w:t>
            </w:r>
          </w:p>
          <w:p w:rsidR="00000000" w:rsidRPr="00EA5513" w:rsidP="00EA5513">
            <w:pPr>
              <w:pStyle w:val="ListBullet3"/>
            </w:pPr>
            <w:r w:rsidRPr="00EA5513">
              <w:t>notional agreement preserving state award (NAPSA)</w:t>
            </w:r>
          </w:p>
          <w:p w:rsidR="00000000" w:rsidRPr="00EA5513" w:rsidP="00EA5513">
            <w:pPr>
              <w:pStyle w:val="ListBullet3"/>
            </w:pPr>
            <w:r w:rsidRPr="00EA5513">
              <w:t>preserved state agreement (PSA)</w:t>
            </w:r>
          </w:p>
          <w:p w:rsidR="00000000" w:rsidRPr="00EA5513" w:rsidP="00EA5513">
            <w:pPr>
              <w:pStyle w:val="ListBullet3"/>
            </w:pPr>
            <w:r w:rsidRPr="00EA5513">
              <w:t xml:space="preserve">common law contract (CLC) </w:t>
            </w:r>
          </w:p>
          <w:p w:rsidR="00000000" w:rsidRPr="00EA5513" w:rsidP="00EA5513">
            <w:pPr>
              <w:pStyle w:val="ListBullet3"/>
            </w:pPr>
            <w:r w:rsidRPr="00EA5513">
              <w:t>federal award</w:t>
            </w:r>
          </w:p>
          <w:p w:rsidR="00000000" w:rsidRPr="00EA5513" w:rsidP="00EA5513">
            <w:pPr>
              <w:pStyle w:val="ListBullet3"/>
            </w:pPr>
            <w:r w:rsidRPr="00EA5513">
              <w:t>state award</w:t>
            </w:r>
          </w:p>
          <w:p w:rsidR="00000000" w:rsidP="00EA5513">
            <w:pPr>
              <w:pStyle w:val="ListBullet3"/>
              <w:rPr>
                <w:lang w:val="en-NZ"/>
              </w:rPr>
            </w:pPr>
            <w:r w:rsidRPr="00EA5513">
              <w:t>contract for award-free employees</w:t>
            </w:r>
          </w:p>
        </w:tc>
      </w:tr>
      <w:tr w:rsidTr="003328BC">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BoldandItalics"/>
              </w:rPr>
              <w:t>Dispute</w:t>
            </w:r>
            <w:r w:rsidRPr="00EA5513">
              <w:t>-</w:t>
            </w:r>
            <w:r w:rsidRPr="00EA5513">
              <w:rPr>
                <w:rStyle w:val="BoldandItalics"/>
              </w:rPr>
              <w:t>resolution procedures</w:t>
            </w:r>
            <w:r w:rsidRPr="00EA5513">
              <w:t xml:space="preserve"> may include:</w:t>
            </w:r>
          </w:p>
        </w:tc>
        <w:tc>
          <w:tcPr>
            <w:tcW w:w="5948" w:type="dxa"/>
            <w:tcBorders>
              <w:top w:val="nil"/>
              <w:left w:val="nil"/>
              <w:bottom w:val="nil"/>
              <w:right w:val="nil"/>
            </w:tcBorders>
            <w:tcMar>
              <w:top w:w="0" w:type="dxa"/>
              <w:left w:w="62" w:type="dxa"/>
              <w:bottom w:w="0" w:type="dxa"/>
              <w:right w:w="62" w:type="dxa"/>
            </w:tcMar>
          </w:tcPr>
          <w:p w:rsidR="00000000" w:rsidRPr="00EA5513" w:rsidP="00EA5513">
            <w:pPr>
              <w:pStyle w:val="ListBullet2"/>
            </w:pPr>
            <w:r w:rsidRPr="00EA5513">
              <w:t>conferencing</w:t>
            </w:r>
          </w:p>
          <w:p w:rsidR="00000000" w:rsidRPr="00EA5513" w:rsidP="00EA5513">
            <w:pPr>
              <w:pStyle w:val="ListBullet2"/>
            </w:pPr>
            <w:r w:rsidRPr="00EA5513">
              <w:t xml:space="preserve">mediation </w:t>
            </w:r>
          </w:p>
          <w:p w:rsidR="00000000" w:rsidRPr="00EA5513" w:rsidP="00EA5513">
            <w:pPr>
              <w:pStyle w:val="ListBullet2"/>
            </w:pPr>
            <w:r w:rsidRPr="00EA5513">
              <w:t xml:space="preserve">assisted negotiation </w:t>
            </w:r>
          </w:p>
          <w:p w:rsidR="00000000" w:rsidRPr="00EA5513" w:rsidP="00EA5513">
            <w:pPr>
              <w:pStyle w:val="ListBullet2"/>
            </w:pPr>
            <w:r w:rsidRPr="00EA5513">
              <w:t>assisted voluntary resolution (AVR)</w:t>
            </w:r>
          </w:p>
          <w:p w:rsidR="00000000" w:rsidRPr="00EA5513" w:rsidP="00EA5513">
            <w:pPr>
              <w:pStyle w:val="ListBullet2"/>
            </w:pPr>
            <w:r w:rsidRPr="00EA5513">
              <w:t>neutral evaluation</w:t>
            </w:r>
          </w:p>
          <w:p w:rsidR="00000000" w:rsidRPr="00EA5513" w:rsidP="00EA5513">
            <w:pPr>
              <w:pStyle w:val="ListBullet2"/>
            </w:pPr>
            <w:r w:rsidRPr="00EA5513">
              <w:t xml:space="preserve">case appraisal </w:t>
            </w:r>
          </w:p>
          <w:p w:rsidR="00000000" w:rsidRPr="00EA5513" w:rsidP="00EA5513">
            <w:pPr>
              <w:pStyle w:val="ListBullet2"/>
            </w:pPr>
            <w:r w:rsidRPr="00EA5513">
              <w:t>conciliation</w:t>
            </w:r>
          </w:p>
          <w:p w:rsidR="00000000" w:rsidRPr="00EA5513" w:rsidP="00EA5513">
            <w:pPr>
              <w:pStyle w:val="ListBullet2"/>
            </w:pPr>
            <w:r w:rsidRPr="00EA5513">
              <w:t>arbitration</w:t>
            </w:r>
          </w:p>
          <w:p w:rsidR="00000000" w:rsidP="00EA5513">
            <w:pPr>
              <w:pStyle w:val="ListBullet2"/>
              <w:rPr>
                <w:lang w:val="en-NZ"/>
              </w:rPr>
            </w:pPr>
            <w:r w:rsidRPr="00EA5513">
              <w:t>services or procedures specified in the regulations</w:t>
            </w:r>
          </w:p>
        </w:tc>
      </w:tr>
      <w:tr w:rsidTr="003328BC">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EA5513">
            <w:pPr>
              <w:pStyle w:val="BodyText"/>
              <w:rPr>
                <w:lang w:val="en-NZ"/>
              </w:rPr>
            </w:pPr>
            <w:r w:rsidRPr="00EA5513">
              <w:rPr>
                <w:rStyle w:val="BoldandItalics"/>
              </w:rPr>
              <w:t>Communication strategies</w:t>
            </w:r>
            <w:r w:rsidRPr="00EA5513">
              <w:t xml:space="preserve"> may include:</w:t>
            </w:r>
          </w:p>
        </w:tc>
        <w:tc>
          <w:tcPr>
            <w:tcW w:w="5948" w:type="dxa"/>
            <w:tcBorders>
              <w:top w:val="nil"/>
              <w:left w:val="nil"/>
              <w:bottom w:val="nil"/>
              <w:right w:val="nil"/>
            </w:tcBorders>
            <w:tcMar>
              <w:top w:w="0" w:type="dxa"/>
              <w:left w:w="62" w:type="dxa"/>
              <w:bottom w:w="0" w:type="dxa"/>
              <w:right w:w="62" w:type="dxa"/>
            </w:tcMar>
          </w:tcPr>
          <w:p w:rsidR="00000000" w:rsidRPr="00EA5513" w:rsidP="00EA5513">
            <w:pPr>
              <w:pStyle w:val="ListBullet2"/>
            </w:pPr>
            <w:r w:rsidRPr="00EA5513">
              <w:t>active listening</w:t>
            </w:r>
          </w:p>
          <w:p w:rsidR="00000000" w:rsidRPr="00EA5513" w:rsidP="00EA5513">
            <w:pPr>
              <w:pStyle w:val="ListBullet2"/>
            </w:pPr>
            <w:r w:rsidRPr="00EA5513">
              <w:t>negotiating</w:t>
            </w:r>
          </w:p>
          <w:p w:rsidR="00000000" w:rsidRPr="00EA5513" w:rsidP="00EA5513">
            <w:pPr>
              <w:pStyle w:val="ListBullet2"/>
            </w:pPr>
            <w:r w:rsidRPr="00EA5513">
              <w:t>dealin</w:t>
            </w:r>
            <w:r w:rsidRPr="00EA5513">
              <w:t>g with conflicting information</w:t>
            </w:r>
          </w:p>
          <w:p w:rsidR="00000000" w:rsidRPr="00EA5513" w:rsidP="00EA5513">
            <w:pPr>
              <w:pStyle w:val="ListBullet2"/>
            </w:pPr>
            <w:r w:rsidRPr="00EA5513">
              <w:t xml:space="preserve">paraphrasing </w:t>
            </w:r>
          </w:p>
          <w:p w:rsidR="00000000" w:rsidRPr="00EA5513" w:rsidP="00EA5513">
            <w:pPr>
              <w:pStyle w:val="ListBullet2"/>
            </w:pPr>
            <w:r w:rsidRPr="00EA5513">
              <w:t>questioning skills</w:t>
            </w:r>
          </w:p>
          <w:p w:rsidR="00000000" w:rsidRPr="00EA5513" w:rsidP="00EA5513">
            <w:pPr>
              <w:pStyle w:val="ListBullet2"/>
            </w:pPr>
            <w:r w:rsidRPr="00EA5513">
              <w:t>adapting communication style to suit audience</w:t>
            </w:r>
          </w:p>
          <w:p w:rsidR="00000000" w:rsidRPr="00EA5513" w:rsidP="00EA5513">
            <w:pPr>
              <w:pStyle w:val="ListBullet2"/>
            </w:pPr>
            <w:r w:rsidRPr="00EA5513">
              <w:t>substituting technical jargon with plain English</w:t>
            </w:r>
          </w:p>
          <w:p w:rsidR="00000000" w:rsidRPr="00EA5513" w:rsidP="00EA5513">
            <w:pPr>
              <w:pStyle w:val="ListBullet2"/>
            </w:pPr>
            <w:r w:rsidRPr="00EA5513">
              <w:t>assertive communication</w:t>
            </w:r>
          </w:p>
          <w:p w:rsidR="00000000" w:rsidRPr="00EA5513" w:rsidP="00EA5513">
            <w:pPr>
              <w:pStyle w:val="ListBullet2"/>
            </w:pPr>
            <w:r w:rsidRPr="00EA5513">
              <w:t>using conflict resolution strategies</w:t>
            </w:r>
          </w:p>
        </w:tc>
      </w:tr>
    </w:tbl>
    <w:p w:rsidR="003328BC" w:rsidP="00EA5513">
      <w:pPr>
        <w:pStyle w:val="BodyText"/>
      </w:pPr>
    </w:p>
    <w:p w:rsidR="003328BC" w:rsidP="00EA5513">
      <w:pPr>
        <w:pStyle w:val="BodyText"/>
      </w:pPr>
    </w:p>
    <w:p w:rsidR="00000000" w:rsidRPr="00EA5513" w:rsidP="00EA5513">
      <w:pPr>
        <w:pStyle w:val="Heading1"/>
      </w:pPr>
      <w:bookmarkStart w:id="12" w:name="O_496317"/>
      <w:bookmarkEnd w:id="12"/>
      <w:r w:rsidRPr="00EA5513">
        <w:t>Unit Sector(s)</w:t>
      </w:r>
    </w:p>
    <w:p w:rsidR="00000000" w:rsidRPr="00EA5513" w:rsidP="00EA5513">
      <w:pPr>
        <w:pStyle w:val="BodyText"/>
      </w:pPr>
      <w:r w:rsidRPr="00EA5513">
        <w:t>Not applicable.</w:t>
      </w:r>
    </w:p>
    <w:p w:rsidR="00000000" w:rsidRPr="00EA5513" w:rsidP="00EA5513">
      <w:pPr>
        <w:pStyle w:val="AllowPageBreak"/>
      </w:pPr>
    </w:p>
    <w:p w:rsidR="00000000" w:rsidRPr="00EA5513" w:rsidP="00EA5513">
      <w:pPr>
        <w:pStyle w:val="Heading1"/>
      </w:pPr>
      <w:bookmarkStart w:id="13" w:name="O_496324"/>
      <w:bookmarkEnd w:id="13"/>
      <w:r w:rsidRPr="00EA5513">
        <w:t>Competency field</w:t>
      </w:r>
    </w:p>
    <w:p w:rsidR="00000000" w:rsidRPr="00EA5513" w:rsidP="00EA5513">
      <w:pPr>
        <w:pStyle w:val="BodyText"/>
      </w:pPr>
      <w:r w:rsidRPr="00EA5513">
        <w:t>Workplace Relations.</w:t>
      </w:r>
    </w:p>
    <w:p w:rsidR="00000000" w:rsidRPr="00EA5513" w:rsidP="00EA5513"/>
    <w:sectPr w:rsidSect="00EA55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8BC" w:rsidP="003328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BC" w:rsidP="00EA55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28BC" w:rsidP="00EA55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28BC" w:rsidP="00EA55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13" w:rsidRPr="003328BC" w:rsidP="003328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BC" w:rsidRPr="002D2AF8" w:rsidP="00EA5513">
    <w:pPr>
      <w:pStyle w:val="Header"/>
      <w:framePr w:wrap="around"/>
    </w:pPr>
    <w:r>
      <w:fldChar w:fldCharType="begin"/>
    </w:r>
    <w:r>
      <w:instrText xml:space="preserve"> TITLE   \* MERGEFORMAT </w:instrText>
    </w:r>
    <w:r>
      <w:fldChar w:fldCharType="separate"/>
    </w:r>
    <w:r>
      <w:t>PSPWPR503A Apply workplace relations dispute-resolution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328BC" w:rsidP="00EA5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701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C80E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513"/>
    <w:pPr>
      <w:spacing w:before="360" w:after="60"/>
      <w:outlineLvl w:val="0"/>
    </w:pPr>
    <w:rPr>
      <w:sz w:val="32"/>
    </w:rPr>
  </w:style>
  <w:style w:type="paragraph" w:styleId="Heading2">
    <w:name w:val="heading 2"/>
    <w:basedOn w:val="HeadingBase"/>
    <w:next w:val="BodyText"/>
    <w:link w:val="Heading2Char"/>
    <w:qFormat/>
    <w:rsid w:val="00EA5513"/>
    <w:pPr>
      <w:keepLines/>
      <w:spacing w:before="240" w:after="120"/>
      <w:outlineLvl w:val="1"/>
    </w:pPr>
    <w:rPr>
      <w:sz w:val="28"/>
      <w:szCs w:val="40"/>
    </w:rPr>
  </w:style>
  <w:style w:type="paragraph" w:styleId="Heading3">
    <w:name w:val="heading 3"/>
    <w:basedOn w:val="HeadingBase"/>
    <w:next w:val="BodyText"/>
    <w:link w:val="Heading3Char"/>
    <w:qFormat/>
    <w:rsid w:val="00EA5513"/>
    <w:pPr>
      <w:spacing w:before="180" w:after="120"/>
      <w:outlineLvl w:val="2"/>
    </w:pPr>
    <w:rPr>
      <w:spacing w:val="-10"/>
      <w:kern w:val="32"/>
    </w:rPr>
  </w:style>
  <w:style w:type="paragraph" w:styleId="Heading4">
    <w:name w:val="heading 4"/>
    <w:basedOn w:val="HeadingBase"/>
    <w:next w:val="BodyText"/>
    <w:link w:val="Heading4Char"/>
    <w:qFormat/>
    <w:rsid w:val="00EA5513"/>
    <w:pPr>
      <w:spacing w:before="160" w:after="120"/>
      <w:outlineLvl w:val="3"/>
    </w:pPr>
    <w:rPr>
      <w:sz w:val="22"/>
    </w:rPr>
  </w:style>
  <w:style w:type="paragraph" w:styleId="Heading5">
    <w:name w:val="heading 5"/>
    <w:basedOn w:val="HeadingBase"/>
    <w:next w:val="Normal"/>
    <w:link w:val="Heading5Char"/>
    <w:qFormat/>
    <w:rsid w:val="00EA5513"/>
    <w:pPr>
      <w:spacing w:before="80"/>
      <w:outlineLvl w:val="4"/>
    </w:pPr>
    <w:rPr>
      <w:color w:val="918585"/>
      <w:sz w:val="20"/>
    </w:rPr>
  </w:style>
  <w:style w:type="paragraph" w:styleId="Heading6">
    <w:name w:val="heading 6"/>
    <w:basedOn w:val="HeadingBase"/>
    <w:next w:val="Normal"/>
    <w:link w:val="Heading6Char"/>
    <w:qFormat/>
    <w:rsid w:val="00EA5513"/>
    <w:pPr>
      <w:spacing w:before="60"/>
      <w:outlineLvl w:val="5"/>
    </w:pPr>
    <w:rPr>
      <w:color w:val="918585"/>
      <w:sz w:val="20"/>
    </w:rPr>
  </w:style>
  <w:style w:type="paragraph" w:styleId="Heading7">
    <w:name w:val="heading 7"/>
    <w:basedOn w:val="Normal"/>
    <w:next w:val="Normal"/>
    <w:link w:val="Heading7Char"/>
    <w:qFormat/>
    <w:rsid w:val="00EA5513"/>
    <w:pPr>
      <w:ind w:left="720"/>
      <w:outlineLvl w:val="6"/>
    </w:pPr>
    <w:rPr>
      <w:i/>
    </w:rPr>
  </w:style>
  <w:style w:type="paragraph" w:styleId="Heading8">
    <w:name w:val="heading 8"/>
    <w:basedOn w:val="Normal"/>
    <w:next w:val="Normal"/>
    <w:link w:val="Heading8Char"/>
    <w:qFormat/>
    <w:rsid w:val="00EA5513"/>
    <w:pPr>
      <w:ind w:left="720"/>
      <w:outlineLvl w:val="7"/>
    </w:pPr>
    <w:rPr>
      <w:i/>
    </w:rPr>
  </w:style>
  <w:style w:type="paragraph" w:styleId="Heading9">
    <w:name w:val="heading 9"/>
    <w:basedOn w:val="Normal"/>
    <w:next w:val="Normal"/>
    <w:link w:val="Heading9Char"/>
    <w:qFormat/>
    <w:rsid w:val="00EA5513"/>
    <w:pPr>
      <w:ind w:left="720"/>
      <w:outlineLvl w:val="8"/>
    </w:pPr>
    <w:rPr>
      <w:i/>
    </w:rPr>
  </w:style>
  <w:style w:type="character" w:default="1" w:styleId="DefaultParagraphFont">
    <w:name w:val="Default Paragraph Font"/>
    <w:uiPriority w:val="1"/>
    <w:unhideWhenUsed/>
    <w:rsid w:val="00EA5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513"/>
  </w:style>
  <w:style w:type="character" w:customStyle="1" w:styleId="Heading1Char">
    <w:name w:val="Heading 1 Char"/>
    <w:basedOn w:val="DefaultParagraphFont"/>
    <w:link w:val="Heading1"/>
    <w:rsid w:val="00EA5513"/>
    <w:rPr>
      <w:rFonts w:ascii="Times New Roman" w:eastAsia="Times New Roman" w:hAnsi="Times New Roman" w:cs="Times New Roman"/>
      <w:b/>
      <w:sz w:val="32"/>
      <w:szCs w:val="20"/>
      <w:lang w:eastAsia="en-US"/>
    </w:rPr>
  </w:style>
  <w:style w:type="paragraph" w:styleId="BodyText">
    <w:name w:val="Body Text"/>
    <w:basedOn w:val="Normal"/>
    <w:link w:val="BodyTextChar"/>
    <w:rsid w:val="00EA55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513"/>
    <w:rPr>
      <w:rFonts w:ascii="Times New Roman" w:eastAsia="Times New Roman" w:hAnsi="Times New Roman" w:cs="Times New Roman"/>
      <w:sz w:val="24"/>
      <w:lang w:eastAsia="en-US"/>
    </w:rPr>
  </w:style>
  <w:style w:type="paragraph" w:styleId="Footer">
    <w:name w:val="footer"/>
    <w:basedOn w:val="Normal"/>
    <w:link w:val="FooterChar"/>
    <w:rsid w:val="00EA5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513"/>
    <w:rPr>
      <w:rFonts w:ascii="Times New Roman" w:eastAsia="Times New Roman" w:hAnsi="Times New Roman" w:cs="Times New Roman"/>
      <w:sz w:val="16"/>
      <w:lang w:eastAsia="en-US"/>
    </w:rPr>
  </w:style>
  <w:style w:type="paragraph" w:styleId="List">
    <w:name w:val="List"/>
    <w:basedOn w:val="BodyText"/>
    <w:next w:val="BodyText"/>
    <w:rsid w:val="00EA5513"/>
    <w:pPr>
      <w:tabs>
        <w:tab w:val="left" w:pos="340"/>
      </w:tabs>
      <w:spacing w:before="60" w:after="60"/>
      <w:ind w:left="340" w:hanging="340"/>
    </w:pPr>
  </w:style>
  <w:style w:type="character" w:customStyle="1" w:styleId="SpecialBold">
    <w:name w:val="Special Bold"/>
    <w:basedOn w:val="DefaultParagraphFont"/>
    <w:rsid w:val="00EA5513"/>
    <w:rPr>
      <w:b/>
      <w:spacing w:val="0"/>
    </w:rPr>
  </w:style>
  <w:style w:type="paragraph" w:styleId="ListBullet2">
    <w:name w:val="List Bullet 2"/>
    <w:basedOn w:val="List2"/>
    <w:rsid w:val="00EA5513"/>
    <w:pPr>
      <w:numPr>
        <w:numId w:val="14"/>
      </w:numPr>
      <w:tabs>
        <w:tab w:val="clear" w:pos="680"/>
      </w:tabs>
    </w:pPr>
  </w:style>
  <w:style w:type="paragraph" w:customStyle="1" w:styleId="SuperHeading">
    <w:name w:val="SuperHeading"/>
    <w:basedOn w:val="Normal"/>
    <w:rsid w:val="00EA5513"/>
    <w:pPr>
      <w:spacing w:before="240" w:after="120"/>
      <w:outlineLvl w:val="0"/>
    </w:pPr>
    <w:rPr>
      <w:rFonts w:ascii="Times New Roman" w:hAnsi="Times New Roman"/>
      <w:b/>
      <w:sz w:val="28"/>
    </w:rPr>
  </w:style>
  <w:style w:type="paragraph" w:customStyle="1" w:styleId="AllowPageBreak">
    <w:name w:val="AllowPageBreak"/>
    <w:rsid w:val="00EA55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5513"/>
    <w:pPr>
      <w:numPr>
        <w:numId w:val="2"/>
      </w:numPr>
      <w:tabs>
        <w:tab w:val="clear" w:pos="1021"/>
      </w:tabs>
      <w:ind w:left="1037" w:hanging="357"/>
    </w:pPr>
  </w:style>
  <w:style w:type="character" w:customStyle="1" w:styleId="BoldandItalics">
    <w:name w:val="Bold and Italics"/>
    <w:qFormat/>
    <w:rsid w:val="00EA5513"/>
    <w:rPr>
      <w:b/>
      <w:i/>
      <w:u w:val="none"/>
    </w:rPr>
  </w:style>
  <w:style w:type="character" w:customStyle="1" w:styleId="Heading2Char">
    <w:name w:val="Heading 2 Char"/>
    <w:basedOn w:val="DefaultParagraphFont"/>
    <w:link w:val="Heading2"/>
    <w:rsid w:val="00EA5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513"/>
    <w:rPr>
      <w:rFonts w:ascii="Courier New" w:eastAsia="Times New Roman" w:hAnsi="Courier New" w:cs="Times New Roman"/>
      <w:i/>
      <w:szCs w:val="20"/>
      <w:lang w:eastAsia="en-US"/>
    </w:rPr>
  </w:style>
  <w:style w:type="paragraph" w:customStyle="1" w:styleId="HeadingBase">
    <w:name w:val="Heading Base"/>
    <w:rsid w:val="00EA5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513"/>
    <w:pPr>
      <w:tabs>
        <w:tab w:val="right" w:leader="dot" w:pos="9072"/>
      </w:tabs>
      <w:ind w:left="567"/>
    </w:pPr>
    <w:rPr>
      <w:szCs w:val="22"/>
    </w:rPr>
  </w:style>
  <w:style w:type="paragraph" w:customStyle="1" w:styleId="TOCBase">
    <w:name w:val="TOC Base"/>
    <w:rsid w:val="00EA5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513"/>
    <w:pPr>
      <w:tabs>
        <w:tab w:val="right" w:leader="dot" w:pos="9072"/>
      </w:tabs>
      <w:spacing w:before="40" w:after="40"/>
      <w:ind w:left="284"/>
    </w:pPr>
    <w:rPr>
      <w:rFonts w:ascii="Times New Roman" w:hAnsi="Times New Roman"/>
    </w:rPr>
  </w:style>
  <w:style w:type="paragraph" w:styleId="TOC1">
    <w:name w:val="toc 1"/>
    <w:basedOn w:val="TOCBase"/>
    <w:next w:val="Normal"/>
    <w:rsid w:val="00EA55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513"/>
    <w:pPr>
      <w:spacing w:before="5040"/>
      <w:jc w:val="center"/>
    </w:pPr>
    <w:rPr>
      <w:sz w:val="48"/>
      <w:szCs w:val="72"/>
      <w:lang w:val="en-US"/>
    </w:rPr>
  </w:style>
  <w:style w:type="character" w:customStyle="1" w:styleId="TitleChar">
    <w:name w:val="Title Char"/>
    <w:basedOn w:val="DefaultParagraphFont"/>
    <w:link w:val="Title"/>
    <w:rsid w:val="00EA5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513"/>
    <w:pPr>
      <w:tabs>
        <w:tab w:val="left" w:pos="3600"/>
        <w:tab w:val="left" w:pos="3958"/>
      </w:tabs>
    </w:pPr>
  </w:style>
  <w:style w:type="paragraph" w:styleId="ListBullet">
    <w:name w:val="List Bullet"/>
    <w:basedOn w:val="List"/>
    <w:rsid w:val="00EA5513"/>
    <w:pPr>
      <w:numPr>
        <w:numId w:val="13"/>
      </w:numPr>
      <w:tabs>
        <w:tab w:val="clear" w:pos="340"/>
      </w:tabs>
      <w:spacing w:before="40" w:after="40"/>
    </w:pPr>
  </w:style>
  <w:style w:type="paragraph" w:customStyle="1" w:styleId="Note">
    <w:name w:val="Note"/>
    <w:basedOn w:val="BodyText"/>
    <w:rsid w:val="00EA5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513"/>
    <w:pPr>
      <w:framePr w:wrap="auto" w:hAnchor="text" w:y="6049"/>
    </w:pPr>
    <w:rPr>
      <w:color w:val="000000"/>
      <w:sz w:val="40"/>
    </w:rPr>
  </w:style>
  <w:style w:type="paragraph" w:customStyle="1" w:styleId="TOCTitle">
    <w:name w:val="TOCTitle"/>
    <w:basedOn w:val="Heading1"/>
    <w:rsid w:val="00EA5513"/>
    <w:pPr>
      <w:spacing w:after="240"/>
      <w:jc w:val="center"/>
      <w:outlineLvl w:val="9"/>
    </w:pPr>
    <w:rPr>
      <w:caps/>
    </w:rPr>
  </w:style>
  <w:style w:type="paragraph" w:customStyle="1" w:styleId="Version">
    <w:name w:val="Version"/>
    <w:rsid w:val="00EA5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513"/>
    <w:pPr>
      <w:keepNext w:val="0"/>
      <w:tabs>
        <w:tab w:val="right" w:pos="4176"/>
      </w:tabs>
      <w:ind w:left="198" w:hanging="198"/>
    </w:pPr>
    <w:rPr>
      <w:rFonts w:ascii="Garamond" w:hAnsi="Garamond"/>
    </w:rPr>
  </w:style>
  <w:style w:type="paragraph" w:styleId="IndexHeading">
    <w:name w:val="index heading"/>
    <w:basedOn w:val="Normal"/>
    <w:next w:val="Index1"/>
    <w:semiHidden/>
    <w:rsid w:val="00EA5513"/>
    <w:pPr>
      <w:spacing w:before="120" w:after="120"/>
    </w:pPr>
    <w:rPr>
      <w:rFonts w:ascii="Arial" w:hAnsi="Arial"/>
      <w:b/>
      <w:color w:val="918585"/>
      <w:sz w:val="24"/>
    </w:rPr>
  </w:style>
  <w:style w:type="paragraph" w:styleId="Header">
    <w:name w:val="header"/>
    <w:basedOn w:val="Normal"/>
    <w:link w:val="HeaderChar"/>
    <w:rsid w:val="00EA5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513"/>
    <w:rPr>
      <w:rFonts w:ascii="Times New Roman" w:eastAsia="Times New Roman" w:hAnsi="Times New Roman" w:cs="Times New Roman"/>
      <w:sz w:val="16"/>
      <w:szCs w:val="20"/>
      <w:lang w:val="en-GB" w:eastAsia="en-US"/>
    </w:rPr>
  </w:style>
  <w:style w:type="paragraph" w:customStyle="1" w:styleId="Chapter">
    <w:name w:val="Chapter"/>
    <w:basedOn w:val="Normal"/>
    <w:rsid w:val="00EA5513"/>
    <w:pPr>
      <w:spacing w:before="240"/>
    </w:pPr>
    <w:rPr>
      <w:rFonts w:ascii="Times New Roman" w:hAnsi="Times New Roman"/>
      <w:smallCaps/>
      <w:spacing w:val="80"/>
      <w:sz w:val="28"/>
    </w:rPr>
  </w:style>
  <w:style w:type="paragraph" w:customStyle="1" w:styleId="InChapter">
    <w:name w:val="InChapter"/>
    <w:basedOn w:val="Heading3"/>
    <w:rsid w:val="00EA5513"/>
    <w:pPr>
      <w:spacing w:after="240"/>
      <w:outlineLvl w:val="9"/>
    </w:pPr>
    <w:rPr>
      <w:noProof/>
    </w:rPr>
  </w:style>
  <w:style w:type="paragraph" w:styleId="Index2">
    <w:name w:val="index 2"/>
    <w:basedOn w:val="Normal"/>
    <w:next w:val="Normal"/>
    <w:semiHidden/>
    <w:rsid w:val="00EA5513"/>
    <w:pPr>
      <w:tabs>
        <w:tab w:val="right" w:pos="4176"/>
      </w:tabs>
      <w:ind w:left="568" w:hanging="284"/>
    </w:pPr>
    <w:rPr>
      <w:rFonts w:ascii="Garamond" w:hAnsi="Garamond"/>
    </w:rPr>
  </w:style>
  <w:style w:type="paragraph" w:customStyle="1" w:styleId="Byline">
    <w:name w:val="Byline"/>
    <w:rsid w:val="00EA5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513"/>
    <w:pPr>
      <w:tabs>
        <w:tab w:val="clear" w:pos="3600"/>
        <w:tab w:val="clear" w:pos="3958"/>
      </w:tabs>
      <w:jc w:val="right"/>
    </w:pPr>
  </w:style>
  <w:style w:type="character" w:styleId="Emphasis">
    <w:name w:val="Emphasis"/>
    <w:basedOn w:val="DefaultParagraphFont"/>
    <w:qFormat/>
    <w:rsid w:val="00EA5513"/>
    <w:rPr>
      <w:i/>
    </w:rPr>
  </w:style>
  <w:style w:type="paragraph" w:styleId="Caption">
    <w:name w:val="caption"/>
    <w:basedOn w:val="BodyText"/>
    <w:next w:val="Normal"/>
    <w:qFormat/>
    <w:rsid w:val="00EA5513"/>
    <w:pPr>
      <w:framePr w:w="2268" w:hSpace="181" w:vSpace="181" w:wrap="around" w:vAnchor="text" w:hAnchor="page" w:x="1135" w:y="285" w:anchorLock="1"/>
    </w:pPr>
    <w:rPr>
      <w:i/>
    </w:rPr>
  </w:style>
  <w:style w:type="paragraph" w:customStyle="1" w:styleId="MiniTOCTitle">
    <w:name w:val="MiniTOCTitle"/>
    <w:basedOn w:val="Heading4"/>
    <w:rsid w:val="00EA5513"/>
    <w:pPr>
      <w:spacing w:before="240"/>
      <w:outlineLvl w:val="9"/>
    </w:pPr>
    <w:rPr>
      <w:noProof/>
      <w:sz w:val="24"/>
    </w:rPr>
  </w:style>
  <w:style w:type="paragraph" w:customStyle="1" w:styleId="MiniTOCItem">
    <w:name w:val="MiniTOCItem"/>
    <w:basedOn w:val="ListBullet"/>
    <w:rsid w:val="00EA5513"/>
    <w:pPr>
      <w:numPr>
        <w:numId w:val="0"/>
      </w:numPr>
      <w:tabs>
        <w:tab w:val="right" w:leader="dot" w:pos="6521"/>
      </w:tabs>
      <w:spacing w:before="0" w:after="0"/>
    </w:pPr>
  </w:style>
  <w:style w:type="paragraph" w:customStyle="1" w:styleId="TOFTitle">
    <w:name w:val="TOFTitle"/>
    <w:basedOn w:val="TOCTitle"/>
    <w:rsid w:val="00EA5513"/>
  </w:style>
  <w:style w:type="paragraph" w:styleId="TableofFigures">
    <w:name w:val="table of figures"/>
    <w:basedOn w:val="Normal"/>
    <w:next w:val="Normal"/>
    <w:semiHidden/>
    <w:rsid w:val="00EA5513"/>
    <w:pPr>
      <w:tabs>
        <w:tab w:val="right" w:leader="dot" w:pos="9072"/>
      </w:tabs>
      <w:ind w:left="970" w:hanging="403"/>
    </w:pPr>
    <w:rPr>
      <w:rFonts w:ascii="Times New Roman" w:hAnsi="Times New Roman"/>
      <w:b/>
    </w:rPr>
  </w:style>
  <w:style w:type="paragraph" w:styleId="ListNumber">
    <w:name w:val="List Number"/>
    <w:basedOn w:val="List"/>
    <w:rsid w:val="00EA5513"/>
    <w:pPr>
      <w:numPr>
        <w:numId w:val="11"/>
      </w:numPr>
    </w:pPr>
  </w:style>
  <w:style w:type="character" w:customStyle="1" w:styleId="WingdingSymbols">
    <w:name w:val="Wingding Symbols"/>
    <w:rsid w:val="00EA5513"/>
    <w:rPr>
      <w:rFonts w:ascii="Wingdings" w:hAnsi="Wingdings"/>
    </w:rPr>
  </w:style>
  <w:style w:type="paragraph" w:customStyle="1" w:styleId="TableHeading">
    <w:name w:val="Table Heading"/>
    <w:basedOn w:val="HeadingBase"/>
    <w:rsid w:val="00EA5513"/>
    <w:pPr>
      <w:keepLines/>
      <w:pBdr>
        <w:bottom w:val="single" w:sz="6" w:space="1" w:color="918585"/>
      </w:pBdr>
      <w:spacing w:before="240"/>
    </w:pPr>
  </w:style>
  <w:style w:type="character" w:customStyle="1" w:styleId="HotSpot">
    <w:name w:val="HotSpot"/>
    <w:rsid w:val="00EA5513"/>
    <w:rPr>
      <w:color w:val="0033CC"/>
      <w:u w:val="none"/>
    </w:rPr>
  </w:style>
  <w:style w:type="paragraph" w:customStyle="1" w:styleId="BodyTextRight">
    <w:name w:val="Body Text Right"/>
    <w:basedOn w:val="BodyText"/>
    <w:rsid w:val="00EA5513"/>
    <w:pPr>
      <w:spacing w:before="0" w:after="0"/>
      <w:jc w:val="right"/>
    </w:pPr>
  </w:style>
  <w:style w:type="paragraph" w:styleId="Index3">
    <w:name w:val="index 3"/>
    <w:basedOn w:val="ListNumber2"/>
    <w:next w:val="Normal"/>
    <w:semiHidden/>
    <w:rsid w:val="00EA5513"/>
    <w:pPr>
      <w:numPr>
        <w:numId w:val="0"/>
      </w:numPr>
      <w:tabs>
        <w:tab w:val="right" w:leader="dot" w:pos="4176"/>
      </w:tabs>
    </w:pPr>
  </w:style>
  <w:style w:type="paragraph" w:styleId="ListNumber2">
    <w:name w:val="List Number 2"/>
    <w:basedOn w:val="List2"/>
    <w:rsid w:val="00EA5513"/>
    <w:pPr>
      <w:numPr>
        <w:numId w:val="10"/>
      </w:numPr>
      <w:tabs>
        <w:tab w:val="clear" w:pos="1060"/>
      </w:tabs>
    </w:pPr>
  </w:style>
  <w:style w:type="paragraph" w:customStyle="1" w:styleId="MarginNote">
    <w:name w:val="Margin Note"/>
    <w:basedOn w:val="BodyText"/>
    <w:rsid w:val="00EA5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513"/>
    <w:rPr>
      <w:sz w:val="32"/>
    </w:rPr>
  </w:style>
  <w:style w:type="paragraph" w:customStyle="1" w:styleId="HeadingProcedure">
    <w:name w:val="Heading Procedure"/>
    <w:basedOn w:val="HeadingBase"/>
    <w:next w:val="Normal"/>
    <w:rsid w:val="00EA5513"/>
    <w:pPr>
      <w:tabs>
        <w:tab w:val="left" w:pos="0"/>
      </w:tabs>
      <w:spacing w:before="120" w:after="60"/>
    </w:pPr>
    <w:rPr>
      <w:i/>
      <w:color w:val="918585"/>
      <w:sz w:val="22"/>
    </w:rPr>
  </w:style>
  <w:style w:type="paragraph" w:customStyle="1" w:styleId="TableBodyText">
    <w:name w:val="Table Body Text"/>
    <w:basedOn w:val="BodyText"/>
    <w:rsid w:val="00EA5513"/>
    <w:pPr>
      <w:spacing w:before="60" w:after="60"/>
    </w:pPr>
  </w:style>
  <w:style w:type="paragraph" w:styleId="ListContinue">
    <w:name w:val="List Continue"/>
    <w:basedOn w:val="List"/>
    <w:rsid w:val="00EA5513"/>
    <w:pPr>
      <w:ind w:firstLine="0"/>
    </w:pPr>
  </w:style>
  <w:style w:type="paragraph" w:customStyle="1" w:styleId="ListNote">
    <w:name w:val="List Note"/>
    <w:basedOn w:val="List"/>
    <w:rsid w:val="00EA5513"/>
    <w:pPr>
      <w:pBdr>
        <w:top w:val="single" w:sz="6" w:space="2" w:color="918585"/>
        <w:bottom w:val="single" w:sz="6" w:space="2" w:color="918585"/>
      </w:pBdr>
      <w:tabs>
        <w:tab w:val="left" w:pos="1021"/>
      </w:tabs>
      <w:ind w:firstLine="0"/>
    </w:pPr>
  </w:style>
  <w:style w:type="paragraph" w:customStyle="1" w:styleId="Warning">
    <w:name w:val="Warning"/>
    <w:basedOn w:val="BodyText"/>
    <w:rsid w:val="00EA5513"/>
    <w:pPr>
      <w:shd w:val="clear" w:color="auto" w:fill="D9D9D9"/>
      <w:tabs>
        <w:tab w:val="left" w:pos="992"/>
      </w:tabs>
      <w:ind w:left="119" w:right="119"/>
    </w:pPr>
    <w:rPr>
      <w:sz w:val="20"/>
    </w:rPr>
  </w:style>
  <w:style w:type="paragraph" w:customStyle="1" w:styleId="MarginIcons">
    <w:name w:val="Margin Icons"/>
    <w:basedOn w:val="BodyText"/>
    <w:rsid w:val="00EA5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513"/>
    <w:rPr>
      <w:rFonts w:ascii="Courier New" w:hAnsi="Courier New"/>
    </w:rPr>
  </w:style>
  <w:style w:type="paragraph" w:customStyle="1" w:styleId="NoteBullet">
    <w:name w:val="Note Bullet"/>
    <w:basedOn w:val="Note"/>
    <w:rsid w:val="00EA5513"/>
    <w:pPr>
      <w:tabs>
        <w:tab w:val="clear" w:pos="680"/>
      </w:tabs>
      <w:spacing w:before="60" w:after="60"/>
    </w:pPr>
  </w:style>
  <w:style w:type="paragraph" w:customStyle="1" w:styleId="SubHeading2">
    <w:name w:val="SubHeading2"/>
    <w:basedOn w:val="HeadingBase"/>
    <w:rsid w:val="00EA5513"/>
    <w:pPr>
      <w:spacing w:before="240" w:after="60"/>
    </w:pPr>
    <w:rPr>
      <w:sz w:val="20"/>
    </w:rPr>
  </w:style>
  <w:style w:type="paragraph" w:customStyle="1" w:styleId="SubHeading1">
    <w:name w:val="SubHeading1"/>
    <w:basedOn w:val="HeadingBase"/>
    <w:rsid w:val="00EA5513"/>
    <w:pPr>
      <w:spacing w:before="240" w:after="60"/>
    </w:pPr>
    <w:rPr>
      <w:color w:val="918585"/>
      <w:sz w:val="22"/>
    </w:rPr>
  </w:style>
  <w:style w:type="paragraph" w:customStyle="1" w:styleId="SideHeading">
    <w:name w:val="Side Heading"/>
    <w:basedOn w:val="HeadingBase"/>
    <w:rsid w:val="00EA5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513"/>
    <w:pPr>
      <w:numPr>
        <w:numId w:val="12"/>
      </w:numPr>
    </w:pPr>
  </w:style>
  <w:style w:type="paragraph" w:styleId="PlainText">
    <w:name w:val="Plain Text"/>
    <w:basedOn w:val="Normal"/>
    <w:link w:val="PlainTextChar"/>
    <w:rsid w:val="00EA5513"/>
    <w:rPr>
      <w:sz w:val="20"/>
    </w:rPr>
  </w:style>
  <w:style w:type="character" w:customStyle="1" w:styleId="PlainTextChar">
    <w:name w:val="Plain Text Char"/>
    <w:basedOn w:val="DefaultParagraphFont"/>
    <w:link w:val="PlainText"/>
    <w:rsid w:val="00EA5513"/>
    <w:rPr>
      <w:rFonts w:ascii="Courier New" w:eastAsia="Times New Roman" w:hAnsi="Courier New" w:cs="Times New Roman"/>
      <w:sz w:val="20"/>
      <w:szCs w:val="20"/>
      <w:lang w:eastAsia="en-US"/>
    </w:rPr>
  </w:style>
  <w:style w:type="character" w:customStyle="1" w:styleId="MenuOption">
    <w:name w:val="Menu Option"/>
    <w:basedOn w:val="DefaultParagraphFont"/>
    <w:rsid w:val="00EA5513"/>
    <w:rPr>
      <w:b/>
      <w:smallCaps/>
    </w:rPr>
  </w:style>
  <w:style w:type="paragraph" w:customStyle="1" w:styleId="TableListNumber">
    <w:name w:val="Table List Number"/>
    <w:basedOn w:val="ListNumber"/>
    <w:rsid w:val="00EA5513"/>
    <w:pPr>
      <w:numPr>
        <w:numId w:val="0"/>
      </w:numPr>
    </w:pPr>
  </w:style>
  <w:style w:type="paragraph" w:styleId="TOC4">
    <w:name w:val="toc 4"/>
    <w:basedOn w:val="TOCBase"/>
    <w:next w:val="Normal"/>
    <w:semiHidden/>
    <w:rsid w:val="00EA5513"/>
    <w:pPr>
      <w:tabs>
        <w:tab w:val="right" w:leader="dot" w:pos="9071"/>
      </w:tabs>
      <w:ind w:left="1701"/>
    </w:pPr>
  </w:style>
  <w:style w:type="paragraph" w:customStyle="1" w:styleId="ListAlpha">
    <w:name w:val="List Alpha"/>
    <w:basedOn w:val="List"/>
    <w:rsid w:val="00EA5513"/>
    <w:pPr>
      <w:numPr>
        <w:numId w:val="9"/>
      </w:numPr>
    </w:pPr>
  </w:style>
  <w:style w:type="paragraph" w:customStyle="1" w:styleId="ListAlpha2">
    <w:name w:val="List Alpha 2"/>
    <w:basedOn w:val="List2"/>
    <w:rsid w:val="00EA5513"/>
    <w:pPr>
      <w:numPr>
        <w:numId w:val="8"/>
      </w:numPr>
    </w:pPr>
  </w:style>
  <w:style w:type="paragraph" w:styleId="List2">
    <w:name w:val="List 2"/>
    <w:basedOn w:val="BodyText"/>
    <w:rsid w:val="00EA5513"/>
    <w:pPr>
      <w:tabs>
        <w:tab w:val="left" w:pos="680"/>
      </w:tabs>
      <w:spacing w:before="60" w:after="60"/>
      <w:ind w:left="680" w:hanging="340"/>
    </w:pPr>
  </w:style>
  <w:style w:type="paragraph" w:styleId="List3">
    <w:name w:val="List 3"/>
    <w:basedOn w:val="BodyText"/>
    <w:rsid w:val="00EA5513"/>
    <w:pPr>
      <w:tabs>
        <w:tab w:val="left" w:pos="1021"/>
      </w:tabs>
      <w:spacing w:before="60" w:after="60"/>
      <w:ind w:left="1020" w:hanging="340"/>
    </w:pPr>
  </w:style>
  <w:style w:type="paragraph" w:styleId="List4">
    <w:name w:val="List 4"/>
    <w:basedOn w:val="BodyText"/>
    <w:rsid w:val="00EA5513"/>
    <w:pPr>
      <w:tabs>
        <w:tab w:val="left" w:pos="1361"/>
      </w:tabs>
      <w:spacing w:before="60" w:after="60"/>
      <w:ind w:left="1361" w:hanging="340"/>
    </w:pPr>
  </w:style>
  <w:style w:type="paragraph" w:styleId="List5">
    <w:name w:val="List 5"/>
    <w:basedOn w:val="BodyText"/>
    <w:rsid w:val="00EA5513"/>
    <w:pPr>
      <w:tabs>
        <w:tab w:val="left" w:pos="1701"/>
      </w:tabs>
      <w:spacing w:before="60" w:after="60"/>
      <w:ind w:left="1701" w:hanging="340"/>
    </w:pPr>
  </w:style>
  <w:style w:type="paragraph" w:styleId="ListBullet4">
    <w:name w:val="List Bullet 4"/>
    <w:basedOn w:val="List4"/>
    <w:rsid w:val="00EA5513"/>
    <w:pPr>
      <w:numPr>
        <w:numId w:val="3"/>
      </w:numPr>
    </w:pPr>
  </w:style>
  <w:style w:type="paragraph" w:styleId="ListBullet5">
    <w:name w:val="List Bullet 5"/>
    <w:basedOn w:val="List5"/>
    <w:rsid w:val="00EA5513"/>
    <w:pPr>
      <w:numPr>
        <w:numId w:val="4"/>
      </w:numPr>
    </w:pPr>
  </w:style>
  <w:style w:type="paragraph" w:styleId="ListContinue2">
    <w:name w:val="List Continue 2"/>
    <w:basedOn w:val="List2"/>
    <w:rsid w:val="00EA5513"/>
    <w:pPr>
      <w:ind w:firstLine="0"/>
    </w:pPr>
  </w:style>
  <w:style w:type="paragraph" w:styleId="ListContinue3">
    <w:name w:val="List Continue 3"/>
    <w:basedOn w:val="List3"/>
    <w:rsid w:val="00EA5513"/>
    <w:pPr>
      <w:ind w:left="1021" w:firstLine="0"/>
    </w:pPr>
  </w:style>
  <w:style w:type="paragraph" w:styleId="ListContinue4">
    <w:name w:val="List Continue 4"/>
    <w:basedOn w:val="List4"/>
    <w:rsid w:val="00EA5513"/>
    <w:pPr>
      <w:ind w:firstLine="0"/>
    </w:pPr>
  </w:style>
  <w:style w:type="paragraph" w:styleId="ListContinue5">
    <w:name w:val="List Continue 5"/>
    <w:basedOn w:val="List5"/>
    <w:rsid w:val="00EA5513"/>
    <w:pPr>
      <w:ind w:firstLine="0"/>
    </w:pPr>
  </w:style>
  <w:style w:type="paragraph" w:styleId="ListNumber3">
    <w:name w:val="List Number 3"/>
    <w:basedOn w:val="List3"/>
    <w:rsid w:val="00EA5513"/>
    <w:pPr>
      <w:numPr>
        <w:numId w:val="5"/>
      </w:numPr>
    </w:pPr>
  </w:style>
  <w:style w:type="paragraph" w:styleId="ListNumber4">
    <w:name w:val="List Number 4"/>
    <w:basedOn w:val="List4"/>
    <w:rsid w:val="00EA5513"/>
    <w:pPr>
      <w:numPr>
        <w:numId w:val="6"/>
      </w:numPr>
    </w:pPr>
  </w:style>
  <w:style w:type="paragraph" w:styleId="ListNumber5">
    <w:name w:val="List Number 5"/>
    <w:basedOn w:val="List5"/>
    <w:rsid w:val="00EA5513"/>
    <w:pPr>
      <w:numPr>
        <w:numId w:val="7"/>
      </w:numPr>
    </w:pPr>
  </w:style>
  <w:style w:type="paragraph" w:styleId="BlockText">
    <w:name w:val="Block Text"/>
    <w:basedOn w:val="Normal"/>
    <w:rsid w:val="00EA5513"/>
    <w:pPr>
      <w:spacing w:after="120"/>
      <w:ind w:left="1440" w:right="1440"/>
    </w:pPr>
  </w:style>
  <w:style w:type="character" w:customStyle="1" w:styleId="Subscript">
    <w:name w:val="Subscript"/>
    <w:basedOn w:val="DefaultParagraphFont"/>
    <w:rsid w:val="00EA5513"/>
    <w:rPr>
      <w:sz w:val="16"/>
      <w:vertAlign w:val="subscript"/>
    </w:rPr>
  </w:style>
  <w:style w:type="character" w:customStyle="1" w:styleId="Superscript">
    <w:name w:val="Superscript"/>
    <w:basedOn w:val="DefaultParagraphFont"/>
    <w:rsid w:val="00EA5513"/>
    <w:rPr>
      <w:sz w:val="16"/>
      <w:vertAlign w:val="superscript"/>
    </w:rPr>
  </w:style>
  <w:style w:type="character" w:customStyle="1" w:styleId="Symbols">
    <w:name w:val="Symbols"/>
    <w:basedOn w:val="DefaultParagraphFont"/>
    <w:rsid w:val="00EA5513"/>
    <w:rPr>
      <w:rFonts w:ascii="Symbol" w:hAnsi="Symbol"/>
    </w:rPr>
  </w:style>
  <w:style w:type="character" w:customStyle="1" w:styleId="MenuOptions">
    <w:name w:val="Menu Options"/>
    <w:basedOn w:val="DefaultParagraphFont"/>
    <w:rsid w:val="00EA5513"/>
    <w:rPr>
      <w:rFonts w:ascii="Arial Narrow" w:hAnsi="Arial Narrow"/>
      <w:smallCaps/>
    </w:rPr>
  </w:style>
  <w:style w:type="character" w:customStyle="1" w:styleId="Buttons">
    <w:name w:val="Buttons"/>
    <w:basedOn w:val="DefaultParagraphFont"/>
    <w:rsid w:val="00EA5513"/>
    <w:rPr>
      <w:b/>
    </w:rPr>
  </w:style>
  <w:style w:type="character" w:customStyle="1" w:styleId="Underlined">
    <w:name w:val="Underlined"/>
    <w:basedOn w:val="DefaultParagraphFont"/>
    <w:rsid w:val="00EA5513"/>
    <w:rPr>
      <w:u w:val="single"/>
    </w:rPr>
  </w:style>
  <w:style w:type="paragraph" w:customStyle="1" w:styleId="TableBodyTextRight">
    <w:name w:val="Table Body Text Right"/>
    <w:basedOn w:val="TableBodyText"/>
    <w:rsid w:val="00EA5513"/>
    <w:pPr>
      <w:widowControl w:val="0"/>
      <w:autoSpaceDE w:val="0"/>
      <w:autoSpaceDN w:val="0"/>
      <w:adjustRightInd w:val="0"/>
      <w:jc w:val="right"/>
    </w:pPr>
    <w:rPr>
      <w:rFonts w:cs="Arial"/>
      <w:szCs w:val="18"/>
    </w:rPr>
  </w:style>
  <w:style w:type="paragraph" w:customStyle="1" w:styleId="CopyrightText">
    <w:name w:val="Copyright Text"/>
    <w:basedOn w:val="BodyText"/>
    <w:rsid w:val="00EA5513"/>
    <w:rPr>
      <w:sz w:val="18"/>
    </w:rPr>
  </w:style>
  <w:style w:type="paragraph" w:customStyle="1" w:styleId="BodySmallRight">
    <w:name w:val="Body Small Right"/>
    <w:basedOn w:val="BodyTextRight"/>
    <w:rsid w:val="00EA5513"/>
    <w:rPr>
      <w:sz w:val="18"/>
      <w:szCs w:val="18"/>
    </w:rPr>
  </w:style>
  <w:style w:type="paragraph" w:customStyle="1" w:styleId="MarginEdition">
    <w:name w:val="Margin Edition"/>
    <w:basedOn w:val="MarginNote"/>
    <w:rsid w:val="00EA5513"/>
    <w:pPr>
      <w:spacing w:before="0" w:after="0"/>
    </w:pPr>
    <w:rPr>
      <w:rFonts w:ascii="Times New Roman" w:hAnsi="Times New Roman"/>
      <w:color w:val="999999"/>
    </w:rPr>
  </w:style>
  <w:style w:type="paragraph" w:customStyle="1" w:styleId="Spacer">
    <w:name w:val="Spacer"/>
    <w:basedOn w:val="Normal"/>
    <w:rsid w:val="00EA5513"/>
    <w:rPr>
      <w:sz w:val="2"/>
      <w:szCs w:val="2"/>
    </w:rPr>
  </w:style>
  <w:style w:type="character" w:customStyle="1" w:styleId="Small">
    <w:name w:val="Small"/>
    <w:basedOn w:val="DefaultParagraphFont"/>
    <w:rsid w:val="00EA5513"/>
    <w:rPr>
      <w:sz w:val="16"/>
    </w:rPr>
  </w:style>
  <w:style w:type="paragraph" w:customStyle="1" w:styleId="WideTable">
    <w:name w:val="Wide Table"/>
    <w:basedOn w:val="Normal"/>
    <w:rsid w:val="00EA5513"/>
    <w:pPr>
      <w:ind w:left="-1418"/>
    </w:pPr>
    <w:rPr>
      <w:sz w:val="2"/>
      <w:szCs w:val="2"/>
    </w:rPr>
  </w:style>
  <w:style w:type="character" w:styleId="PageNumber">
    <w:name w:val="page number"/>
    <w:basedOn w:val="DefaultParagraphFont"/>
    <w:rsid w:val="00EA5513"/>
  </w:style>
  <w:style w:type="paragraph" w:styleId="Quote">
    <w:name w:val="Quote"/>
    <w:basedOn w:val="Heading1"/>
    <w:link w:val="QuoteChar"/>
    <w:qFormat/>
    <w:rsid w:val="00EA5513"/>
    <w:rPr>
      <w:b w:val="0"/>
      <w:sz w:val="72"/>
      <w:szCs w:val="72"/>
      <w:lang w:val="en-NZ"/>
    </w:rPr>
  </w:style>
  <w:style w:type="character" w:customStyle="1" w:styleId="QuoteChar">
    <w:name w:val="Quote Char"/>
    <w:basedOn w:val="DefaultParagraphFont"/>
    <w:link w:val="Quote"/>
    <w:rsid w:val="00EA5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513"/>
    <w:pPr>
      <w:pageBreakBefore/>
    </w:pPr>
  </w:style>
  <w:style w:type="paragraph" w:customStyle="1" w:styleId="Border">
    <w:name w:val="Border"/>
    <w:basedOn w:val="Normal"/>
    <w:qFormat/>
    <w:rsid w:val="00EA5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513"/>
    <w:rPr>
      <w:b/>
      <w:bCs/>
      <w:i/>
      <w:iCs/>
      <w:color w:val="auto"/>
    </w:rPr>
  </w:style>
  <w:style w:type="paragraph" w:styleId="IntenseQuote">
    <w:name w:val="Intense Quote"/>
    <w:basedOn w:val="Normal"/>
    <w:next w:val="Normal"/>
    <w:link w:val="IntenseQuoteChar"/>
    <w:uiPriority w:val="30"/>
    <w:qFormat/>
    <w:rsid w:val="00EA5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513"/>
    <w:rPr>
      <w:smallCaps/>
      <w:color w:val="auto"/>
      <w:u w:val="single"/>
    </w:rPr>
  </w:style>
  <w:style w:type="character" w:styleId="IntenseReference">
    <w:name w:val="Intense Reference"/>
    <w:basedOn w:val="DefaultParagraphFont"/>
    <w:uiPriority w:val="32"/>
    <w:qFormat/>
    <w:rsid w:val="00EA5513"/>
    <w:rPr>
      <w:b/>
      <w:bCs/>
      <w:smallCaps/>
      <w:color w:val="auto"/>
      <w:spacing w:val="5"/>
      <w:u w:val="single"/>
    </w:rPr>
  </w:style>
  <w:style w:type="paragraph" w:customStyle="1" w:styleId="2ColumnHeading">
    <w:name w:val="2Column Heading"/>
    <w:basedOn w:val="BodyText"/>
    <w:qFormat/>
    <w:rsid w:val="00EA5513"/>
    <w:pPr>
      <w:spacing w:after="60"/>
      <w:ind w:left="-2268"/>
    </w:pPr>
    <w:rPr>
      <w:b/>
    </w:rPr>
  </w:style>
  <w:style w:type="paragraph" w:customStyle="1" w:styleId="Heading1TOC">
    <w:name w:val="Heading1 TOC"/>
    <w:basedOn w:val="Normal"/>
    <w:qFormat/>
    <w:rsid w:val="00EA5513"/>
    <w:pPr>
      <w:spacing w:before="240" w:after="120"/>
    </w:pPr>
    <w:rPr>
      <w:rFonts w:ascii="Times New Roman" w:hAnsi="Times New Roman"/>
      <w:b/>
      <w:sz w:val="32"/>
    </w:rPr>
  </w:style>
  <w:style w:type="paragraph" w:customStyle="1" w:styleId="Heading2TOC">
    <w:name w:val="Heading2 TOC"/>
    <w:basedOn w:val="Normal"/>
    <w:qFormat/>
    <w:rsid w:val="00EA5513"/>
    <w:pPr>
      <w:spacing w:before="240" w:after="60"/>
    </w:pPr>
    <w:rPr>
      <w:rFonts w:ascii="Times New Roman" w:hAnsi="Times New Roman"/>
      <w:b/>
      <w:sz w:val="28"/>
    </w:rPr>
  </w:style>
  <w:style w:type="character" w:customStyle="1" w:styleId="Underline">
    <w:name w:val="Underline"/>
    <w:basedOn w:val="DefaultParagraphFont"/>
    <w:qFormat/>
    <w:rsid w:val="00EA5513"/>
    <w:rPr>
      <w:u w:val="single"/>
    </w:rPr>
  </w:style>
  <w:style w:type="paragraph" w:styleId="BalloonText">
    <w:name w:val="Balloon Text"/>
    <w:basedOn w:val="Normal"/>
    <w:link w:val="BalloonTextChar"/>
    <w:rsid w:val="00EA5513"/>
    <w:rPr>
      <w:rFonts w:ascii="Tahoma" w:hAnsi="Tahoma" w:cs="Tahoma"/>
      <w:sz w:val="16"/>
      <w:szCs w:val="16"/>
    </w:rPr>
  </w:style>
  <w:style w:type="character" w:customStyle="1" w:styleId="BalloonTextChar">
    <w:name w:val="Balloon Text Char"/>
    <w:basedOn w:val="DefaultParagraphFont"/>
    <w:link w:val="BalloonText"/>
    <w:rsid w:val="00EA5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5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513"/>
    <w:rPr>
      <w:b/>
      <w:color w:val="660033"/>
      <w:spacing w:val="0"/>
    </w:rPr>
  </w:style>
  <w:style w:type="paragraph" w:customStyle="1" w:styleId="Nameditemlist">
    <w:name w:val="Named item list"/>
    <w:basedOn w:val="BodyText"/>
    <w:qFormat/>
    <w:rsid w:val="00EA55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1297</Words>
  <Characters>9030</Characters>
  <Application>Microsoft Office Word</Application>
  <DocSecurity>0</DocSecurity>
  <Lines>303</Lines>
  <Paragraphs>180</Paragraphs>
  <ScaleCrop>false</ScaleCrop>
  <Company>Author-it Software Corporation Ltd.</Company>
  <LinksUpToDate>false</LinksUpToDate>
  <CharactersWithSpaces>10273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PSPWPR503A Apply workplace relations dispute-resolution procedures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2012-11-01T16:38:00Z</dcterms:created>
  <dcterms:modified xsi:type="dcterms:W3CDTF">2012-11-01T16:38:00Z</dcterms:modified>
</cp:coreProperties>
</file>