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7D4" w:rsidP="003957D4">
      <w:pPr>
        <w:pStyle w:val="Title"/>
      </w:pPr>
      <w:bookmarkStart w:id="0" w:name="_GoBack"/>
      <w:bookmarkEnd w:id="0"/>
      <w:r>
        <w:fldChar w:fldCharType="begin"/>
      </w:r>
      <w:r>
        <w:instrText xml:space="preserve"> TITLE   \* MERGEFORMAT </w:instrText>
      </w:r>
      <w:r>
        <w:fldChar w:fldCharType="separate"/>
      </w:r>
      <w:r>
        <w:t>PSPWPR502A Manage compliance with workplace relations legislation</w:t>
      </w:r>
      <w:r>
        <w:fldChar w:fldCharType="end"/>
      </w:r>
    </w:p>
    <w:p w:rsidR="003957D4" w:rsidP="003957D4">
      <w:pPr>
        <w:pStyle w:val="Version"/>
        <w:sectPr w:rsidSect="00C220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220C4" w:rsidP="00C220C4">
      <w:pPr>
        <w:pStyle w:val="SuperHeading"/>
      </w:pPr>
      <w:r w:rsidRPr="00C220C4">
        <w:t>PSPWPR502A Manage compliance with workplace relations legislation</w:t>
      </w:r>
    </w:p>
    <w:p w:rsidR="00000000" w:rsidRPr="00C220C4" w:rsidP="00C220C4">
      <w:pPr>
        <w:pStyle w:val="SuperHeading"/>
      </w:pPr>
    </w:p>
    <w:p w:rsidR="00000000" w:rsidRPr="00C220C4" w:rsidP="00C220C4">
      <w:pPr>
        <w:pStyle w:val="Heading1"/>
      </w:pPr>
      <w:bookmarkStart w:id="1" w:name="O_496295"/>
      <w:bookmarkEnd w:id="1"/>
      <w:r w:rsidRPr="00C220C4">
        <w:t>Modification History</w:t>
      </w:r>
    </w:p>
    <w:tbl>
      <w:tblPr>
        <w:tblW w:w="0" w:type="auto"/>
        <w:tblLayout w:type="fixed"/>
        <w:tblCellMar>
          <w:left w:w="62" w:type="dxa"/>
          <w:right w:w="62" w:type="dxa"/>
        </w:tblCellMar>
        <w:tblLook w:val="0000"/>
      </w:tblPr>
      <w:tblGrid>
        <w:gridCol w:w="3052"/>
        <w:gridCol w:w="3052"/>
        <w:gridCol w:w="3052"/>
      </w:tblGrid>
      <w:tr w:rsidTr="003957D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0C4" w:rsidP="00C220C4">
            <w:pPr>
              <w:pStyle w:val="BodyText"/>
            </w:pPr>
            <w:r w:rsidRPr="00C220C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0C4" w:rsidP="00C220C4">
            <w:pPr>
              <w:pStyle w:val="BodyText"/>
            </w:pPr>
            <w:r w:rsidRPr="00C220C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0C4">
            <w:pPr>
              <w:pStyle w:val="BodyText"/>
              <w:rPr>
                <w:lang w:val="en-NZ"/>
              </w:rPr>
            </w:pPr>
            <w:r w:rsidRPr="00C220C4">
              <w:rPr>
                <w:rStyle w:val="SpecialBold"/>
              </w:rPr>
              <w:t>Comments</w:t>
            </w:r>
          </w:p>
        </w:tc>
      </w:tr>
      <w:tr w:rsidTr="003957D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0C4">
            <w:pPr>
              <w:pStyle w:val="BodyText"/>
              <w:rPr>
                <w:lang w:val="en-NZ"/>
              </w:rPr>
            </w:pPr>
            <w:r w:rsidRPr="00C220C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0C4">
            <w:pPr>
              <w:pStyle w:val="BodyText"/>
              <w:rPr>
                <w:lang w:val="en-NZ"/>
              </w:rPr>
            </w:pPr>
            <w:r w:rsidRPr="00C220C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0C4">
            <w:pPr>
              <w:pStyle w:val="BodyText"/>
              <w:rPr>
                <w:lang w:val="en-NZ"/>
              </w:rPr>
            </w:pPr>
            <w:r w:rsidRPr="00C220C4">
              <w:t>Layout adjusted. No cha</w:t>
            </w:r>
            <w:r w:rsidRPr="00C220C4">
              <w:t>nges to content.</w:t>
            </w:r>
          </w:p>
        </w:tc>
      </w:tr>
      <w:tr w:rsidTr="003957D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0C4">
            <w:pPr>
              <w:pStyle w:val="BodyText"/>
              <w:rPr>
                <w:lang w:val="en-NZ"/>
              </w:rPr>
            </w:pPr>
            <w:r w:rsidRPr="00C220C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0C4">
            <w:pPr>
              <w:pStyle w:val="BodyText"/>
              <w:rPr>
                <w:lang w:val="en-NZ"/>
              </w:rPr>
            </w:pPr>
            <w:r w:rsidRPr="00C220C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0C4">
            <w:pPr>
              <w:pStyle w:val="BodyText"/>
              <w:rPr>
                <w:lang w:val="en-NZ"/>
              </w:rPr>
            </w:pPr>
            <w:r w:rsidRPr="00C220C4">
              <w:t>Layout adjusted. No changes to content.</w:t>
            </w:r>
          </w:p>
        </w:tc>
      </w:tr>
      <w:tr w:rsidTr="003957D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0C4">
            <w:pPr>
              <w:pStyle w:val="BodyText"/>
              <w:rPr>
                <w:lang w:val="en-NZ"/>
              </w:rPr>
            </w:pPr>
            <w:r w:rsidRPr="00C220C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0C4">
            <w:pPr>
              <w:pStyle w:val="BodyText"/>
              <w:rPr>
                <w:lang w:val="en-NZ"/>
              </w:rPr>
            </w:pPr>
            <w:r w:rsidRPr="00C220C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0C4" w:rsidP="00C220C4">
            <w:pPr>
              <w:pStyle w:val="BodyText"/>
            </w:pPr>
            <w:r w:rsidRPr="00C220C4">
              <w:t>Primary release.</w:t>
            </w:r>
          </w:p>
        </w:tc>
      </w:tr>
    </w:tbl>
    <w:p w:rsidR="003957D4" w:rsidP="00C220C4">
      <w:pPr>
        <w:pStyle w:val="BodyText"/>
      </w:pPr>
    </w:p>
    <w:p w:rsidR="003957D4" w:rsidP="00C220C4">
      <w:pPr>
        <w:pStyle w:val="BodyText"/>
      </w:pPr>
    </w:p>
    <w:p w:rsidR="00000000" w:rsidRPr="00C220C4" w:rsidP="00C220C4">
      <w:pPr>
        <w:pStyle w:val="Heading1"/>
      </w:pPr>
      <w:bookmarkStart w:id="2" w:name="O_496298"/>
      <w:bookmarkEnd w:id="2"/>
      <w:r w:rsidRPr="00C220C4">
        <w:t>Unit Descriptor</w:t>
      </w:r>
    </w:p>
    <w:p w:rsidR="00000000" w:rsidRPr="00C220C4" w:rsidP="00C220C4">
      <w:pPr>
        <w:pStyle w:val="BodyText"/>
      </w:pPr>
      <w:r w:rsidRPr="00C220C4">
        <w:t>This unit covers the ability to administer and manage compliance with workplace relations legislation and provid</w:t>
      </w:r>
      <w:r w:rsidRPr="00C220C4">
        <w:t>e consultation and advice to those with this responsibility. It includes evaluating workplace conditions and entitlements to assess compliance or non-compliance with relevant workplace relations legislation, examining issues of non-compliance, and selectin</w:t>
      </w:r>
      <w:r w:rsidRPr="00C220C4">
        <w:t xml:space="preserve">g strategies that could be implemented to contribute to compliance. </w:t>
      </w:r>
    </w:p>
    <w:p w:rsidR="00000000" w:rsidRPr="00C220C4" w:rsidP="00C220C4">
      <w:pPr>
        <w:pStyle w:val="BodyText"/>
      </w:pPr>
      <w:r w:rsidRPr="00C220C4">
        <w:t>No licensing, legislative, regulatory or certification requirements apply to this unit at the time of endorsement.</w:t>
      </w:r>
    </w:p>
    <w:p w:rsidR="00000000" w:rsidRPr="00C220C4" w:rsidP="00C220C4">
      <w:pPr>
        <w:pStyle w:val="AllowPageBreak"/>
      </w:pPr>
    </w:p>
    <w:p w:rsidR="00000000" w:rsidRPr="00C220C4" w:rsidP="00C220C4">
      <w:pPr>
        <w:pStyle w:val="Heading1"/>
      </w:pPr>
      <w:bookmarkStart w:id="3" w:name="O_496309"/>
      <w:bookmarkEnd w:id="3"/>
      <w:r w:rsidRPr="00C220C4">
        <w:t>Application of the Unit</w:t>
      </w:r>
    </w:p>
    <w:p w:rsidR="00000000" w:rsidRPr="00C220C4" w:rsidP="00C220C4">
      <w:pPr>
        <w:pStyle w:val="BodyText"/>
      </w:pPr>
      <w:r w:rsidRPr="00C220C4">
        <w:t>In practice, people responsible</w:t>
      </w:r>
      <w:r w:rsidRPr="00C220C4">
        <w:t xml:space="preserve"> for administering and managing compliance with workplace relations legislation may be working as:</w:t>
      </w:r>
    </w:p>
    <w:p w:rsidR="00000000" w:rsidRPr="00C220C4" w:rsidP="00C220C4">
      <w:pPr>
        <w:pStyle w:val="ListBullet2"/>
      </w:pPr>
      <w:r w:rsidRPr="00C220C4">
        <w:t>researcher or advisor in advisory organisations</w:t>
      </w:r>
    </w:p>
    <w:p w:rsidR="00000000" w:rsidRPr="00C220C4" w:rsidP="00C220C4">
      <w:pPr>
        <w:pStyle w:val="ListBullet2"/>
      </w:pPr>
      <w:r w:rsidRPr="00C220C4">
        <w:t>workplace relations issues inspector or investigator</w:t>
      </w:r>
    </w:p>
    <w:p w:rsidR="00000000" w:rsidRPr="00C220C4" w:rsidP="00C220C4">
      <w:pPr>
        <w:pStyle w:val="ListBullet2"/>
      </w:pPr>
      <w:r w:rsidRPr="00C220C4">
        <w:t>senior human resources officer with responsibility for compliance with workplace relations and other employment legislation</w:t>
      </w:r>
    </w:p>
    <w:p w:rsidR="00000000" w:rsidRPr="00C220C4" w:rsidP="00C220C4">
      <w:pPr>
        <w:pStyle w:val="AllowPageBreak"/>
      </w:pPr>
    </w:p>
    <w:p w:rsidR="00000000" w:rsidRPr="00C220C4" w:rsidP="00C220C4">
      <w:pPr>
        <w:pStyle w:val="Heading1"/>
      </w:pPr>
      <w:bookmarkStart w:id="4" w:name="O_496296"/>
      <w:bookmarkEnd w:id="4"/>
      <w:r w:rsidRPr="00C220C4">
        <w:t>Licensing/Regulatory Information</w:t>
      </w:r>
    </w:p>
    <w:p w:rsidR="00000000" w:rsidRPr="00C220C4" w:rsidP="00C220C4">
      <w:pPr>
        <w:pStyle w:val="BodyText"/>
      </w:pPr>
      <w:r w:rsidRPr="00C220C4">
        <w:t>Not applicable.</w:t>
      </w:r>
    </w:p>
    <w:p w:rsidR="00000000" w:rsidRPr="00C220C4" w:rsidP="00C220C4">
      <w:pPr>
        <w:pStyle w:val="AllowPageBreak"/>
      </w:pPr>
    </w:p>
    <w:p w:rsidR="00000000" w:rsidRPr="00C220C4" w:rsidP="00C220C4">
      <w:pPr>
        <w:pStyle w:val="Heading1"/>
      </w:pPr>
      <w:bookmarkStart w:id="5" w:name="O_496303"/>
      <w:bookmarkEnd w:id="5"/>
      <w:r w:rsidRPr="00C220C4">
        <w:t>Pre-Requisites</w:t>
      </w:r>
    </w:p>
    <w:p w:rsidR="00000000" w:rsidRPr="00C220C4" w:rsidP="00C220C4">
      <w:pPr>
        <w:pStyle w:val="BodyText"/>
      </w:pPr>
      <w:r w:rsidRPr="00C220C4">
        <w:t>Not applicable.</w:t>
      </w:r>
    </w:p>
    <w:p w:rsidR="00000000" w:rsidRPr="00C220C4" w:rsidP="00C220C4">
      <w:pPr>
        <w:pStyle w:val="AllowPageBreak"/>
      </w:pPr>
    </w:p>
    <w:p w:rsidR="00000000" w:rsidRPr="00C220C4" w:rsidP="00C220C4">
      <w:pPr>
        <w:pStyle w:val="Heading1"/>
      </w:pPr>
      <w:bookmarkStart w:id="6" w:name="O_496304"/>
      <w:bookmarkEnd w:id="6"/>
      <w:r w:rsidRPr="00C220C4">
        <w:t>E</w:t>
      </w:r>
      <w:r w:rsidRPr="00C220C4">
        <w:t>mployability Skills Information</w:t>
      </w:r>
    </w:p>
    <w:p w:rsidR="00000000" w:rsidRPr="00C220C4" w:rsidP="00C220C4">
      <w:pPr>
        <w:pStyle w:val="BodyText"/>
      </w:pPr>
      <w:r w:rsidRPr="00C220C4">
        <w:t>This unit contains employability skills.</w:t>
      </w:r>
    </w:p>
    <w:p w:rsidR="00000000" w:rsidRPr="00C220C4" w:rsidP="00C220C4">
      <w:pPr>
        <w:pStyle w:val="AllowPageBreak"/>
      </w:pPr>
    </w:p>
    <w:p w:rsidR="00000000" w:rsidRPr="00C220C4" w:rsidP="00C220C4">
      <w:pPr>
        <w:pStyle w:val="Heading1"/>
      </w:pPr>
      <w:bookmarkStart w:id="7" w:name="O_496305"/>
      <w:bookmarkEnd w:id="7"/>
      <w:r w:rsidRPr="00C220C4">
        <w:t>Elements and Performance Criteria Pre-Content</w:t>
      </w:r>
    </w:p>
    <w:tbl>
      <w:tblPr>
        <w:tblW w:w="0" w:type="auto"/>
        <w:tblLayout w:type="fixed"/>
        <w:tblCellMar>
          <w:left w:w="62" w:type="dxa"/>
          <w:right w:w="62" w:type="dxa"/>
        </w:tblCellMar>
        <w:tblLook w:val="0000"/>
      </w:tblPr>
      <w:tblGrid>
        <w:gridCol w:w="2566"/>
        <w:gridCol w:w="5956"/>
      </w:tblGrid>
      <w:tr w:rsidTr="003957D4">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t>Elements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C220C4" w:rsidP="00C220C4">
            <w:pPr>
              <w:pStyle w:val="BodyText"/>
            </w:pPr>
            <w:r w:rsidRPr="00C220C4">
              <w:t>Performance criteria describe the performance needed t</w:t>
            </w:r>
            <w:r w:rsidRPr="00C220C4">
              <w:t xml:space="preserve">o demonstrate achievement of the element. Where </w:t>
            </w:r>
            <w:r w:rsidRPr="00C220C4">
              <w:rPr>
                <w:rStyle w:val="BoldandItalics"/>
              </w:rPr>
              <w:t>bold italicised</w:t>
            </w:r>
            <w:r w:rsidRPr="00C220C4">
              <w:t xml:space="preserve"> text is used, further information is detailed in the range statement. Assessment of performance is to be consistent with the evidence guide.</w:t>
            </w:r>
          </w:p>
        </w:tc>
      </w:tr>
    </w:tbl>
    <w:p w:rsidR="00000000" w:rsidRPr="00C220C4" w:rsidP="00C220C4">
      <w:pPr>
        <w:pStyle w:val="BodyText"/>
      </w:pPr>
    </w:p>
    <w:p w:rsidR="00000000" w:rsidRPr="00C220C4" w:rsidP="00C220C4">
      <w:pPr>
        <w:pStyle w:val="AllowPageBreak"/>
      </w:pPr>
    </w:p>
    <w:p w:rsidR="00000000" w:rsidRPr="00C220C4" w:rsidP="00C220C4">
      <w:pPr>
        <w:pStyle w:val="Heading1"/>
      </w:pPr>
      <w:bookmarkStart w:id="8" w:name="O_496306"/>
      <w:bookmarkEnd w:id="8"/>
      <w:r w:rsidRPr="00C220C4">
        <w:t>Elements and Performance Criteria</w:t>
      </w:r>
    </w:p>
    <w:tbl>
      <w:tblPr>
        <w:tblW w:w="0" w:type="auto"/>
        <w:tblLayout w:type="fixed"/>
        <w:tblCellMar>
          <w:left w:w="62" w:type="dxa"/>
          <w:right w:w="62" w:type="dxa"/>
        </w:tblCellMar>
        <w:tblLook w:val="0000"/>
      </w:tblPr>
      <w:tblGrid>
        <w:gridCol w:w="2566"/>
        <w:gridCol w:w="20"/>
        <w:gridCol w:w="5936"/>
      </w:tblGrid>
      <w:tr w:rsidTr="003957D4">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RPr="00C220C4" w:rsidP="00C220C4">
            <w:pPr>
              <w:pStyle w:val="BodyText"/>
            </w:pPr>
            <w:r w:rsidRPr="00C220C4">
              <w:rPr>
                <w:rStyle w:val="SpecialBold"/>
              </w:rPr>
              <w:t>ELEMENT</w:t>
            </w:r>
          </w:p>
        </w:tc>
        <w:tc>
          <w:tcPr>
            <w:tcW w:w="5956" w:type="dxa"/>
            <w:gridSpan w:val="2"/>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SpecialBold"/>
              </w:rPr>
              <w:t>PERFORMANCE CRITERIA</w:t>
            </w:r>
          </w:p>
        </w:tc>
      </w:tr>
      <w:tr w:rsidTr="003957D4">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C220C4">
            <w:pPr>
              <w:pStyle w:val="List"/>
              <w:rPr>
                <w:lang w:val="en-NZ"/>
              </w:rPr>
            </w:pPr>
            <w:r w:rsidRPr="00C220C4">
              <w:rPr>
                <w:rStyle w:val="SpecialBold"/>
              </w:rPr>
              <w:t>1.</w:t>
            </w:r>
            <w:r w:rsidRPr="00C220C4">
              <w:rPr>
                <w:rStyle w:val="SpecialBold"/>
              </w:rPr>
              <w:tab/>
              <w:t>Assess compliance of workplace conditions and entitlements with workplace relations legislation</w:t>
            </w:r>
          </w:p>
        </w:tc>
        <w:tc>
          <w:tcPr>
            <w:tcW w:w="5956" w:type="dxa"/>
            <w:gridSpan w:val="2"/>
            <w:tcBorders>
              <w:top w:val="nil"/>
              <w:left w:val="nil"/>
              <w:bottom w:val="nil"/>
              <w:right w:val="nil"/>
            </w:tcBorders>
            <w:tcMar>
              <w:top w:w="0" w:type="dxa"/>
              <w:left w:w="62" w:type="dxa"/>
              <w:bottom w:w="0" w:type="dxa"/>
              <w:right w:w="62" w:type="dxa"/>
            </w:tcMar>
          </w:tcPr>
          <w:p w:rsidR="00000000" w:rsidRPr="00C220C4" w:rsidP="00C220C4">
            <w:pPr>
              <w:pStyle w:val="List"/>
            </w:pPr>
            <w:r w:rsidRPr="00C220C4">
              <w:t>1.1.</w:t>
            </w:r>
            <w:r w:rsidRPr="00C220C4">
              <w:tab/>
              <w:t xml:space="preserve">Current, relevant </w:t>
            </w:r>
            <w:r w:rsidRPr="00C220C4">
              <w:rPr>
                <w:rStyle w:val="BoldandItalics"/>
              </w:rPr>
              <w:t>workplace relations legislation and guidance information</w:t>
            </w:r>
            <w:r w:rsidRPr="00C220C4">
              <w:t xml:space="preserve"> are accessed </w:t>
            </w:r>
            <w:r w:rsidRPr="00C220C4">
              <w:t>and interpreted.</w:t>
            </w:r>
          </w:p>
          <w:p w:rsidR="00000000" w:rsidRPr="00C220C4" w:rsidP="00C220C4">
            <w:pPr>
              <w:pStyle w:val="List"/>
            </w:pPr>
            <w:r w:rsidRPr="00C220C4">
              <w:t>1.2.</w:t>
            </w:r>
            <w:r w:rsidRPr="00C220C4">
              <w:tab/>
            </w:r>
            <w:r w:rsidRPr="00C220C4">
              <w:rPr>
                <w:rStyle w:val="BoldandItalics"/>
              </w:rPr>
              <w:t>Workplace conditions and entitlements</w:t>
            </w:r>
            <w:r w:rsidRPr="00C220C4">
              <w:t xml:space="preserve"> are evaluated and factors that may constitute non-compliance with workplace relations legislation are identified.</w:t>
            </w:r>
          </w:p>
          <w:p w:rsidR="00000000" w:rsidRPr="00C220C4" w:rsidP="00C220C4">
            <w:pPr>
              <w:pStyle w:val="List"/>
            </w:pPr>
            <w:r w:rsidRPr="00C220C4">
              <w:t>1.3.</w:t>
            </w:r>
            <w:r w:rsidRPr="00C220C4">
              <w:tab/>
              <w:t>Information that will assist in the assessment of a potential or possible bre</w:t>
            </w:r>
            <w:r w:rsidRPr="00C220C4">
              <w:t xml:space="preserve">ach is gathered and recorded as necessary. </w:t>
            </w:r>
          </w:p>
          <w:p w:rsidR="00000000" w:rsidRPr="00C220C4" w:rsidP="00C220C4">
            <w:pPr>
              <w:pStyle w:val="List"/>
            </w:pPr>
            <w:r w:rsidRPr="00C220C4">
              <w:t>1.4.</w:t>
            </w:r>
            <w:r w:rsidRPr="00C220C4">
              <w:tab/>
              <w:t xml:space="preserve">Potential or possible breaches of legislation and possible outcomes and courses of action are identified and referred to appropriate persons for timely action. </w:t>
            </w:r>
          </w:p>
          <w:p w:rsidR="00000000" w:rsidP="00C220C4">
            <w:pPr>
              <w:pStyle w:val="List"/>
              <w:rPr>
                <w:lang w:val="en-NZ"/>
              </w:rPr>
            </w:pPr>
            <w:r w:rsidRPr="00C220C4">
              <w:t>1.5.</w:t>
            </w:r>
            <w:r w:rsidRPr="00C220C4">
              <w:tab/>
              <w:t>Assessment of potential or possible breac</w:t>
            </w:r>
            <w:r w:rsidRPr="00C220C4">
              <w:t xml:space="preserve">h is recorded and reported according to organisational and legislative requirements. </w:t>
            </w:r>
          </w:p>
        </w:tc>
      </w:tr>
      <w:tr w:rsidTr="003957D4">
        <w:tblPrEx>
          <w:tblW w:w="0" w:type="auto"/>
          <w:tblLayout w:type="fixed"/>
          <w:tblCellMar>
            <w:left w:w="62" w:type="dxa"/>
            <w:right w:w="62" w:type="dxa"/>
          </w:tblCellMar>
          <w:tblLook w:val="0000"/>
        </w:tblPrEx>
        <w:tc>
          <w:tcPr>
            <w:tcW w:w="2586" w:type="dxa"/>
            <w:gridSpan w:val="2"/>
            <w:tcBorders>
              <w:top w:val="nil"/>
              <w:left w:val="nil"/>
              <w:bottom w:val="nil"/>
              <w:right w:val="nil"/>
            </w:tcBorders>
            <w:tcMar>
              <w:top w:w="0" w:type="dxa"/>
              <w:left w:w="62" w:type="dxa"/>
              <w:bottom w:w="0" w:type="dxa"/>
              <w:right w:w="62" w:type="dxa"/>
            </w:tcMar>
          </w:tcPr>
          <w:p w:rsidR="00000000" w:rsidP="00C220C4">
            <w:pPr>
              <w:pStyle w:val="List"/>
              <w:rPr>
                <w:lang w:val="en-NZ"/>
              </w:rPr>
            </w:pPr>
            <w:r w:rsidRPr="00C220C4">
              <w:rPr>
                <w:rStyle w:val="SpecialBold"/>
              </w:rPr>
              <w:t>2.</w:t>
            </w:r>
            <w:r w:rsidRPr="00C220C4">
              <w:rPr>
                <w:rStyle w:val="SpecialBold"/>
              </w:rPr>
              <w:tab/>
              <w:t>Review non-compliant workplace conditions and entitlements and propose resolution strategies</w:t>
            </w:r>
          </w:p>
        </w:tc>
        <w:tc>
          <w:tcPr>
            <w:tcW w:w="5936" w:type="dxa"/>
            <w:tcBorders>
              <w:top w:val="nil"/>
              <w:left w:val="nil"/>
              <w:bottom w:val="nil"/>
              <w:right w:val="nil"/>
            </w:tcBorders>
            <w:tcMar>
              <w:top w:w="0" w:type="dxa"/>
              <w:left w:w="62" w:type="dxa"/>
              <w:bottom w:w="0" w:type="dxa"/>
              <w:right w:w="62" w:type="dxa"/>
            </w:tcMar>
          </w:tcPr>
          <w:p w:rsidR="00000000" w:rsidRPr="00C220C4" w:rsidP="00C220C4">
            <w:pPr>
              <w:pStyle w:val="List"/>
            </w:pPr>
            <w:r w:rsidRPr="00C220C4">
              <w:t>2.1.</w:t>
            </w:r>
            <w:r w:rsidRPr="00C220C4">
              <w:tab/>
              <w:t>Information that assists in the assessment of non-compliance is gath</w:t>
            </w:r>
            <w:r w:rsidRPr="00C220C4">
              <w:t xml:space="preserve">ered from </w:t>
            </w:r>
            <w:r w:rsidRPr="00C220C4">
              <w:rPr>
                <w:rStyle w:val="BoldandItalics"/>
              </w:rPr>
              <w:t>advisory materials</w:t>
            </w:r>
            <w:r w:rsidRPr="00C220C4">
              <w:t xml:space="preserve">, </w:t>
            </w:r>
            <w:r w:rsidRPr="00C220C4">
              <w:rPr>
                <w:rStyle w:val="BoldandItalics"/>
              </w:rPr>
              <w:t>stakeholders</w:t>
            </w:r>
            <w:r w:rsidRPr="00C220C4">
              <w:t xml:space="preserve"> and </w:t>
            </w:r>
            <w:r w:rsidRPr="00C220C4">
              <w:rPr>
                <w:rStyle w:val="BoldandItalics"/>
              </w:rPr>
              <w:t>workplace documents</w:t>
            </w:r>
            <w:r w:rsidRPr="00C220C4">
              <w:t xml:space="preserve"> and recorded according to organisational policies and procedures.</w:t>
            </w:r>
          </w:p>
          <w:p w:rsidR="00000000" w:rsidRPr="00C220C4" w:rsidP="00C220C4">
            <w:pPr>
              <w:pStyle w:val="List"/>
            </w:pPr>
            <w:r w:rsidRPr="00C220C4">
              <w:t>2.2.</w:t>
            </w:r>
            <w:r w:rsidRPr="00C220C4">
              <w:tab/>
              <w:t xml:space="preserve">Information is reviewed and compared to workplace relations legislative requirements to assess non-compliance. </w:t>
            </w:r>
          </w:p>
          <w:p w:rsidR="00000000" w:rsidRPr="00C220C4" w:rsidP="00C220C4">
            <w:pPr>
              <w:pStyle w:val="List"/>
            </w:pPr>
            <w:r w:rsidRPr="00C220C4">
              <w:t>2.3.</w:t>
            </w:r>
            <w:r w:rsidRPr="00C220C4">
              <w:tab/>
              <w:t>U</w:t>
            </w:r>
            <w:r w:rsidRPr="00C220C4">
              <w:t xml:space="preserve">rgency of non-compliance resolution is assessed and priority allocated to enable timely and effective action. </w:t>
            </w:r>
          </w:p>
          <w:p w:rsidR="00000000" w:rsidRPr="00C220C4" w:rsidP="00C220C4">
            <w:pPr>
              <w:pStyle w:val="List"/>
            </w:pPr>
            <w:r w:rsidRPr="00C220C4">
              <w:t>2.4.</w:t>
            </w:r>
            <w:r w:rsidRPr="00C220C4">
              <w:tab/>
              <w:t>Strategies for resolving non-compliant factors of workplace conditions and entitlements are suggested or sought from appropriate persons.</w:t>
            </w:r>
          </w:p>
          <w:p w:rsidR="00000000" w:rsidRPr="00C220C4" w:rsidP="00C220C4">
            <w:pPr>
              <w:pStyle w:val="List"/>
            </w:pPr>
            <w:r w:rsidRPr="00C220C4">
              <w:t>2.</w:t>
            </w:r>
            <w:r w:rsidRPr="00C220C4">
              <w:t>5.</w:t>
            </w:r>
            <w:r w:rsidRPr="00C220C4">
              <w:tab/>
              <w:t>Participation in and contribution to resolution of non-compliance is made according to organisational procedures.</w:t>
            </w:r>
          </w:p>
          <w:p w:rsidR="00000000" w:rsidP="00C220C4">
            <w:pPr>
              <w:pStyle w:val="List"/>
              <w:rPr>
                <w:lang w:val="en-NZ"/>
              </w:rPr>
            </w:pPr>
            <w:r w:rsidRPr="00C220C4">
              <w:t>2.6.</w:t>
            </w:r>
            <w:r w:rsidRPr="00C220C4">
              <w:tab/>
              <w:t xml:space="preserve">Records and reports are completed and processed according to organisational and legislative requirements. </w:t>
            </w:r>
          </w:p>
        </w:tc>
      </w:tr>
      <w:tr w:rsidTr="003957D4">
        <w:tblPrEx>
          <w:tblW w:w="0" w:type="auto"/>
          <w:tblLayout w:type="fixed"/>
          <w:tblCellMar>
            <w:left w:w="62" w:type="dxa"/>
            <w:right w:w="62" w:type="dxa"/>
          </w:tblCellMar>
          <w:tblLook w:val="0000"/>
        </w:tblPrEx>
        <w:tc>
          <w:tcPr>
            <w:tcW w:w="2586" w:type="dxa"/>
            <w:gridSpan w:val="2"/>
            <w:tcBorders>
              <w:top w:val="nil"/>
              <w:left w:val="nil"/>
              <w:bottom w:val="nil"/>
              <w:right w:val="nil"/>
            </w:tcBorders>
            <w:tcMar>
              <w:top w:w="0" w:type="dxa"/>
              <w:left w:w="62" w:type="dxa"/>
              <w:bottom w:w="0" w:type="dxa"/>
              <w:right w:w="62" w:type="dxa"/>
            </w:tcMar>
          </w:tcPr>
          <w:p w:rsidR="00000000" w:rsidP="00C220C4">
            <w:pPr>
              <w:pStyle w:val="List"/>
              <w:rPr>
                <w:lang w:val="en-NZ"/>
              </w:rPr>
            </w:pPr>
            <w:r w:rsidRPr="00C220C4">
              <w:rPr>
                <w:rStyle w:val="SpecialBold"/>
              </w:rPr>
              <w:t>3.</w:t>
            </w:r>
            <w:r w:rsidRPr="00C220C4">
              <w:rPr>
                <w:rStyle w:val="SpecialBold"/>
              </w:rPr>
              <w:tab/>
            </w:r>
            <w:r w:rsidRPr="00C220C4">
              <w:rPr>
                <w:rStyle w:val="SpecialBold"/>
              </w:rPr>
              <w:t>Contribute to compliance with workplace relations legislation</w:t>
            </w:r>
          </w:p>
        </w:tc>
        <w:tc>
          <w:tcPr>
            <w:tcW w:w="5936" w:type="dxa"/>
            <w:tcBorders>
              <w:top w:val="nil"/>
              <w:left w:val="nil"/>
              <w:bottom w:val="nil"/>
              <w:right w:val="nil"/>
            </w:tcBorders>
            <w:tcMar>
              <w:top w:w="0" w:type="dxa"/>
              <w:left w:w="62" w:type="dxa"/>
              <w:bottom w:w="0" w:type="dxa"/>
              <w:right w:w="62" w:type="dxa"/>
            </w:tcMar>
          </w:tcPr>
          <w:p w:rsidR="00000000" w:rsidRPr="00C220C4" w:rsidP="00C220C4">
            <w:pPr>
              <w:pStyle w:val="List"/>
            </w:pPr>
            <w:r w:rsidRPr="00C220C4">
              <w:t>3.1.</w:t>
            </w:r>
            <w:r w:rsidRPr="00C220C4">
              <w:tab/>
              <w:t xml:space="preserve">Compliance requirements of workplace relations legislation are communicated to relevant persons to confirm understanding and ensure consistency of interpretation and application. </w:t>
            </w:r>
          </w:p>
          <w:p w:rsidR="00000000" w:rsidRPr="00C220C4" w:rsidP="00C220C4">
            <w:pPr>
              <w:pStyle w:val="List"/>
            </w:pPr>
            <w:r w:rsidRPr="00C220C4">
              <w:t>3.2.</w:t>
            </w:r>
            <w:r w:rsidRPr="00C220C4">
              <w:tab/>
              <w:t>Pote</w:t>
            </w:r>
            <w:r w:rsidRPr="00C220C4">
              <w:t xml:space="preserve">ntial consequences of non-compliance with workplace relations legislation are conveyed using language and examples suited to individual needs. </w:t>
            </w:r>
          </w:p>
          <w:p w:rsidR="00000000" w:rsidRPr="00C220C4" w:rsidP="00C220C4">
            <w:pPr>
              <w:pStyle w:val="List"/>
            </w:pPr>
            <w:r w:rsidRPr="00C220C4">
              <w:t>3.3.</w:t>
            </w:r>
            <w:r w:rsidRPr="00C220C4">
              <w:tab/>
              <w:t>Practices that may contribute to non-compliance are identified and addressed.</w:t>
            </w:r>
          </w:p>
        </w:tc>
      </w:tr>
    </w:tbl>
    <w:p w:rsidR="00000000" w:rsidRPr="00C220C4" w:rsidP="00C220C4">
      <w:pPr>
        <w:pStyle w:val="BodyText"/>
      </w:pPr>
    </w:p>
    <w:p w:rsidR="00000000" w:rsidRPr="00C220C4" w:rsidP="00C220C4">
      <w:pPr>
        <w:pStyle w:val="AllowPageBreak"/>
      </w:pPr>
    </w:p>
    <w:p w:rsidR="00000000" w:rsidRPr="00C220C4" w:rsidP="00C220C4">
      <w:pPr>
        <w:pStyle w:val="Heading1"/>
      </w:pPr>
      <w:bookmarkStart w:id="9" w:name="O_496300"/>
      <w:bookmarkEnd w:id="9"/>
      <w:r w:rsidRPr="00C220C4">
        <w:t>Required S</w:t>
      </w:r>
      <w:r w:rsidRPr="00C220C4">
        <w:t>kills and Knowledge</w:t>
      </w:r>
    </w:p>
    <w:tbl>
      <w:tblPr>
        <w:tblW w:w="0" w:type="auto"/>
        <w:tblLayout w:type="fixed"/>
        <w:tblCellMar>
          <w:left w:w="62" w:type="dxa"/>
          <w:right w:w="62" w:type="dxa"/>
        </w:tblCellMar>
        <w:tblLook w:val="0000"/>
      </w:tblPr>
      <w:tblGrid>
        <w:gridCol w:w="8522"/>
      </w:tblGrid>
      <w:tr w:rsidTr="00395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t>This section describes the skills and knowledge required for this unit.</w:t>
            </w:r>
          </w:p>
        </w:tc>
      </w:tr>
      <w:tr w:rsidTr="00395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SpecialBold"/>
              </w:rPr>
              <w:t>Required skills</w:t>
            </w:r>
          </w:p>
        </w:tc>
      </w:tr>
      <w:tr w:rsidTr="00395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220C4" w:rsidP="00C220C4">
            <w:pPr>
              <w:pStyle w:val="ListBullet2"/>
            </w:pPr>
            <w:r w:rsidRPr="00C220C4">
              <w:t>language and literacy skills to:</w:t>
            </w:r>
          </w:p>
          <w:p w:rsidR="00000000" w:rsidRPr="00C220C4" w:rsidP="00C220C4">
            <w:pPr>
              <w:pStyle w:val="ListBullet3"/>
            </w:pPr>
            <w:r w:rsidRPr="00C220C4">
              <w:t xml:space="preserve">read, interpret and communicate legislation, regulations, policies, procedures and </w:t>
            </w:r>
            <w:r w:rsidRPr="00C220C4">
              <w:t>guidelines relating to workplace relations</w:t>
            </w:r>
          </w:p>
          <w:p w:rsidR="00000000" w:rsidRPr="00C220C4" w:rsidP="00C220C4">
            <w:pPr>
              <w:pStyle w:val="ListBullet3"/>
            </w:pPr>
            <w:r w:rsidRPr="00C220C4">
              <w:t>prepare reports and correspondence containing information that is impartial, validated, accurate and complete</w:t>
            </w:r>
          </w:p>
          <w:p w:rsidR="00000000" w:rsidRPr="00C220C4" w:rsidP="00C220C4">
            <w:pPr>
              <w:pStyle w:val="ListBullet3"/>
            </w:pPr>
            <w:r w:rsidRPr="00C220C4">
              <w:t>communicate impartially and diplomatically with diverse stakeholders, including conducting open discuss</w:t>
            </w:r>
            <w:r w:rsidRPr="00C220C4">
              <w:t xml:space="preserve">ions and using appropriate questioning techniques </w:t>
            </w:r>
          </w:p>
          <w:p w:rsidR="00000000" w:rsidRPr="00C220C4" w:rsidP="00C220C4">
            <w:pPr>
              <w:pStyle w:val="ListBullet2"/>
            </w:pPr>
            <w:r w:rsidRPr="00C220C4">
              <w:t>time-management skills to plan and prioritise work</w:t>
            </w:r>
          </w:p>
          <w:p w:rsidR="00000000" w:rsidRPr="00C220C4" w:rsidP="00C220C4">
            <w:pPr>
              <w:pStyle w:val="ListBullet2"/>
            </w:pPr>
            <w:r w:rsidRPr="00C220C4">
              <w:t>interpersonal and teamwork skills to:</w:t>
            </w:r>
          </w:p>
          <w:p w:rsidR="00000000" w:rsidRPr="00C220C4" w:rsidP="00C220C4">
            <w:pPr>
              <w:pStyle w:val="ListBullet3"/>
            </w:pPr>
            <w:r w:rsidRPr="00C220C4">
              <w:t>work as a member of a team</w:t>
            </w:r>
          </w:p>
          <w:p w:rsidR="00000000" w:rsidRPr="00C220C4" w:rsidP="00C220C4">
            <w:pPr>
              <w:pStyle w:val="ListBullet3"/>
            </w:pPr>
            <w:r w:rsidRPr="00C220C4">
              <w:t>consult and provide advice</w:t>
            </w:r>
          </w:p>
          <w:p w:rsidR="00000000" w:rsidP="00C220C4">
            <w:pPr>
              <w:pStyle w:val="ListBullet2"/>
              <w:rPr>
                <w:lang w:val="en-NZ"/>
              </w:rPr>
            </w:pPr>
            <w:r w:rsidRPr="00C220C4">
              <w:t>organising and planning skills to administer and manage records and files</w:t>
            </w:r>
          </w:p>
        </w:tc>
      </w:tr>
      <w:tr w:rsidTr="00395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SpecialBold"/>
              </w:rPr>
              <w:t>Required knowledge</w:t>
            </w:r>
          </w:p>
        </w:tc>
      </w:tr>
      <w:tr w:rsidTr="00395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220C4" w:rsidP="00C220C4">
            <w:pPr>
              <w:pStyle w:val="ListBullet2"/>
            </w:pPr>
            <w:r w:rsidRPr="00C220C4">
              <w:t>workplace relations framework</w:t>
            </w:r>
          </w:p>
          <w:p w:rsidR="00000000" w:rsidRPr="00C220C4" w:rsidP="00C220C4">
            <w:pPr>
              <w:pStyle w:val="ListBullet2"/>
            </w:pPr>
            <w:r w:rsidRPr="00C220C4">
              <w:t>workplace relations legislation, including conditions and entitlements</w:t>
            </w:r>
          </w:p>
          <w:p w:rsidR="00000000" w:rsidRPr="00C220C4" w:rsidP="00C220C4">
            <w:pPr>
              <w:pStyle w:val="ListBullet2"/>
            </w:pPr>
            <w:r w:rsidRPr="00C220C4">
              <w:t xml:space="preserve">relevant support organisations </w:t>
            </w:r>
          </w:p>
          <w:p w:rsidR="00000000" w:rsidRPr="00C220C4" w:rsidP="00C220C4">
            <w:pPr>
              <w:pStyle w:val="ListBullet2"/>
            </w:pPr>
            <w:r w:rsidRPr="00C220C4">
              <w:t>common and case law</w:t>
            </w:r>
          </w:p>
          <w:p w:rsidR="00000000" w:rsidRPr="00C220C4" w:rsidP="00C220C4">
            <w:pPr>
              <w:pStyle w:val="ListBullet2"/>
            </w:pPr>
            <w:r w:rsidRPr="00C220C4">
              <w:t>strategies for encouraging compliance, such as:</w:t>
            </w:r>
          </w:p>
          <w:p w:rsidR="00000000" w:rsidRPr="00C220C4" w:rsidP="00C220C4">
            <w:pPr>
              <w:pStyle w:val="ListBullet3"/>
            </w:pPr>
            <w:r w:rsidRPr="00C220C4">
              <w:t>advice sheets and checklists</w:t>
            </w:r>
          </w:p>
          <w:p w:rsidR="00000000" w:rsidRPr="00C220C4" w:rsidP="00C220C4">
            <w:pPr>
              <w:pStyle w:val="ListBullet3"/>
            </w:pPr>
            <w:r w:rsidRPr="00C220C4">
              <w:t>transparency of workplace arrangements</w:t>
            </w:r>
          </w:p>
          <w:p w:rsidR="00000000" w:rsidRPr="00C220C4" w:rsidP="00C220C4">
            <w:pPr>
              <w:pStyle w:val="ListBullet2"/>
            </w:pPr>
            <w:r w:rsidRPr="00C220C4">
              <w:t xml:space="preserve">roles and responsibilities of stakeholders, including employers, employees, legal </w:t>
            </w:r>
            <w:r w:rsidRPr="00C220C4">
              <w:t>representatives, unions, advisory bodies and other government agencies</w:t>
            </w:r>
          </w:p>
          <w:p w:rsidR="00000000" w:rsidRPr="00C220C4" w:rsidP="00C220C4">
            <w:pPr>
              <w:pStyle w:val="ListBullet2"/>
            </w:pPr>
            <w:r w:rsidRPr="00C220C4">
              <w:t xml:space="preserve">procedures and protocols for reporting non-compliance with workplace relations legislation </w:t>
            </w:r>
          </w:p>
          <w:p w:rsidR="00000000" w:rsidRPr="00C220C4" w:rsidP="00C220C4">
            <w:pPr>
              <w:pStyle w:val="ListBullet2"/>
            </w:pPr>
            <w:r w:rsidRPr="00C220C4">
              <w:t>consequences of non-compliance with workplace relations legislation</w:t>
            </w:r>
          </w:p>
          <w:p w:rsidR="00000000" w:rsidRPr="00C220C4" w:rsidP="00C220C4">
            <w:pPr>
              <w:pStyle w:val="ListBullet2"/>
            </w:pPr>
            <w:r w:rsidRPr="00C220C4">
              <w:t>organisational policies a</w:t>
            </w:r>
            <w:r w:rsidRPr="00C220C4">
              <w:t>nd procedures relating to managing compliance with workplace relations legislation</w:t>
            </w:r>
          </w:p>
        </w:tc>
      </w:tr>
    </w:tbl>
    <w:p w:rsidR="00000000" w:rsidRPr="00C220C4" w:rsidP="00C220C4">
      <w:pPr>
        <w:pStyle w:val="BodyText"/>
      </w:pPr>
    </w:p>
    <w:p w:rsidR="00000000" w:rsidRPr="00C220C4" w:rsidP="00C220C4">
      <w:pPr>
        <w:pStyle w:val="AllowPageBreak"/>
      </w:pPr>
    </w:p>
    <w:p w:rsidR="00000000" w:rsidRPr="00C220C4" w:rsidP="00C220C4">
      <w:pPr>
        <w:pStyle w:val="Heading1"/>
      </w:pPr>
      <w:bookmarkStart w:id="10" w:name="O_496302"/>
      <w:bookmarkEnd w:id="10"/>
      <w:r w:rsidRPr="00C220C4">
        <w:t>Evidence Guide</w:t>
      </w:r>
    </w:p>
    <w:tbl>
      <w:tblPr>
        <w:tblW w:w="9288" w:type="dxa"/>
        <w:tblLayout w:type="fixed"/>
        <w:tblCellMar>
          <w:left w:w="62" w:type="dxa"/>
          <w:right w:w="62" w:type="dxa"/>
        </w:tblCellMar>
        <w:tblLook w:val="0000"/>
      </w:tblPr>
      <w:tblGrid>
        <w:gridCol w:w="2725"/>
        <w:gridCol w:w="6563"/>
      </w:tblGrid>
      <w:tr w:rsidTr="003957D4">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t>The Evidence Guide provides advice on assessment and must be read in conjunction with the performance criteria, required skills and knowledge, range statement and the Assessment Guidelines for the Training Package.</w:t>
            </w:r>
          </w:p>
        </w:tc>
      </w:tr>
      <w:tr w:rsidTr="003957D4">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SpecialBold"/>
              </w:rPr>
              <w:t>Critical aspects for assessment and evi</w:t>
            </w:r>
            <w:r w:rsidRPr="00C220C4">
              <w:rPr>
                <w:rStyle w:val="SpecialBold"/>
              </w:rPr>
              <w:t>dence required to demonstrate competency in this unit</w:t>
            </w:r>
          </w:p>
        </w:tc>
        <w:tc>
          <w:tcPr>
            <w:tcW w:w="6563" w:type="dxa"/>
            <w:tcBorders>
              <w:top w:val="nil"/>
              <w:left w:val="nil"/>
              <w:bottom w:val="nil"/>
              <w:right w:val="nil"/>
            </w:tcBorders>
            <w:tcMar>
              <w:top w:w="0" w:type="dxa"/>
              <w:left w:w="62" w:type="dxa"/>
              <w:bottom w:w="0" w:type="dxa"/>
              <w:right w:w="62" w:type="dxa"/>
            </w:tcMar>
          </w:tcPr>
          <w:p w:rsidR="00000000" w:rsidRPr="00C220C4" w:rsidP="00C220C4">
            <w:pPr>
              <w:pStyle w:val="BodyText"/>
            </w:pPr>
            <w:r w:rsidRPr="00C220C4">
              <w:t>Assessment must confirm the ability to:</w:t>
            </w:r>
          </w:p>
          <w:p w:rsidR="00000000" w:rsidRPr="00C220C4" w:rsidP="00C220C4">
            <w:pPr>
              <w:pStyle w:val="ListBullet2"/>
            </w:pPr>
            <w:r w:rsidRPr="00C220C4">
              <w:t xml:space="preserve">interpret and communicate workplace relations information to diverse stakeholders </w:t>
            </w:r>
          </w:p>
          <w:p w:rsidR="00000000" w:rsidRPr="00C220C4" w:rsidP="00C220C4">
            <w:pPr>
              <w:pStyle w:val="ListBullet2"/>
            </w:pPr>
            <w:r w:rsidRPr="00C220C4">
              <w:t xml:space="preserve">identify and assess potential breaches of workplace relations legislation </w:t>
            </w:r>
          </w:p>
          <w:p w:rsidR="00000000" w:rsidRPr="00C220C4" w:rsidP="00C220C4">
            <w:pPr>
              <w:pStyle w:val="ListBullet2"/>
            </w:pPr>
            <w:r w:rsidRPr="00C220C4">
              <w:t>res</w:t>
            </w:r>
            <w:r w:rsidRPr="00C220C4">
              <w:t>earch specific details of workplace relations legislation</w:t>
            </w:r>
          </w:p>
          <w:p w:rsidR="00000000" w:rsidRPr="00C220C4" w:rsidP="00C220C4">
            <w:pPr>
              <w:pStyle w:val="ListBullet2"/>
            </w:pPr>
            <w:r w:rsidRPr="00C220C4">
              <w:t>participate in resolution of workplace relations non-compliance issues.</w:t>
            </w:r>
          </w:p>
          <w:p w:rsidR="00000000" w:rsidRPr="00C220C4" w:rsidP="00C220C4">
            <w:pPr>
              <w:pStyle w:val="BodyText"/>
            </w:pPr>
            <w:r w:rsidRPr="00C220C4">
              <w:rPr>
                <w:rStyle w:val="SpecialBold"/>
              </w:rPr>
              <w:t>Consistency in performance</w:t>
            </w:r>
          </w:p>
          <w:p w:rsidR="00000000" w:rsidP="00C220C4">
            <w:pPr>
              <w:pStyle w:val="BodyText"/>
              <w:rPr>
                <w:lang w:val="en-NZ"/>
              </w:rPr>
            </w:pPr>
            <w:r w:rsidRPr="00C220C4">
              <w:t>Competency should be demonstrated by managing, or providing consultation to the management, on a range of workplace relations non-compliance issues in a variety of contexts.</w:t>
            </w:r>
          </w:p>
        </w:tc>
      </w:tr>
      <w:tr w:rsidTr="003957D4">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SpecialBold"/>
              </w:rPr>
              <w:t>Context of and specific resources for assessment</w:t>
            </w:r>
          </w:p>
        </w:tc>
        <w:tc>
          <w:tcPr>
            <w:tcW w:w="6563" w:type="dxa"/>
            <w:tcBorders>
              <w:top w:val="nil"/>
              <w:left w:val="nil"/>
              <w:bottom w:val="nil"/>
              <w:right w:val="nil"/>
            </w:tcBorders>
            <w:tcMar>
              <w:top w:w="0" w:type="dxa"/>
              <w:left w:w="62" w:type="dxa"/>
              <w:bottom w:w="0" w:type="dxa"/>
              <w:right w:w="62" w:type="dxa"/>
            </w:tcMar>
          </w:tcPr>
          <w:p w:rsidR="00000000" w:rsidRPr="00C220C4" w:rsidP="00C220C4">
            <w:pPr>
              <w:pStyle w:val="BodyText"/>
            </w:pPr>
            <w:r w:rsidRPr="00C220C4">
              <w:t>Assessment must comply with:</w:t>
            </w:r>
          </w:p>
          <w:p w:rsidR="00000000" w:rsidRPr="00C220C4" w:rsidP="00C220C4">
            <w:pPr>
              <w:pStyle w:val="ListBullet2"/>
            </w:pPr>
            <w:r w:rsidRPr="00C220C4">
              <w:t>or</w:t>
            </w:r>
            <w:r w:rsidRPr="00C220C4">
              <w:t>ganisational client management and health and safety procedures</w:t>
            </w:r>
          </w:p>
          <w:p w:rsidR="00000000" w:rsidRPr="00C220C4" w:rsidP="00C220C4">
            <w:pPr>
              <w:pStyle w:val="ListBullet2"/>
            </w:pPr>
            <w:r w:rsidRPr="00C220C4">
              <w:t>applicable regulations and codes</w:t>
            </w:r>
          </w:p>
          <w:p w:rsidR="00000000" w:rsidRPr="00C220C4" w:rsidP="00C220C4">
            <w:pPr>
              <w:pStyle w:val="BodyText"/>
            </w:pPr>
            <w:r w:rsidRPr="00C220C4">
              <w:t>Access may be required to:</w:t>
            </w:r>
          </w:p>
          <w:p w:rsidR="00000000" w:rsidRPr="00C220C4" w:rsidP="00C220C4">
            <w:pPr>
              <w:pStyle w:val="ListBullet2"/>
            </w:pPr>
            <w:r w:rsidRPr="00C220C4">
              <w:t xml:space="preserve">a simulated work environment </w:t>
            </w:r>
          </w:p>
          <w:p w:rsidR="00000000" w:rsidRPr="00C220C4" w:rsidP="00C220C4">
            <w:pPr>
              <w:pStyle w:val="ListBullet2"/>
            </w:pPr>
            <w:r w:rsidRPr="00C220C4">
              <w:t>organisational policies and procedures</w:t>
            </w:r>
          </w:p>
          <w:p w:rsidR="00000000" w:rsidP="00C220C4">
            <w:pPr>
              <w:pStyle w:val="ListBullet2"/>
              <w:rPr>
                <w:lang w:val="en-NZ"/>
              </w:rPr>
            </w:pPr>
            <w:r w:rsidRPr="00C220C4">
              <w:t>workplace relations information</w:t>
            </w:r>
          </w:p>
        </w:tc>
      </w:tr>
      <w:tr w:rsidTr="003957D4">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SpecialBold"/>
              </w:rPr>
              <w:t>Guidance information for asse</w:t>
            </w:r>
            <w:r w:rsidRPr="00C220C4">
              <w:rPr>
                <w:rStyle w:val="SpecialBold"/>
              </w:rPr>
              <w:t>ssment</w:t>
            </w:r>
          </w:p>
        </w:tc>
        <w:tc>
          <w:tcPr>
            <w:tcW w:w="6563" w:type="dxa"/>
            <w:tcBorders>
              <w:top w:val="nil"/>
              <w:left w:val="nil"/>
              <w:bottom w:val="nil"/>
              <w:right w:val="nil"/>
            </w:tcBorders>
            <w:tcMar>
              <w:top w:w="0" w:type="dxa"/>
              <w:left w:w="62" w:type="dxa"/>
              <w:bottom w:w="0" w:type="dxa"/>
              <w:right w:w="62" w:type="dxa"/>
            </w:tcMar>
          </w:tcPr>
          <w:p w:rsidR="00000000" w:rsidRPr="00C220C4" w:rsidP="00C220C4">
            <w:pPr>
              <w:pStyle w:val="BodyText"/>
            </w:pPr>
            <w:r w:rsidRPr="00C220C4">
              <w:t>The following assessment methods are suggested:</w:t>
            </w:r>
          </w:p>
          <w:p w:rsidR="00000000" w:rsidRPr="00C220C4" w:rsidP="00C220C4">
            <w:pPr>
              <w:pStyle w:val="ListBullet2"/>
            </w:pPr>
            <w:r w:rsidRPr="00C220C4">
              <w:t>oral questioning about:</w:t>
            </w:r>
          </w:p>
          <w:p w:rsidR="00000000" w:rsidRPr="00C220C4" w:rsidP="00C220C4">
            <w:pPr>
              <w:pStyle w:val="ListBullet3"/>
            </w:pPr>
            <w:r w:rsidRPr="00C220C4">
              <w:t>conditions and entitlements</w:t>
            </w:r>
          </w:p>
          <w:p w:rsidR="00000000" w:rsidRPr="00C220C4" w:rsidP="00C220C4">
            <w:pPr>
              <w:pStyle w:val="ListBullet3"/>
            </w:pPr>
            <w:r w:rsidRPr="00C220C4">
              <w:t>types of industrial instruments</w:t>
            </w:r>
          </w:p>
          <w:p w:rsidR="00000000" w:rsidRPr="00C220C4" w:rsidP="00C220C4">
            <w:pPr>
              <w:pStyle w:val="ListBullet3"/>
            </w:pPr>
            <w:r w:rsidRPr="00C220C4">
              <w:t>common non-compliance issues and strategies for resolution</w:t>
            </w:r>
          </w:p>
          <w:p w:rsidR="00000000" w:rsidRPr="00C220C4" w:rsidP="00C220C4">
            <w:pPr>
              <w:pStyle w:val="ListBullet2"/>
            </w:pPr>
            <w:r w:rsidRPr="00C220C4">
              <w:t>observation of the candidate assessing a variety of non-compliance issues and proposing options for resolution</w:t>
            </w:r>
          </w:p>
          <w:p w:rsidR="00000000" w:rsidRPr="00C220C4" w:rsidP="00C220C4">
            <w:pPr>
              <w:pStyle w:val="ListBullet2"/>
            </w:pPr>
            <w:r w:rsidRPr="00C220C4">
              <w:t>feedback from peers and/or supervisor that the candidate consistently applies relevant workplace procedures</w:t>
            </w:r>
          </w:p>
          <w:p w:rsidR="00000000" w:rsidRPr="00C220C4" w:rsidP="00C220C4">
            <w:pPr>
              <w:pStyle w:val="ListBullet2"/>
            </w:pPr>
            <w:r w:rsidRPr="00C220C4">
              <w:t>review of records completed by candid</w:t>
            </w:r>
            <w:r w:rsidRPr="00C220C4">
              <w:t>ate or reports of performance</w:t>
            </w:r>
          </w:p>
          <w:p w:rsidR="00000000" w:rsidRPr="00C220C4" w:rsidP="00C220C4">
            <w:pPr>
              <w:pStyle w:val="BodyText"/>
            </w:pPr>
            <w:r w:rsidRPr="00C220C4">
              <w:t>In all cases, practical assessment should be supported by questions to assess underpinning knowledge and those aspects of competency that are difficult to assess directly. Questioning techniques should suit the language and li</w:t>
            </w:r>
            <w:r w:rsidRPr="00C220C4">
              <w:t>teracy levels of the candidate.</w:t>
            </w:r>
          </w:p>
        </w:tc>
      </w:tr>
    </w:tbl>
    <w:p w:rsidR="00000000" w:rsidRPr="00C220C4" w:rsidP="00C220C4">
      <w:pPr>
        <w:pStyle w:val="BodyText"/>
      </w:pPr>
    </w:p>
    <w:p w:rsidR="00000000" w:rsidRPr="00C220C4" w:rsidP="00C220C4">
      <w:pPr>
        <w:pStyle w:val="AllowPageBreak"/>
      </w:pPr>
    </w:p>
    <w:p w:rsidR="00000000" w:rsidRPr="00C220C4" w:rsidP="00C220C4">
      <w:pPr>
        <w:pStyle w:val="Heading1"/>
      </w:pPr>
      <w:bookmarkStart w:id="11" w:name="O_496299"/>
      <w:bookmarkEnd w:id="11"/>
      <w:r w:rsidRPr="00C220C4">
        <w:t>Range Statement</w:t>
      </w:r>
    </w:p>
    <w:tbl>
      <w:tblPr>
        <w:tblW w:w="0" w:type="auto"/>
        <w:tblCellMar>
          <w:left w:w="62" w:type="dxa"/>
          <w:right w:w="62" w:type="dxa"/>
        </w:tblCellMar>
        <w:tblLook w:val="0000"/>
      </w:tblPr>
      <w:tblGrid>
        <w:gridCol w:w="2633"/>
        <w:gridCol w:w="6563"/>
      </w:tblGrid>
      <w:tr w:rsidTr="003957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t>The range statement relates to the unit of competency as a whole. It allows for different work environments and situations that may affect performance.</w:t>
            </w:r>
            <w:r w:rsidRPr="00C220C4">
              <w:rPr>
                <w:rStyle w:val="BoldandItalics"/>
              </w:rPr>
              <w:t xml:space="preserve"> Bold italicised</w:t>
            </w:r>
            <w:r w:rsidRPr="00C220C4">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C220C4">
              <w:t>gional contexts) may also be included.</w:t>
            </w:r>
          </w:p>
        </w:tc>
      </w:tr>
      <w:tr w:rsidTr="0039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BoldandItalics"/>
              </w:rPr>
              <w:t>Workplace relations legislation and guidance information</w:t>
            </w:r>
            <w:r w:rsidRPr="00C220C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220C4" w:rsidP="00C220C4">
            <w:pPr>
              <w:pStyle w:val="ListBullet2"/>
            </w:pPr>
            <w:r w:rsidRPr="00C220C4">
              <w:t xml:space="preserve">legislation, codes and standards relevant to the workplace, such as: </w:t>
            </w:r>
          </w:p>
          <w:p w:rsidR="00000000" w:rsidRPr="00C220C4" w:rsidP="00C220C4">
            <w:pPr>
              <w:pStyle w:val="ListBullet3"/>
            </w:pPr>
            <w:r w:rsidRPr="00C220C4">
              <w:t>Workplace Relations Act 1996</w:t>
            </w:r>
          </w:p>
          <w:p w:rsidR="00000000" w:rsidRPr="00C220C4" w:rsidP="00C220C4">
            <w:pPr>
              <w:pStyle w:val="ListBullet3"/>
            </w:pPr>
            <w:r w:rsidRPr="00C220C4">
              <w:t>workplace relations regulations</w:t>
            </w:r>
          </w:p>
          <w:p w:rsidR="00000000" w:rsidRPr="00C220C4" w:rsidP="00C220C4">
            <w:pPr>
              <w:pStyle w:val="ListBullet3"/>
            </w:pPr>
            <w:r w:rsidRPr="00C220C4">
              <w:t xml:space="preserve">Fair Work Act 2009 </w:t>
            </w:r>
          </w:p>
          <w:p w:rsidR="00000000" w:rsidRPr="00C220C4" w:rsidP="00C220C4">
            <w:pPr>
              <w:pStyle w:val="ListBullet3"/>
            </w:pPr>
            <w:r w:rsidRPr="00C220C4">
              <w:t>Independent Contractors Act 2006</w:t>
            </w:r>
          </w:p>
          <w:p w:rsidR="00000000" w:rsidRPr="00C220C4" w:rsidP="00C220C4">
            <w:pPr>
              <w:pStyle w:val="ListBullet3"/>
            </w:pPr>
            <w:r w:rsidRPr="00C220C4">
              <w:t>other relevant federal, state or territory, and local legislation relating to:</w:t>
            </w:r>
          </w:p>
          <w:p w:rsidR="00000000" w:rsidRPr="00C220C4" w:rsidP="00C220C4">
            <w:pPr>
              <w:pStyle w:val="ListBullet3"/>
            </w:pPr>
            <w:r w:rsidRPr="00C220C4">
              <w:t>OHS</w:t>
            </w:r>
          </w:p>
          <w:p w:rsidR="00000000" w:rsidRPr="00C220C4" w:rsidP="00C220C4">
            <w:pPr>
              <w:pStyle w:val="ListBullet3"/>
            </w:pPr>
            <w:r w:rsidRPr="00C220C4">
              <w:t>human rights and equal employment opportunity</w:t>
            </w:r>
          </w:p>
          <w:p w:rsidR="00000000" w:rsidRPr="00C220C4" w:rsidP="00C220C4">
            <w:pPr>
              <w:pStyle w:val="ListBullet3"/>
            </w:pPr>
            <w:r w:rsidRPr="00C220C4">
              <w:t>industrial relations</w:t>
            </w:r>
          </w:p>
          <w:p w:rsidR="00000000" w:rsidRPr="00C220C4" w:rsidP="00C220C4">
            <w:pPr>
              <w:pStyle w:val="ListBullet3"/>
            </w:pPr>
            <w:r w:rsidRPr="00C220C4">
              <w:t>immigration</w:t>
            </w:r>
          </w:p>
          <w:p w:rsidR="00000000" w:rsidRPr="00C220C4" w:rsidP="00C220C4">
            <w:pPr>
              <w:pStyle w:val="ListBullet3"/>
            </w:pPr>
            <w:r w:rsidRPr="00C220C4">
              <w:t>superannuation</w:t>
            </w:r>
          </w:p>
          <w:p w:rsidR="00000000" w:rsidRPr="00C220C4" w:rsidP="00C220C4">
            <w:pPr>
              <w:pStyle w:val="ListBullet3"/>
            </w:pPr>
            <w:r w:rsidRPr="00C220C4">
              <w:t xml:space="preserve">workers compensation </w:t>
            </w:r>
          </w:p>
          <w:p w:rsidR="00000000" w:rsidRPr="00C220C4" w:rsidP="00C220C4">
            <w:pPr>
              <w:pStyle w:val="ListBullet3"/>
            </w:pPr>
            <w:r w:rsidRPr="00C220C4">
              <w:t>long</w:t>
            </w:r>
            <w:r w:rsidRPr="00C220C4">
              <w:t xml:space="preserve"> service leave </w:t>
            </w:r>
          </w:p>
          <w:p w:rsidR="00000000" w:rsidRPr="00C220C4" w:rsidP="00C220C4">
            <w:pPr>
              <w:pStyle w:val="ListBullet3"/>
            </w:pPr>
            <w:r w:rsidRPr="00C220C4">
              <w:t>relevant industry codes of practice</w:t>
            </w:r>
          </w:p>
          <w:p w:rsidR="00000000" w:rsidRPr="00C220C4" w:rsidP="00C220C4">
            <w:pPr>
              <w:pStyle w:val="ListBullet3"/>
            </w:pPr>
            <w:r w:rsidRPr="00C220C4">
              <w:t>note: legislation, codes and standards are subject to change and current relevant versions should be researched</w:t>
            </w:r>
          </w:p>
          <w:p w:rsidR="00000000" w:rsidRPr="00C220C4" w:rsidP="00C220C4">
            <w:pPr>
              <w:pStyle w:val="ListBullet2"/>
            </w:pPr>
            <w:r w:rsidRPr="00C220C4">
              <w:t>relevant awards, employment contracts or industrial instruments, such as:</w:t>
            </w:r>
          </w:p>
          <w:p w:rsidR="00000000" w:rsidRPr="00C220C4" w:rsidP="00C220C4">
            <w:pPr>
              <w:pStyle w:val="ListBullet3"/>
            </w:pPr>
            <w:r w:rsidRPr="00C220C4">
              <w:t>employee collective agreement (ECA)</w:t>
            </w:r>
          </w:p>
          <w:p w:rsidR="00000000" w:rsidRPr="00C220C4" w:rsidP="00C220C4">
            <w:pPr>
              <w:pStyle w:val="ListBullet3"/>
            </w:pPr>
            <w:r w:rsidRPr="00C220C4">
              <w:t>union collective agreement (UCA)</w:t>
            </w:r>
          </w:p>
          <w:p w:rsidR="00000000" w:rsidRPr="00C220C4" w:rsidP="00C220C4">
            <w:pPr>
              <w:pStyle w:val="ListBullet3"/>
            </w:pPr>
            <w:r w:rsidRPr="00C220C4">
              <w:t>employee greenfield agreement (EGA)</w:t>
            </w:r>
          </w:p>
          <w:p w:rsidR="00000000" w:rsidRPr="00C220C4" w:rsidP="00C220C4">
            <w:pPr>
              <w:pStyle w:val="ListBullet3"/>
            </w:pPr>
            <w:r w:rsidRPr="00C220C4">
              <w:t xml:space="preserve">union greenfield agreement (UGA) </w:t>
            </w:r>
          </w:p>
          <w:p w:rsidR="00000000" w:rsidRPr="00C220C4" w:rsidP="00C220C4">
            <w:pPr>
              <w:pStyle w:val="ListBullet3"/>
            </w:pPr>
            <w:r w:rsidRPr="00C220C4">
              <w:t>Australian workplace agreement(AWA)</w:t>
            </w:r>
          </w:p>
          <w:p w:rsidR="00000000" w:rsidRPr="00C220C4" w:rsidP="00C220C4">
            <w:pPr>
              <w:pStyle w:val="ListBullet3"/>
            </w:pPr>
            <w:r w:rsidRPr="00C220C4">
              <w:t>individual transitional employment agreement (ITEA)</w:t>
            </w:r>
          </w:p>
          <w:p w:rsidR="00000000" w:rsidRPr="00C220C4" w:rsidP="00C220C4">
            <w:pPr>
              <w:pStyle w:val="ListBullet3"/>
            </w:pPr>
            <w:r w:rsidRPr="00C220C4">
              <w:t>enterprise bargaining agreeme</w:t>
            </w:r>
            <w:r w:rsidRPr="00C220C4">
              <w:t>nt (EBAs)</w:t>
            </w:r>
          </w:p>
          <w:p w:rsidR="00000000" w:rsidRPr="00C220C4" w:rsidP="00C220C4">
            <w:pPr>
              <w:pStyle w:val="ListBullet3"/>
            </w:pPr>
            <w:r w:rsidRPr="00C220C4">
              <w:t xml:space="preserve">multiple business agreement (MBA) </w:t>
            </w:r>
          </w:p>
          <w:p w:rsidR="00000000" w:rsidRPr="00C220C4" w:rsidP="00C220C4">
            <w:pPr>
              <w:pStyle w:val="ListBullet3"/>
            </w:pPr>
            <w:r w:rsidRPr="00C220C4">
              <w:t xml:space="preserve">common law contract (CLC) </w:t>
            </w:r>
          </w:p>
          <w:p w:rsidR="00000000" w:rsidRPr="00C220C4" w:rsidP="00C220C4">
            <w:pPr>
              <w:pStyle w:val="ListBullet3"/>
            </w:pPr>
            <w:r w:rsidRPr="00C220C4">
              <w:t>enterprise agreement</w:t>
            </w:r>
          </w:p>
          <w:p w:rsidR="00000000" w:rsidRPr="00C220C4" w:rsidP="00C220C4">
            <w:pPr>
              <w:pStyle w:val="ListBullet3"/>
            </w:pPr>
            <w:r w:rsidRPr="00C220C4">
              <w:t>single enterprise agreement</w:t>
            </w:r>
          </w:p>
          <w:p w:rsidR="00000000" w:rsidRPr="00C220C4" w:rsidP="00C220C4">
            <w:pPr>
              <w:pStyle w:val="ListBullet3"/>
            </w:pPr>
            <w:r w:rsidRPr="00C220C4">
              <w:t>multi enterprise agreement</w:t>
            </w:r>
          </w:p>
          <w:p w:rsidR="00000000" w:rsidRPr="00C220C4" w:rsidP="00C220C4">
            <w:pPr>
              <w:pStyle w:val="ListBullet3"/>
            </w:pPr>
            <w:r w:rsidRPr="00C220C4">
              <w:t>notional agreement preserving state award (NAPSA)</w:t>
            </w:r>
          </w:p>
          <w:p w:rsidR="00000000" w:rsidRPr="00C220C4" w:rsidP="00C220C4">
            <w:pPr>
              <w:pStyle w:val="ListBullet3"/>
            </w:pPr>
            <w:r w:rsidRPr="00C220C4">
              <w:t>preserved state agreement (PSA)</w:t>
            </w:r>
          </w:p>
          <w:p w:rsidR="00000000" w:rsidRPr="00C220C4" w:rsidP="00C220C4">
            <w:pPr>
              <w:pStyle w:val="ListBullet3"/>
            </w:pPr>
            <w:r w:rsidRPr="00C220C4">
              <w:t>greenfields agreement</w:t>
            </w:r>
          </w:p>
          <w:p w:rsidR="00000000" w:rsidRPr="00C220C4" w:rsidP="00C220C4">
            <w:pPr>
              <w:pStyle w:val="ListBullet3"/>
            </w:pPr>
            <w:r w:rsidRPr="00C220C4">
              <w:t>federal award</w:t>
            </w:r>
          </w:p>
          <w:p w:rsidR="00000000" w:rsidRPr="00C220C4" w:rsidP="00C220C4">
            <w:pPr>
              <w:pStyle w:val="ListBullet3"/>
            </w:pPr>
            <w:r w:rsidRPr="00C220C4">
              <w:t>state award</w:t>
            </w:r>
          </w:p>
          <w:p w:rsidR="00000000" w:rsidP="00C220C4">
            <w:pPr>
              <w:pStyle w:val="ListBullet3"/>
              <w:rPr>
                <w:lang w:val="en-NZ"/>
              </w:rPr>
            </w:pPr>
            <w:r w:rsidRPr="00C220C4">
              <w:t>contract for award-free employees</w:t>
            </w:r>
          </w:p>
        </w:tc>
      </w:tr>
      <w:tr w:rsidTr="0039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BoldandItalics"/>
              </w:rPr>
              <w:t>Workplace conditions and entitlements</w:t>
            </w:r>
            <w:r w:rsidRPr="00C220C4">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C220C4" w:rsidP="00C220C4">
            <w:pPr>
              <w:pStyle w:val="ListBullet2"/>
            </w:pPr>
            <w:r w:rsidRPr="00C220C4">
              <w:t>maximum weekly hours of work</w:t>
            </w:r>
          </w:p>
          <w:p w:rsidR="00000000" w:rsidRPr="00C220C4" w:rsidP="00C220C4">
            <w:pPr>
              <w:pStyle w:val="ListBullet2"/>
            </w:pPr>
            <w:r w:rsidRPr="00C220C4">
              <w:t>leave, including:</w:t>
            </w:r>
          </w:p>
          <w:p w:rsidR="00000000" w:rsidRPr="00C220C4" w:rsidP="00C220C4">
            <w:pPr>
              <w:pStyle w:val="ListBullet3"/>
            </w:pPr>
            <w:r w:rsidRPr="00C220C4">
              <w:t>annual leave</w:t>
            </w:r>
          </w:p>
          <w:p w:rsidR="00000000" w:rsidRPr="00C220C4" w:rsidP="00C220C4">
            <w:pPr>
              <w:pStyle w:val="ListBullet3"/>
            </w:pPr>
            <w:r w:rsidRPr="00C220C4">
              <w:t>parental leave and related entitlements</w:t>
            </w:r>
          </w:p>
          <w:p w:rsidR="00000000" w:rsidRPr="00C220C4" w:rsidP="00C220C4">
            <w:pPr>
              <w:pStyle w:val="ListBullet3"/>
            </w:pPr>
            <w:r w:rsidRPr="00C220C4">
              <w:t>personal/carer's leave and compassionate leave</w:t>
            </w:r>
          </w:p>
          <w:p w:rsidR="00000000" w:rsidRPr="00C220C4" w:rsidP="00C220C4">
            <w:pPr>
              <w:pStyle w:val="ListBullet3"/>
            </w:pPr>
            <w:r w:rsidRPr="00C220C4">
              <w:t>community service leave</w:t>
            </w:r>
          </w:p>
          <w:p w:rsidR="00000000" w:rsidRPr="00C220C4" w:rsidP="00C220C4">
            <w:pPr>
              <w:pStyle w:val="ListBullet3"/>
            </w:pPr>
            <w:r w:rsidRPr="00C220C4">
              <w:t>long service leave</w:t>
            </w:r>
          </w:p>
          <w:p w:rsidR="00000000" w:rsidRPr="00C220C4" w:rsidP="00C220C4">
            <w:pPr>
              <w:pStyle w:val="ListBullet2"/>
            </w:pPr>
            <w:r w:rsidRPr="00C220C4">
              <w:t>requests for flexible working arrangements</w:t>
            </w:r>
          </w:p>
          <w:p w:rsidR="00000000" w:rsidRPr="00C220C4" w:rsidP="00C220C4">
            <w:pPr>
              <w:pStyle w:val="ListBullet2"/>
            </w:pPr>
            <w:r w:rsidRPr="00C220C4">
              <w:t>public holidays</w:t>
            </w:r>
          </w:p>
          <w:p w:rsidR="00000000" w:rsidRPr="00C220C4" w:rsidP="00C220C4">
            <w:pPr>
              <w:pStyle w:val="ListBullet2"/>
            </w:pPr>
            <w:r w:rsidRPr="00C220C4">
              <w:t xml:space="preserve">notice of termination and redundancy pay </w:t>
            </w:r>
          </w:p>
          <w:p w:rsidR="00000000" w:rsidRPr="00C220C4" w:rsidP="00C220C4">
            <w:pPr>
              <w:pStyle w:val="ListBullet2"/>
            </w:pPr>
            <w:r w:rsidRPr="00C220C4">
              <w:t>minimum wages</w:t>
            </w:r>
          </w:p>
          <w:p w:rsidR="00000000" w:rsidP="00C220C4">
            <w:pPr>
              <w:pStyle w:val="ListBullet2"/>
              <w:rPr>
                <w:lang w:val="en-NZ"/>
              </w:rPr>
            </w:pPr>
            <w:r w:rsidRPr="00C220C4">
              <w:t xml:space="preserve">any other conditions or entitlements contained in </w:t>
            </w:r>
            <w:r w:rsidRPr="00C220C4">
              <w:t>industrial instruments, legislation or employment contracts</w:t>
            </w:r>
          </w:p>
        </w:tc>
      </w:tr>
      <w:tr w:rsidTr="0039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BoldandItalics"/>
              </w:rPr>
              <w:t>Advisory materials</w:t>
            </w:r>
            <w:r w:rsidRPr="00C220C4">
              <w:t xml:space="preserve"> may be sourced from:</w:t>
            </w:r>
          </w:p>
        </w:tc>
        <w:tc>
          <w:tcPr>
            <w:tcW w:w="0" w:type="auto"/>
            <w:tcBorders>
              <w:top w:val="nil"/>
              <w:left w:val="nil"/>
              <w:bottom w:val="nil"/>
              <w:right w:val="nil"/>
            </w:tcBorders>
            <w:tcMar>
              <w:top w:w="0" w:type="dxa"/>
              <w:left w:w="62" w:type="dxa"/>
              <w:bottom w:w="0" w:type="dxa"/>
              <w:right w:w="62" w:type="dxa"/>
            </w:tcMar>
          </w:tcPr>
          <w:p w:rsidR="00000000" w:rsidRPr="00C220C4" w:rsidP="00C220C4">
            <w:pPr>
              <w:pStyle w:val="ListBullet2"/>
            </w:pPr>
            <w:r w:rsidRPr="00C220C4">
              <w:t>organisational knowledge sources, such as computer databases</w:t>
            </w:r>
          </w:p>
          <w:p w:rsidR="00000000" w:rsidRPr="00C220C4" w:rsidP="00C220C4">
            <w:pPr>
              <w:pStyle w:val="ListBullet2"/>
            </w:pPr>
            <w:r w:rsidRPr="00C220C4">
              <w:t xml:space="preserve">training manuals and modules </w:t>
            </w:r>
          </w:p>
          <w:p w:rsidR="00000000" w:rsidP="00C220C4">
            <w:pPr>
              <w:pStyle w:val="ListBullet2"/>
              <w:rPr>
                <w:lang w:val="en-NZ"/>
              </w:rPr>
            </w:pPr>
            <w:r w:rsidRPr="00C220C4">
              <w:t>appropriate websites</w:t>
            </w:r>
          </w:p>
        </w:tc>
      </w:tr>
      <w:tr w:rsidTr="0039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BoldandItalics"/>
              </w:rPr>
              <w:t>Stakeholders</w:t>
            </w:r>
            <w:r w:rsidRPr="00C220C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220C4" w:rsidP="00C220C4">
            <w:pPr>
              <w:pStyle w:val="ListBullet2"/>
            </w:pPr>
            <w:r w:rsidRPr="00C220C4">
              <w:t>employees</w:t>
            </w:r>
          </w:p>
          <w:p w:rsidR="00000000" w:rsidRPr="00C220C4" w:rsidP="00C220C4">
            <w:pPr>
              <w:pStyle w:val="ListBullet2"/>
            </w:pPr>
            <w:r w:rsidRPr="00C220C4">
              <w:t>employers</w:t>
            </w:r>
          </w:p>
          <w:p w:rsidR="00000000" w:rsidRPr="00C220C4" w:rsidP="00C220C4">
            <w:pPr>
              <w:pStyle w:val="ListBullet2"/>
            </w:pPr>
            <w:r w:rsidRPr="00C220C4">
              <w:t xml:space="preserve">interested third parties </w:t>
            </w:r>
          </w:p>
          <w:p w:rsidR="00000000" w:rsidRPr="00C220C4" w:rsidP="00C220C4">
            <w:pPr>
              <w:pStyle w:val="ListBullet2"/>
            </w:pPr>
            <w:r w:rsidRPr="00C220C4">
              <w:t>trainees and apprentices</w:t>
            </w:r>
          </w:p>
          <w:p w:rsidR="00000000" w:rsidRPr="00C220C4" w:rsidP="00C220C4">
            <w:pPr>
              <w:pStyle w:val="ListBullet2"/>
            </w:pPr>
            <w:r w:rsidRPr="00C220C4">
              <w:t>employee representatives</w:t>
            </w:r>
          </w:p>
          <w:p w:rsidR="00000000" w:rsidRPr="00C220C4" w:rsidP="00C220C4">
            <w:pPr>
              <w:pStyle w:val="ListBullet2"/>
            </w:pPr>
            <w:r w:rsidRPr="00C220C4">
              <w:t>employer representatives</w:t>
            </w:r>
          </w:p>
          <w:p w:rsidR="00000000" w:rsidRPr="00C220C4" w:rsidP="00C220C4">
            <w:pPr>
              <w:pStyle w:val="ListBullet2"/>
            </w:pPr>
            <w:r w:rsidRPr="00C220C4">
              <w:t>union representatives</w:t>
            </w:r>
          </w:p>
          <w:p w:rsidR="00000000" w:rsidRPr="00C220C4" w:rsidP="00C220C4">
            <w:pPr>
              <w:pStyle w:val="ListBullet2"/>
            </w:pPr>
            <w:r w:rsidRPr="00C220C4">
              <w:t>employer associations</w:t>
            </w:r>
          </w:p>
          <w:p w:rsidR="00000000" w:rsidP="00C220C4">
            <w:pPr>
              <w:pStyle w:val="ListBullet2"/>
              <w:rPr>
                <w:lang w:val="en-NZ"/>
              </w:rPr>
            </w:pPr>
            <w:r w:rsidRPr="00C220C4">
              <w:t>government departments</w:t>
            </w:r>
          </w:p>
        </w:tc>
      </w:tr>
      <w:tr w:rsidTr="003957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0C4">
            <w:pPr>
              <w:pStyle w:val="BodyText"/>
              <w:rPr>
                <w:lang w:val="en-NZ"/>
              </w:rPr>
            </w:pPr>
            <w:r w:rsidRPr="00C220C4">
              <w:rPr>
                <w:rStyle w:val="BoldandItalics"/>
              </w:rPr>
              <w:t>Workplace documents</w:t>
            </w:r>
            <w:r w:rsidRPr="00C220C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220C4" w:rsidP="00C220C4">
            <w:pPr>
              <w:pStyle w:val="ListBullet2"/>
            </w:pPr>
            <w:r w:rsidRPr="00C220C4">
              <w:t>contracts</w:t>
            </w:r>
          </w:p>
          <w:p w:rsidR="00000000" w:rsidRPr="00C220C4" w:rsidP="00C220C4">
            <w:pPr>
              <w:pStyle w:val="ListBullet2"/>
            </w:pPr>
            <w:r w:rsidRPr="00C220C4">
              <w:t>knowledge articles</w:t>
            </w:r>
          </w:p>
          <w:p w:rsidR="00000000" w:rsidRPr="00C220C4" w:rsidP="00C220C4">
            <w:pPr>
              <w:pStyle w:val="ListBullet2"/>
            </w:pPr>
            <w:r w:rsidRPr="00C220C4">
              <w:t>written advice</w:t>
            </w:r>
          </w:p>
          <w:p w:rsidR="00000000" w:rsidRPr="00C220C4" w:rsidP="00C220C4">
            <w:pPr>
              <w:pStyle w:val="ListBullet2"/>
            </w:pPr>
            <w:r w:rsidRPr="00C220C4">
              <w:t>memos</w:t>
            </w:r>
          </w:p>
          <w:p w:rsidR="00000000" w:rsidRPr="00C220C4" w:rsidP="00C220C4">
            <w:pPr>
              <w:pStyle w:val="ListBullet2"/>
            </w:pPr>
            <w:r w:rsidRPr="00C220C4">
              <w:t>bulletins</w:t>
            </w:r>
          </w:p>
          <w:p w:rsidR="00000000" w:rsidRPr="00C220C4" w:rsidP="00C220C4">
            <w:pPr>
              <w:pStyle w:val="ListBullet2"/>
            </w:pPr>
            <w:r w:rsidRPr="00C220C4">
              <w:t xml:space="preserve">organisational policies and procedures </w:t>
            </w:r>
          </w:p>
          <w:p w:rsidR="00000000" w:rsidRPr="00C220C4" w:rsidP="00C220C4">
            <w:pPr>
              <w:pStyle w:val="ListBullet2"/>
            </w:pPr>
            <w:r w:rsidRPr="00C220C4">
              <w:t>guides</w:t>
            </w:r>
          </w:p>
          <w:p w:rsidR="00000000" w:rsidRPr="00C220C4" w:rsidP="00C220C4">
            <w:pPr>
              <w:pStyle w:val="ListBullet2"/>
            </w:pPr>
            <w:r w:rsidRPr="00C220C4">
              <w:t>modules</w:t>
            </w:r>
          </w:p>
          <w:p w:rsidR="00000000" w:rsidRPr="00C220C4" w:rsidP="00C220C4">
            <w:pPr>
              <w:pStyle w:val="ListBullet2"/>
            </w:pPr>
            <w:r w:rsidRPr="00C220C4">
              <w:t>time and wage records</w:t>
            </w:r>
          </w:p>
          <w:p w:rsidR="00000000" w:rsidRPr="00C220C4" w:rsidP="00C220C4">
            <w:pPr>
              <w:pStyle w:val="ListBullet2"/>
            </w:pPr>
            <w:r w:rsidRPr="00C220C4">
              <w:t>rosters</w:t>
            </w:r>
          </w:p>
          <w:p w:rsidR="00000000" w:rsidRPr="00C220C4" w:rsidP="00C220C4">
            <w:pPr>
              <w:pStyle w:val="ListBullet2"/>
            </w:pPr>
            <w:r w:rsidRPr="00C220C4">
              <w:t>manuals</w:t>
            </w:r>
          </w:p>
        </w:tc>
      </w:tr>
    </w:tbl>
    <w:p w:rsidR="003957D4" w:rsidP="00C220C4">
      <w:pPr>
        <w:pStyle w:val="BodyText"/>
      </w:pPr>
    </w:p>
    <w:p w:rsidR="003957D4" w:rsidP="00C220C4">
      <w:pPr>
        <w:pStyle w:val="BodyText"/>
      </w:pPr>
    </w:p>
    <w:p w:rsidR="00000000" w:rsidRPr="00C220C4" w:rsidP="00C220C4">
      <w:pPr>
        <w:pStyle w:val="Heading1"/>
      </w:pPr>
      <w:bookmarkStart w:id="12" w:name="O_496297"/>
      <w:bookmarkEnd w:id="12"/>
      <w:r w:rsidRPr="00C220C4">
        <w:t>Unit Sector(s)</w:t>
      </w:r>
    </w:p>
    <w:p w:rsidR="00000000" w:rsidRPr="00C220C4" w:rsidP="00C220C4">
      <w:pPr>
        <w:pStyle w:val="BodyText"/>
      </w:pPr>
      <w:r w:rsidRPr="00C220C4">
        <w:t>Not applicable.</w:t>
      </w:r>
    </w:p>
    <w:p w:rsidR="00000000" w:rsidRPr="00C220C4" w:rsidP="00C220C4">
      <w:pPr>
        <w:pStyle w:val="AllowPageBreak"/>
      </w:pPr>
    </w:p>
    <w:p w:rsidR="00000000" w:rsidRPr="00C220C4" w:rsidP="00C220C4">
      <w:pPr>
        <w:pStyle w:val="Heading1"/>
      </w:pPr>
      <w:bookmarkStart w:id="13" w:name="O_496308"/>
      <w:bookmarkEnd w:id="13"/>
      <w:r w:rsidRPr="00C220C4">
        <w:t>Competency field</w:t>
      </w:r>
    </w:p>
    <w:p w:rsidR="00000000" w:rsidRPr="00C220C4" w:rsidP="00C220C4">
      <w:pPr>
        <w:pStyle w:val="BodyText"/>
      </w:pPr>
      <w:r w:rsidRPr="00C220C4">
        <w:t>Workplace Relations.</w:t>
      </w:r>
    </w:p>
    <w:p w:rsidR="00000000" w:rsidRPr="00C220C4" w:rsidP="00C220C4"/>
    <w:sectPr w:rsidSect="00C220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0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7D4" w:rsidP="003957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0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D4" w:rsidP="00C220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57D4" w:rsidP="00C220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957D4" w:rsidP="00C220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0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0C4" w:rsidRPr="003957D4" w:rsidP="003957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0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7D4" w:rsidRPr="002D2AF8" w:rsidP="00C220C4">
    <w:pPr>
      <w:pStyle w:val="Header"/>
      <w:framePr w:wrap="around"/>
    </w:pPr>
    <w:r>
      <w:fldChar w:fldCharType="begin"/>
    </w:r>
    <w:r>
      <w:instrText xml:space="preserve"> TITLE   \* MERGEFORMAT </w:instrText>
    </w:r>
    <w:r>
      <w:fldChar w:fldCharType="separate"/>
    </w:r>
    <w:r>
      <w:t>PSPWPR502A Manage compliance with workplace relations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957D4" w:rsidP="00C220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CE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2C8C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0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0C4"/>
    <w:pPr>
      <w:spacing w:before="360" w:after="60"/>
      <w:outlineLvl w:val="0"/>
    </w:pPr>
    <w:rPr>
      <w:sz w:val="32"/>
    </w:rPr>
  </w:style>
  <w:style w:type="paragraph" w:styleId="Heading2">
    <w:name w:val="heading 2"/>
    <w:basedOn w:val="HeadingBase"/>
    <w:next w:val="BodyText"/>
    <w:link w:val="Heading2Char"/>
    <w:qFormat/>
    <w:rsid w:val="00C220C4"/>
    <w:pPr>
      <w:keepLines/>
      <w:spacing w:before="240" w:after="120"/>
      <w:outlineLvl w:val="1"/>
    </w:pPr>
    <w:rPr>
      <w:sz w:val="28"/>
      <w:szCs w:val="40"/>
    </w:rPr>
  </w:style>
  <w:style w:type="paragraph" w:styleId="Heading3">
    <w:name w:val="heading 3"/>
    <w:basedOn w:val="HeadingBase"/>
    <w:next w:val="BodyText"/>
    <w:link w:val="Heading3Char"/>
    <w:qFormat/>
    <w:rsid w:val="00C220C4"/>
    <w:pPr>
      <w:spacing w:before="180" w:after="120"/>
      <w:outlineLvl w:val="2"/>
    </w:pPr>
    <w:rPr>
      <w:spacing w:val="-10"/>
      <w:kern w:val="32"/>
    </w:rPr>
  </w:style>
  <w:style w:type="paragraph" w:styleId="Heading4">
    <w:name w:val="heading 4"/>
    <w:basedOn w:val="HeadingBase"/>
    <w:next w:val="BodyText"/>
    <w:link w:val="Heading4Char"/>
    <w:qFormat/>
    <w:rsid w:val="00C220C4"/>
    <w:pPr>
      <w:spacing w:before="160" w:after="120"/>
      <w:outlineLvl w:val="3"/>
    </w:pPr>
    <w:rPr>
      <w:sz w:val="22"/>
    </w:rPr>
  </w:style>
  <w:style w:type="paragraph" w:styleId="Heading5">
    <w:name w:val="heading 5"/>
    <w:basedOn w:val="HeadingBase"/>
    <w:next w:val="Normal"/>
    <w:link w:val="Heading5Char"/>
    <w:qFormat/>
    <w:rsid w:val="00C220C4"/>
    <w:pPr>
      <w:spacing w:before="80"/>
      <w:outlineLvl w:val="4"/>
    </w:pPr>
    <w:rPr>
      <w:color w:val="918585"/>
      <w:sz w:val="20"/>
    </w:rPr>
  </w:style>
  <w:style w:type="paragraph" w:styleId="Heading6">
    <w:name w:val="heading 6"/>
    <w:basedOn w:val="HeadingBase"/>
    <w:next w:val="Normal"/>
    <w:link w:val="Heading6Char"/>
    <w:qFormat/>
    <w:rsid w:val="00C220C4"/>
    <w:pPr>
      <w:spacing w:before="60"/>
      <w:outlineLvl w:val="5"/>
    </w:pPr>
    <w:rPr>
      <w:color w:val="918585"/>
      <w:sz w:val="20"/>
    </w:rPr>
  </w:style>
  <w:style w:type="paragraph" w:styleId="Heading7">
    <w:name w:val="heading 7"/>
    <w:basedOn w:val="Normal"/>
    <w:next w:val="Normal"/>
    <w:link w:val="Heading7Char"/>
    <w:qFormat/>
    <w:rsid w:val="00C220C4"/>
    <w:pPr>
      <w:ind w:left="720"/>
      <w:outlineLvl w:val="6"/>
    </w:pPr>
    <w:rPr>
      <w:i/>
    </w:rPr>
  </w:style>
  <w:style w:type="paragraph" w:styleId="Heading8">
    <w:name w:val="heading 8"/>
    <w:basedOn w:val="Normal"/>
    <w:next w:val="Normal"/>
    <w:link w:val="Heading8Char"/>
    <w:qFormat/>
    <w:rsid w:val="00C220C4"/>
    <w:pPr>
      <w:ind w:left="720"/>
      <w:outlineLvl w:val="7"/>
    </w:pPr>
    <w:rPr>
      <w:i/>
    </w:rPr>
  </w:style>
  <w:style w:type="paragraph" w:styleId="Heading9">
    <w:name w:val="heading 9"/>
    <w:basedOn w:val="Normal"/>
    <w:next w:val="Normal"/>
    <w:link w:val="Heading9Char"/>
    <w:qFormat/>
    <w:rsid w:val="00C220C4"/>
    <w:pPr>
      <w:ind w:left="720"/>
      <w:outlineLvl w:val="8"/>
    </w:pPr>
    <w:rPr>
      <w:i/>
    </w:rPr>
  </w:style>
  <w:style w:type="character" w:default="1" w:styleId="DefaultParagraphFont">
    <w:name w:val="Default Paragraph Font"/>
    <w:uiPriority w:val="1"/>
    <w:unhideWhenUsed/>
    <w:rsid w:val="00C220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0C4"/>
  </w:style>
  <w:style w:type="character" w:customStyle="1" w:styleId="Heading1Char">
    <w:name w:val="Heading 1 Char"/>
    <w:basedOn w:val="DefaultParagraphFont"/>
    <w:link w:val="Heading1"/>
    <w:rsid w:val="00C220C4"/>
    <w:rPr>
      <w:rFonts w:ascii="Times New Roman" w:eastAsia="Times New Roman" w:hAnsi="Times New Roman" w:cs="Times New Roman"/>
      <w:b/>
      <w:sz w:val="32"/>
      <w:szCs w:val="20"/>
      <w:lang w:eastAsia="en-US"/>
    </w:rPr>
  </w:style>
  <w:style w:type="paragraph" w:styleId="BodyText">
    <w:name w:val="Body Text"/>
    <w:basedOn w:val="Normal"/>
    <w:link w:val="BodyTextChar"/>
    <w:rsid w:val="00C220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0C4"/>
    <w:rPr>
      <w:rFonts w:ascii="Times New Roman" w:eastAsia="Times New Roman" w:hAnsi="Times New Roman" w:cs="Times New Roman"/>
      <w:sz w:val="24"/>
      <w:lang w:eastAsia="en-US"/>
    </w:rPr>
  </w:style>
  <w:style w:type="paragraph" w:styleId="Footer">
    <w:name w:val="footer"/>
    <w:basedOn w:val="Normal"/>
    <w:link w:val="FooterChar"/>
    <w:rsid w:val="00C220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0C4"/>
    <w:rPr>
      <w:rFonts w:ascii="Times New Roman" w:eastAsia="Times New Roman" w:hAnsi="Times New Roman" w:cs="Times New Roman"/>
      <w:sz w:val="16"/>
      <w:lang w:eastAsia="en-US"/>
    </w:rPr>
  </w:style>
  <w:style w:type="paragraph" w:styleId="List">
    <w:name w:val="List"/>
    <w:basedOn w:val="BodyText"/>
    <w:next w:val="BodyText"/>
    <w:rsid w:val="00C220C4"/>
    <w:pPr>
      <w:tabs>
        <w:tab w:val="left" w:pos="340"/>
      </w:tabs>
      <w:spacing w:before="60" w:after="60"/>
      <w:ind w:left="340" w:hanging="340"/>
    </w:pPr>
  </w:style>
  <w:style w:type="character" w:customStyle="1" w:styleId="SpecialBold">
    <w:name w:val="Special Bold"/>
    <w:basedOn w:val="DefaultParagraphFont"/>
    <w:rsid w:val="00C220C4"/>
    <w:rPr>
      <w:b/>
      <w:spacing w:val="0"/>
    </w:rPr>
  </w:style>
  <w:style w:type="paragraph" w:styleId="ListBullet2">
    <w:name w:val="List Bullet 2"/>
    <w:basedOn w:val="List2"/>
    <w:rsid w:val="00C220C4"/>
    <w:pPr>
      <w:numPr>
        <w:numId w:val="14"/>
      </w:numPr>
      <w:tabs>
        <w:tab w:val="clear" w:pos="680"/>
      </w:tabs>
    </w:pPr>
  </w:style>
  <w:style w:type="paragraph" w:customStyle="1" w:styleId="SuperHeading">
    <w:name w:val="SuperHeading"/>
    <w:basedOn w:val="Normal"/>
    <w:rsid w:val="00C220C4"/>
    <w:pPr>
      <w:spacing w:before="240" w:after="120"/>
      <w:outlineLvl w:val="0"/>
    </w:pPr>
    <w:rPr>
      <w:rFonts w:ascii="Times New Roman" w:hAnsi="Times New Roman"/>
      <w:b/>
      <w:sz w:val="28"/>
    </w:rPr>
  </w:style>
  <w:style w:type="paragraph" w:customStyle="1" w:styleId="AllowPageBreak">
    <w:name w:val="AllowPageBreak"/>
    <w:rsid w:val="00C220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20C4"/>
    <w:pPr>
      <w:numPr>
        <w:numId w:val="2"/>
      </w:numPr>
      <w:tabs>
        <w:tab w:val="clear" w:pos="1021"/>
      </w:tabs>
      <w:ind w:left="1037" w:hanging="357"/>
    </w:pPr>
  </w:style>
  <w:style w:type="character" w:customStyle="1" w:styleId="BoldandItalics">
    <w:name w:val="Bold and Italics"/>
    <w:qFormat/>
    <w:rsid w:val="00C220C4"/>
    <w:rPr>
      <w:b/>
      <w:i/>
      <w:u w:val="none"/>
    </w:rPr>
  </w:style>
  <w:style w:type="character" w:customStyle="1" w:styleId="Heading2Char">
    <w:name w:val="Heading 2 Char"/>
    <w:basedOn w:val="DefaultParagraphFont"/>
    <w:link w:val="Heading2"/>
    <w:rsid w:val="00C220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0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0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0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0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0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0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0C4"/>
    <w:rPr>
      <w:rFonts w:ascii="Courier New" w:eastAsia="Times New Roman" w:hAnsi="Courier New" w:cs="Times New Roman"/>
      <w:i/>
      <w:szCs w:val="20"/>
      <w:lang w:eastAsia="en-US"/>
    </w:rPr>
  </w:style>
  <w:style w:type="paragraph" w:customStyle="1" w:styleId="HeadingBase">
    <w:name w:val="Heading Base"/>
    <w:rsid w:val="00C220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0C4"/>
    <w:pPr>
      <w:tabs>
        <w:tab w:val="right" w:leader="dot" w:pos="9072"/>
      </w:tabs>
      <w:ind w:left="567"/>
    </w:pPr>
    <w:rPr>
      <w:szCs w:val="22"/>
    </w:rPr>
  </w:style>
  <w:style w:type="paragraph" w:customStyle="1" w:styleId="TOCBase">
    <w:name w:val="TOC Base"/>
    <w:rsid w:val="00C220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0C4"/>
    <w:pPr>
      <w:tabs>
        <w:tab w:val="right" w:leader="dot" w:pos="9072"/>
      </w:tabs>
      <w:spacing w:before="40" w:after="40"/>
      <w:ind w:left="284"/>
    </w:pPr>
    <w:rPr>
      <w:rFonts w:ascii="Times New Roman" w:hAnsi="Times New Roman"/>
    </w:rPr>
  </w:style>
  <w:style w:type="paragraph" w:styleId="TOC1">
    <w:name w:val="toc 1"/>
    <w:basedOn w:val="TOCBase"/>
    <w:next w:val="Normal"/>
    <w:rsid w:val="00C220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20C4"/>
    <w:pPr>
      <w:spacing w:before="5040"/>
      <w:jc w:val="center"/>
    </w:pPr>
    <w:rPr>
      <w:sz w:val="48"/>
      <w:szCs w:val="72"/>
      <w:lang w:val="en-US"/>
    </w:rPr>
  </w:style>
  <w:style w:type="character" w:customStyle="1" w:styleId="TitleChar">
    <w:name w:val="Title Char"/>
    <w:basedOn w:val="DefaultParagraphFont"/>
    <w:link w:val="Title"/>
    <w:rsid w:val="00C220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0C4"/>
    <w:pPr>
      <w:tabs>
        <w:tab w:val="left" w:pos="3600"/>
        <w:tab w:val="left" w:pos="3958"/>
      </w:tabs>
    </w:pPr>
  </w:style>
  <w:style w:type="paragraph" w:styleId="ListBullet">
    <w:name w:val="List Bullet"/>
    <w:basedOn w:val="List"/>
    <w:rsid w:val="00C220C4"/>
    <w:pPr>
      <w:numPr>
        <w:numId w:val="13"/>
      </w:numPr>
      <w:tabs>
        <w:tab w:val="clear" w:pos="340"/>
      </w:tabs>
      <w:spacing w:before="40" w:after="40"/>
    </w:pPr>
  </w:style>
  <w:style w:type="paragraph" w:customStyle="1" w:styleId="Note">
    <w:name w:val="Note"/>
    <w:basedOn w:val="BodyText"/>
    <w:rsid w:val="00C220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0C4"/>
    <w:pPr>
      <w:framePr w:wrap="auto" w:hAnchor="text" w:y="6049"/>
    </w:pPr>
    <w:rPr>
      <w:color w:val="000000"/>
      <w:sz w:val="40"/>
    </w:rPr>
  </w:style>
  <w:style w:type="paragraph" w:customStyle="1" w:styleId="TOCTitle">
    <w:name w:val="TOCTitle"/>
    <w:basedOn w:val="Heading1"/>
    <w:rsid w:val="00C220C4"/>
    <w:pPr>
      <w:spacing w:after="240"/>
      <w:jc w:val="center"/>
      <w:outlineLvl w:val="9"/>
    </w:pPr>
    <w:rPr>
      <w:caps/>
    </w:rPr>
  </w:style>
  <w:style w:type="paragraph" w:customStyle="1" w:styleId="Version">
    <w:name w:val="Version"/>
    <w:rsid w:val="00C220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0C4"/>
    <w:pPr>
      <w:keepNext w:val="0"/>
      <w:tabs>
        <w:tab w:val="right" w:pos="4176"/>
      </w:tabs>
      <w:ind w:left="198" w:hanging="198"/>
    </w:pPr>
    <w:rPr>
      <w:rFonts w:ascii="Garamond" w:hAnsi="Garamond"/>
    </w:rPr>
  </w:style>
  <w:style w:type="paragraph" w:styleId="IndexHeading">
    <w:name w:val="index heading"/>
    <w:basedOn w:val="Normal"/>
    <w:next w:val="Index1"/>
    <w:semiHidden/>
    <w:rsid w:val="00C220C4"/>
    <w:pPr>
      <w:spacing w:before="120" w:after="120"/>
    </w:pPr>
    <w:rPr>
      <w:rFonts w:ascii="Arial" w:hAnsi="Arial"/>
      <w:b/>
      <w:color w:val="918585"/>
      <w:sz w:val="24"/>
    </w:rPr>
  </w:style>
  <w:style w:type="paragraph" w:styleId="Header">
    <w:name w:val="header"/>
    <w:basedOn w:val="Normal"/>
    <w:link w:val="HeaderChar"/>
    <w:rsid w:val="00C220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0C4"/>
    <w:rPr>
      <w:rFonts w:ascii="Times New Roman" w:eastAsia="Times New Roman" w:hAnsi="Times New Roman" w:cs="Times New Roman"/>
      <w:sz w:val="16"/>
      <w:szCs w:val="20"/>
      <w:lang w:val="en-GB" w:eastAsia="en-US"/>
    </w:rPr>
  </w:style>
  <w:style w:type="paragraph" w:customStyle="1" w:styleId="Chapter">
    <w:name w:val="Chapter"/>
    <w:basedOn w:val="Normal"/>
    <w:rsid w:val="00C220C4"/>
    <w:pPr>
      <w:spacing w:before="240"/>
    </w:pPr>
    <w:rPr>
      <w:rFonts w:ascii="Times New Roman" w:hAnsi="Times New Roman"/>
      <w:smallCaps/>
      <w:spacing w:val="80"/>
      <w:sz w:val="28"/>
    </w:rPr>
  </w:style>
  <w:style w:type="paragraph" w:customStyle="1" w:styleId="InChapter">
    <w:name w:val="InChapter"/>
    <w:basedOn w:val="Heading3"/>
    <w:rsid w:val="00C220C4"/>
    <w:pPr>
      <w:spacing w:after="240"/>
      <w:outlineLvl w:val="9"/>
    </w:pPr>
    <w:rPr>
      <w:noProof/>
    </w:rPr>
  </w:style>
  <w:style w:type="paragraph" w:styleId="Index2">
    <w:name w:val="index 2"/>
    <w:basedOn w:val="Normal"/>
    <w:next w:val="Normal"/>
    <w:semiHidden/>
    <w:rsid w:val="00C220C4"/>
    <w:pPr>
      <w:tabs>
        <w:tab w:val="right" w:pos="4176"/>
      </w:tabs>
      <w:ind w:left="568" w:hanging="284"/>
    </w:pPr>
    <w:rPr>
      <w:rFonts w:ascii="Garamond" w:hAnsi="Garamond"/>
    </w:rPr>
  </w:style>
  <w:style w:type="paragraph" w:customStyle="1" w:styleId="Byline">
    <w:name w:val="Byline"/>
    <w:rsid w:val="00C220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0C4"/>
    <w:pPr>
      <w:tabs>
        <w:tab w:val="clear" w:pos="3600"/>
        <w:tab w:val="clear" w:pos="3958"/>
      </w:tabs>
      <w:jc w:val="right"/>
    </w:pPr>
  </w:style>
  <w:style w:type="character" w:styleId="Emphasis">
    <w:name w:val="Emphasis"/>
    <w:basedOn w:val="DefaultParagraphFont"/>
    <w:qFormat/>
    <w:rsid w:val="00C220C4"/>
    <w:rPr>
      <w:i/>
    </w:rPr>
  </w:style>
  <w:style w:type="paragraph" w:styleId="Caption">
    <w:name w:val="caption"/>
    <w:basedOn w:val="BodyText"/>
    <w:next w:val="Normal"/>
    <w:qFormat/>
    <w:rsid w:val="00C220C4"/>
    <w:pPr>
      <w:framePr w:w="2268" w:hSpace="181" w:vSpace="181" w:wrap="around" w:vAnchor="text" w:hAnchor="page" w:x="1135" w:y="285" w:anchorLock="1"/>
    </w:pPr>
    <w:rPr>
      <w:i/>
    </w:rPr>
  </w:style>
  <w:style w:type="paragraph" w:customStyle="1" w:styleId="MiniTOCTitle">
    <w:name w:val="MiniTOCTitle"/>
    <w:basedOn w:val="Heading4"/>
    <w:rsid w:val="00C220C4"/>
    <w:pPr>
      <w:spacing w:before="240"/>
      <w:outlineLvl w:val="9"/>
    </w:pPr>
    <w:rPr>
      <w:noProof/>
      <w:sz w:val="24"/>
    </w:rPr>
  </w:style>
  <w:style w:type="paragraph" w:customStyle="1" w:styleId="MiniTOCItem">
    <w:name w:val="MiniTOCItem"/>
    <w:basedOn w:val="ListBullet"/>
    <w:rsid w:val="00C220C4"/>
    <w:pPr>
      <w:numPr>
        <w:numId w:val="0"/>
      </w:numPr>
      <w:tabs>
        <w:tab w:val="right" w:leader="dot" w:pos="6521"/>
      </w:tabs>
      <w:spacing w:before="0" w:after="0"/>
    </w:pPr>
  </w:style>
  <w:style w:type="paragraph" w:customStyle="1" w:styleId="TOFTitle">
    <w:name w:val="TOFTitle"/>
    <w:basedOn w:val="TOCTitle"/>
    <w:rsid w:val="00C220C4"/>
  </w:style>
  <w:style w:type="paragraph" w:styleId="TableofFigures">
    <w:name w:val="table of figures"/>
    <w:basedOn w:val="Normal"/>
    <w:next w:val="Normal"/>
    <w:semiHidden/>
    <w:rsid w:val="00C220C4"/>
    <w:pPr>
      <w:tabs>
        <w:tab w:val="right" w:leader="dot" w:pos="9072"/>
      </w:tabs>
      <w:ind w:left="970" w:hanging="403"/>
    </w:pPr>
    <w:rPr>
      <w:rFonts w:ascii="Times New Roman" w:hAnsi="Times New Roman"/>
      <w:b/>
    </w:rPr>
  </w:style>
  <w:style w:type="paragraph" w:styleId="ListNumber">
    <w:name w:val="List Number"/>
    <w:basedOn w:val="List"/>
    <w:rsid w:val="00C220C4"/>
    <w:pPr>
      <w:numPr>
        <w:numId w:val="11"/>
      </w:numPr>
    </w:pPr>
  </w:style>
  <w:style w:type="character" w:customStyle="1" w:styleId="WingdingSymbols">
    <w:name w:val="Wingding Symbols"/>
    <w:rsid w:val="00C220C4"/>
    <w:rPr>
      <w:rFonts w:ascii="Wingdings" w:hAnsi="Wingdings"/>
    </w:rPr>
  </w:style>
  <w:style w:type="paragraph" w:customStyle="1" w:styleId="TableHeading">
    <w:name w:val="Table Heading"/>
    <w:basedOn w:val="HeadingBase"/>
    <w:rsid w:val="00C220C4"/>
    <w:pPr>
      <w:keepLines/>
      <w:pBdr>
        <w:bottom w:val="single" w:sz="6" w:space="1" w:color="918585"/>
      </w:pBdr>
      <w:spacing w:before="240"/>
    </w:pPr>
  </w:style>
  <w:style w:type="character" w:customStyle="1" w:styleId="HotSpot">
    <w:name w:val="HotSpot"/>
    <w:rsid w:val="00C220C4"/>
    <w:rPr>
      <w:color w:val="0033CC"/>
      <w:u w:val="none"/>
    </w:rPr>
  </w:style>
  <w:style w:type="paragraph" w:customStyle="1" w:styleId="BodyTextRight">
    <w:name w:val="Body Text Right"/>
    <w:basedOn w:val="BodyText"/>
    <w:rsid w:val="00C220C4"/>
    <w:pPr>
      <w:spacing w:before="0" w:after="0"/>
      <w:jc w:val="right"/>
    </w:pPr>
  </w:style>
  <w:style w:type="paragraph" w:styleId="Index3">
    <w:name w:val="index 3"/>
    <w:basedOn w:val="ListNumber2"/>
    <w:next w:val="Normal"/>
    <w:semiHidden/>
    <w:rsid w:val="00C220C4"/>
    <w:pPr>
      <w:numPr>
        <w:numId w:val="0"/>
      </w:numPr>
      <w:tabs>
        <w:tab w:val="right" w:leader="dot" w:pos="4176"/>
      </w:tabs>
    </w:pPr>
  </w:style>
  <w:style w:type="paragraph" w:styleId="ListNumber2">
    <w:name w:val="List Number 2"/>
    <w:basedOn w:val="List2"/>
    <w:rsid w:val="00C220C4"/>
    <w:pPr>
      <w:numPr>
        <w:numId w:val="10"/>
      </w:numPr>
      <w:tabs>
        <w:tab w:val="clear" w:pos="1060"/>
      </w:tabs>
    </w:pPr>
  </w:style>
  <w:style w:type="paragraph" w:customStyle="1" w:styleId="MarginNote">
    <w:name w:val="Margin Note"/>
    <w:basedOn w:val="BodyText"/>
    <w:rsid w:val="00C220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0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0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0C4"/>
    <w:rPr>
      <w:sz w:val="32"/>
    </w:rPr>
  </w:style>
  <w:style w:type="paragraph" w:customStyle="1" w:styleId="HeadingProcedure">
    <w:name w:val="Heading Procedure"/>
    <w:basedOn w:val="HeadingBase"/>
    <w:next w:val="Normal"/>
    <w:rsid w:val="00C220C4"/>
    <w:pPr>
      <w:tabs>
        <w:tab w:val="left" w:pos="0"/>
      </w:tabs>
      <w:spacing w:before="120" w:after="60"/>
    </w:pPr>
    <w:rPr>
      <w:i/>
      <w:color w:val="918585"/>
      <w:sz w:val="22"/>
    </w:rPr>
  </w:style>
  <w:style w:type="paragraph" w:customStyle="1" w:styleId="TableBodyText">
    <w:name w:val="Table Body Text"/>
    <w:basedOn w:val="BodyText"/>
    <w:rsid w:val="00C220C4"/>
    <w:pPr>
      <w:spacing w:before="60" w:after="60"/>
    </w:pPr>
  </w:style>
  <w:style w:type="paragraph" w:styleId="ListContinue">
    <w:name w:val="List Continue"/>
    <w:basedOn w:val="List"/>
    <w:rsid w:val="00C220C4"/>
    <w:pPr>
      <w:ind w:firstLine="0"/>
    </w:pPr>
  </w:style>
  <w:style w:type="paragraph" w:customStyle="1" w:styleId="ListNote">
    <w:name w:val="List Note"/>
    <w:basedOn w:val="List"/>
    <w:rsid w:val="00C220C4"/>
    <w:pPr>
      <w:pBdr>
        <w:top w:val="single" w:sz="6" w:space="2" w:color="918585"/>
        <w:bottom w:val="single" w:sz="6" w:space="2" w:color="918585"/>
      </w:pBdr>
      <w:tabs>
        <w:tab w:val="left" w:pos="1021"/>
      </w:tabs>
      <w:ind w:firstLine="0"/>
    </w:pPr>
  </w:style>
  <w:style w:type="paragraph" w:customStyle="1" w:styleId="Warning">
    <w:name w:val="Warning"/>
    <w:basedOn w:val="BodyText"/>
    <w:rsid w:val="00C220C4"/>
    <w:pPr>
      <w:shd w:val="clear" w:color="auto" w:fill="D9D9D9"/>
      <w:tabs>
        <w:tab w:val="left" w:pos="992"/>
      </w:tabs>
      <w:ind w:left="119" w:right="119"/>
    </w:pPr>
    <w:rPr>
      <w:sz w:val="20"/>
    </w:rPr>
  </w:style>
  <w:style w:type="paragraph" w:customStyle="1" w:styleId="MarginIcons">
    <w:name w:val="Margin Icons"/>
    <w:basedOn w:val="BodyText"/>
    <w:rsid w:val="00C220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0C4"/>
    <w:rPr>
      <w:rFonts w:ascii="Courier New" w:hAnsi="Courier New"/>
    </w:rPr>
  </w:style>
  <w:style w:type="paragraph" w:customStyle="1" w:styleId="NoteBullet">
    <w:name w:val="Note Bullet"/>
    <w:basedOn w:val="Note"/>
    <w:rsid w:val="00C220C4"/>
    <w:pPr>
      <w:tabs>
        <w:tab w:val="clear" w:pos="680"/>
      </w:tabs>
      <w:spacing w:before="60" w:after="60"/>
    </w:pPr>
  </w:style>
  <w:style w:type="paragraph" w:customStyle="1" w:styleId="SubHeading2">
    <w:name w:val="SubHeading2"/>
    <w:basedOn w:val="HeadingBase"/>
    <w:rsid w:val="00C220C4"/>
    <w:pPr>
      <w:spacing w:before="240" w:after="60"/>
    </w:pPr>
    <w:rPr>
      <w:sz w:val="20"/>
    </w:rPr>
  </w:style>
  <w:style w:type="paragraph" w:customStyle="1" w:styleId="SubHeading1">
    <w:name w:val="SubHeading1"/>
    <w:basedOn w:val="HeadingBase"/>
    <w:rsid w:val="00C220C4"/>
    <w:pPr>
      <w:spacing w:before="240" w:after="60"/>
    </w:pPr>
    <w:rPr>
      <w:color w:val="918585"/>
      <w:sz w:val="22"/>
    </w:rPr>
  </w:style>
  <w:style w:type="paragraph" w:customStyle="1" w:styleId="SideHeading">
    <w:name w:val="Side Heading"/>
    <w:basedOn w:val="HeadingBase"/>
    <w:rsid w:val="00C220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0C4"/>
    <w:pPr>
      <w:numPr>
        <w:numId w:val="12"/>
      </w:numPr>
    </w:pPr>
  </w:style>
  <w:style w:type="paragraph" w:styleId="PlainText">
    <w:name w:val="Plain Text"/>
    <w:basedOn w:val="Normal"/>
    <w:link w:val="PlainTextChar"/>
    <w:rsid w:val="00C220C4"/>
    <w:rPr>
      <w:sz w:val="20"/>
    </w:rPr>
  </w:style>
  <w:style w:type="character" w:customStyle="1" w:styleId="PlainTextChar">
    <w:name w:val="Plain Text Char"/>
    <w:basedOn w:val="DefaultParagraphFont"/>
    <w:link w:val="PlainText"/>
    <w:rsid w:val="00C220C4"/>
    <w:rPr>
      <w:rFonts w:ascii="Courier New" w:eastAsia="Times New Roman" w:hAnsi="Courier New" w:cs="Times New Roman"/>
      <w:sz w:val="20"/>
      <w:szCs w:val="20"/>
      <w:lang w:eastAsia="en-US"/>
    </w:rPr>
  </w:style>
  <w:style w:type="character" w:customStyle="1" w:styleId="MenuOption">
    <w:name w:val="Menu Option"/>
    <w:basedOn w:val="DefaultParagraphFont"/>
    <w:rsid w:val="00C220C4"/>
    <w:rPr>
      <w:b/>
      <w:smallCaps/>
    </w:rPr>
  </w:style>
  <w:style w:type="paragraph" w:customStyle="1" w:styleId="TableListNumber">
    <w:name w:val="Table List Number"/>
    <w:basedOn w:val="ListNumber"/>
    <w:rsid w:val="00C220C4"/>
    <w:pPr>
      <w:numPr>
        <w:numId w:val="0"/>
      </w:numPr>
    </w:pPr>
  </w:style>
  <w:style w:type="paragraph" w:styleId="TOC4">
    <w:name w:val="toc 4"/>
    <w:basedOn w:val="TOCBase"/>
    <w:next w:val="Normal"/>
    <w:semiHidden/>
    <w:rsid w:val="00C220C4"/>
    <w:pPr>
      <w:tabs>
        <w:tab w:val="right" w:leader="dot" w:pos="9071"/>
      </w:tabs>
      <w:ind w:left="1701"/>
    </w:pPr>
  </w:style>
  <w:style w:type="paragraph" w:customStyle="1" w:styleId="ListAlpha">
    <w:name w:val="List Alpha"/>
    <w:basedOn w:val="List"/>
    <w:rsid w:val="00C220C4"/>
    <w:pPr>
      <w:numPr>
        <w:numId w:val="9"/>
      </w:numPr>
    </w:pPr>
  </w:style>
  <w:style w:type="paragraph" w:customStyle="1" w:styleId="ListAlpha2">
    <w:name w:val="List Alpha 2"/>
    <w:basedOn w:val="List2"/>
    <w:rsid w:val="00C220C4"/>
    <w:pPr>
      <w:numPr>
        <w:numId w:val="8"/>
      </w:numPr>
    </w:pPr>
  </w:style>
  <w:style w:type="paragraph" w:styleId="List2">
    <w:name w:val="List 2"/>
    <w:basedOn w:val="BodyText"/>
    <w:rsid w:val="00C220C4"/>
    <w:pPr>
      <w:tabs>
        <w:tab w:val="left" w:pos="680"/>
      </w:tabs>
      <w:spacing w:before="60" w:after="60"/>
      <w:ind w:left="680" w:hanging="340"/>
    </w:pPr>
  </w:style>
  <w:style w:type="paragraph" w:styleId="List3">
    <w:name w:val="List 3"/>
    <w:basedOn w:val="BodyText"/>
    <w:rsid w:val="00C220C4"/>
    <w:pPr>
      <w:tabs>
        <w:tab w:val="left" w:pos="1021"/>
      </w:tabs>
      <w:spacing w:before="60" w:after="60"/>
      <w:ind w:left="1020" w:hanging="340"/>
    </w:pPr>
  </w:style>
  <w:style w:type="paragraph" w:styleId="List4">
    <w:name w:val="List 4"/>
    <w:basedOn w:val="BodyText"/>
    <w:rsid w:val="00C220C4"/>
    <w:pPr>
      <w:tabs>
        <w:tab w:val="left" w:pos="1361"/>
      </w:tabs>
      <w:spacing w:before="60" w:after="60"/>
      <w:ind w:left="1361" w:hanging="340"/>
    </w:pPr>
  </w:style>
  <w:style w:type="paragraph" w:styleId="List5">
    <w:name w:val="List 5"/>
    <w:basedOn w:val="BodyText"/>
    <w:rsid w:val="00C220C4"/>
    <w:pPr>
      <w:tabs>
        <w:tab w:val="left" w:pos="1701"/>
      </w:tabs>
      <w:spacing w:before="60" w:after="60"/>
      <w:ind w:left="1701" w:hanging="340"/>
    </w:pPr>
  </w:style>
  <w:style w:type="paragraph" w:styleId="ListBullet4">
    <w:name w:val="List Bullet 4"/>
    <w:basedOn w:val="List4"/>
    <w:rsid w:val="00C220C4"/>
    <w:pPr>
      <w:numPr>
        <w:numId w:val="3"/>
      </w:numPr>
    </w:pPr>
  </w:style>
  <w:style w:type="paragraph" w:styleId="ListBullet5">
    <w:name w:val="List Bullet 5"/>
    <w:basedOn w:val="List5"/>
    <w:rsid w:val="00C220C4"/>
    <w:pPr>
      <w:numPr>
        <w:numId w:val="4"/>
      </w:numPr>
    </w:pPr>
  </w:style>
  <w:style w:type="paragraph" w:styleId="ListContinue2">
    <w:name w:val="List Continue 2"/>
    <w:basedOn w:val="List2"/>
    <w:rsid w:val="00C220C4"/>
    <w:pPr>
      <w:ind w:firstLine="0"/>
    </w:pPr>
  </w:style>
  <w:style w:type="paragraph" w:styleId="ListContinue3">
    <w:name w:val="List Continue 3"/>
    <w:basedOn w:val="List3"/>
    <w:rsid w:val="00C220C4"/>
    <w:pPr>
      <w:ind w:left="1021" w:firstLine="0"/>
    </w:pPr>
  </w:style>
  <w:style w:type="paragraph" w:styleId="ListContinue4">
    <w:name w:val="List Continue 4"/>
    <w:basedOn w:val="List4"/>
    <w:rsid w:val="00C220C4"/>
    <w:pPr>
      <w:ind w:firstLine="0"/>
    </w:pPr>
  </w:style>
  <w:style w:type="paragraph" w:styleId="ListContinue5">
    <w:name w:val="List Continue 5"/>
    <w:basedOn w:val="List5"/>
    <w:rsid w:val="00C220C4"/>
    <w:pPr>
      <w:ind w:firstLine="0"/>
    </w:pPr>
  </w:style>
  <w:style w:type="paragraph" w:styleId="ListNumber3">
    <w:name w:val="List Number 3"/>
    <w:basedOn w:val="List3"/>
    <w:rsid w:val="00C220C4"/>
    <w:pPr>
      <w:numPr>
        <w:numId w:val="5"/>
      </w:numPr>
    </w:pPr>
  </w:style>
  <w:style w:type="paragraph" w:styleId="ListNumber4">
    <w:name w:val="List Number 4"/>
    <w:basedOn w:val="List4"/>
    <w:rsid w:val="00C220C4"/>
    <w:pPr>
      <w:numPr>
        <w:numId w:val="6"/>
      </w:numPr>
    </w:pPr>
  </w:style>
  <w:style w:type="paragraph" w:styleId="ListNumber5">
    <w:name w:val="List Number 5"/>
    <w:basedOn w:val="List5"/>
    <w:rsid w:val="00C220C4"/>
    <w:pPr>
      <w:numPr>
        <w:numId w:val="7"/>
      </w:numPr>
    </w:pPr>
  </w:style>
  <w:style w:type="paragraph" w:styleId="BlockText">
    <w:name w:val="Block Text"/>
    <w:basedOn w:val="Normal"/>
    <w:rsid w:val="00C220C4"/>
    <w:pPr>
      <w:spacing w:after="120"/>
      <w:ind w:left="1440" w:right="1440"/>
    </w:pPr>
  </w:style>
  <w:style w:type="character" w:customStyle="1" w:styleId="Subscript">
    <w:name w:val="Subscript"/>
    <w:basedOn w:val="DefaultParagraphFont"/>
    <w:rsid w:val="00C220C4"/>
    <w:rPr>
      <w:sz w:val="16"/>
      <w:vertAlign w:val="subscript"/>
    </w:rPr>
  </w:style>
  <w:style w:type="character" w:customStyle="1" w:styleId="Superscript">
    <w:name w:val="Superscript"/>
    <w:basedOn w:val="DefaultParagraphFont"/>
    <w:rsid w:val="00C220C4"/>
    <w:rPr>
      <w:sz w:val="16"/>
      <w:vertAlign w:val="superscript"/>
    </w:rPr>
  </w:style>
  <w:style w:type="character" w:customStyle="1" w:styleId="Symbols">
    <w:name w:val="Symbols"/>
    <w:basedOn w:val="DefaultParagraphFont"/>
    <w:rsid w:val="00C220C4"/>
    <w:rPr>
      <w:rFonts w:ascii="Symbol" w:hAnsi="Symbol"/>
    </w:rPr>
  </w:style>
  <w:style w:type="character" w:customStyle="1" w:styleId="MenuOptions">
    <w:name w:val="Menu Options"/>
    <w:basedOn w:val="DefaultParagraphFont"/>
    <w:rsid w:val="00C220C4"/>
    <w:rPr>
      <w:rFonts w:ascii="Arial Narrow" w:hAnsi="Arial Narrow"/>
      <w:smallCaps/>
    </w:rPr>
  </w:style>
  <w:style w:type="character" w:customStyle="1" w:styleId="Buttons">
    <w:name w:val="Buttons"/>
    <w:basedOn w:val="DefaultParagraphFont"/>
    <w:rsid w:val="00C220C4"/>
    <w:rPr>
      <w:b/>
    </w:rPr>
  </w:style>
  <w:style w:type="character" w:customStyle="1" w:styleId="Underlined">
    <w:name w:val="Underlined"/>
    <w:basedOn w:val="DefaultParagraphFont"/>
    <w:rsid w:val="00C220C4"/>
    <w:rPr>
      <w:u w:val="single"/>
    </w:rPr>
  </w:style>
  <w:style w:type="paragraph" w:customStyle="1" w:styleId="TableBodyTextRight">
    <w:name w:val="Table Body Text Right"/>
    <w:basedOn w:val="TableBodyText"/>
    <w:rsid w:val="00C220C4"/>
    <w:pPr>
      <w:widowControl w:val="0"/>
      <w:autoSpaceDE w:val="0"/>
      <w:autoSpaceDN w:val="0"/>
      <w:adjustRightInd w:val="0"/>
      <w:jc w:val="right"/>
    </w:pPr>
    <w:rPr>
      <w:rFonts w:cs="Arial"/>
      <w:szCs w:val="18"/>
    </w:rPr>
  </w:style>
  <w:style w:type="paragraph" w:customStyle="1" w:styleId="CopyrightText">
    <w:name w:val="Copyright Text"/>
    <w:basedOn w:val="BodyText"/>
    <w:rsid w:val="00C220C4"/>
    <w:rPr>
      <w:sz w:val="18"/>
    </w:rPr>
  </w:style>
  <w:style w:type="paragraph" w:customStyle="1" w:styleId="BodySmallRight">
    <w:name w:val="Body Small Right"/>
    <w:basedOn w:val="BodyTextRight"/>
    <w:rsid w:val="00C220C4"/>
    <w:rPr>
      <w:sz w:val="18"/>
      <w:szCs w:val="18"/>
    </w:rPr>
  </w:style>
  <w:style w:type="paragraph" w:customStyle="1" w:styleId="MarginEdition">
    <w:name w:val="Margin Edition"/>
    <w:basedOn w:val="MarginNote"/>
    <w:rsid w:val="00C220C4"/>
    <w:pPr>
      <w:spacing w:before="0" w:after="0"/>
    </w:pPr>
    <w:rPr>
      <w:rFonts w:ascii="Times New Roman" w:hAnsi="Times New Roman"/>
      <w:color w:val="999999"/>
    </w:rPr>
  </w:style>
  <w:style w:type="paragraph" w:customStyle="1" w:styleId="Spacer">
    <w:name w:val="Spacer"/>
    <w:basedOn w:val="Normal"/>
    <w:rsid w:val="00C220C4"/>
    <w:rPr>
      <w:sz w:val="2"/>
      <w:szCs w:val="2"/>
    </w:rPr>
  </w:style>
  <w:style w:type="character" w:customStyle="1" w:styleId="Small">
    <w:name w:val="Small"/>
    <w:basedOn w:val="DefaultParagraphFont"/>
    <w:rsid w:val="00C220C4"/>
    <w:rPr>
      <w:sz w:val="16"/>
    </w:rPr>
  </w:style>
  <w:style w:type="paragraph" w:customStyle="1" w:styleId="WideTable">
    <w:name w:val="Wide Table"/>
    <w:basedOn w:val="Normal"/>
    <w:rsid w:val="00C220C4"/>
    <w:pPr>
      <w:ind w:left="-1418"/>
    </w:pPr>
    <w:rPr>
      <w:sz w:val="2"/>
      <w:szCs w:val="2"/>
    </w:rPr>
  </w:style>
  <w:style w:type="character" w:styleId="PageNumber">
    <w:name w:val="page number"/>
    <w:basedOn w:val="DefaultParagraphFont"/>
    <w:rsid w:val="00C220C4"/>
  </w:style>
  <w:style w:type="paragraph" w:styleId="Quote">
    <w:name w:val="Quote"/>
    <w:basedOn w:val="Heading1"/>
    <w:link w:val="QuoteChar"/>
    <w:qFormat/>
    <w:rsid w:val="00C220C4"/>
    <w:rPr>
      <w:b w:val="0"/>
      <w:sz w:val="72"/>
      <w:szCs w:val="72"/>
      <w:lang w:val="en-NZ"/>
    </w:rPr>
  </w:style>
  <w:style w:type="character" w:customStyle="1" w:styleId="QuoteChar">
    <w:name w:val="Quote Char"/>
    <w:basedOn w:val="DefaultParagraphFont"/>
    <w:link w:val="Quote"/>
    <w:rsid w:val="00C220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0C4"/>
    <w:pPr>
      <w:pageBreakBefore/>
    </w:pPr>
  </w:style>
  <w:style w:type="paragraph" w:customStyle="1" w:styleId="Border">
    <w:name w:val="Border"/>
    <w:basedOn w:val="Normal"/>
    <w:qFormat/>
    <w:rsid w:val="00C220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0C4"/>
    <w:rPr>
      <w:b/>
      <w:bCs/>
      <w:i/>
      <w:iCs/>
      <w:color w:val="auto"/>
    </w:rPr>
  </w:style>
  <w:style w:type="paragraph" w:styleId="IntenseQuote">
    <w:name w:val="Intense Quote"/>
    <w:basedOn w:val="Normal"/>
    <w:next w:val="Normal"/>
    <w:link w:val="IntenseQuoteChar"/>
    <w:uiPriority w:val="30"/>
    <w:qFormat/>
    <w:rsid w:val="00C220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0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0C4"/>
    <w:rPr>
      <w:smallCaps/>
      <w:color w:val="auto"/>
      <w:u w:val="single"/>
    </w:rPr>
  </w:style>
  <w:style w:type="character" w:styleId="IntenseReference">
    <w:name w:val="Intense Reference"/>
    <w:basedOn w:val="DefaultParagraphFont"/>
    <w:uiPriority w:val="32"/>
    <w:qFormat/>
    <w:rsid w:val="00C220C4"/>
    <w:rPr>
      <w:b/>
      <w:bCs/>
      <w:smallCaps/>
      <w:color w:val="auto"/>
      <w:spacing w:val="5"/>
      <w:u w:val="single"/>
    </w:rPr>
  </w:style>
  <w:style w:type="paragraph" w:customStyle="1" w:styleId="2ColumnHeading">
    <w:name w:val="2Column Heading"/>
    <w:basedOn w:val="BodyText"/>
    <w:qFormat/>
    <w:rsid w:val="00C220C4"/>
    <w:pPr>
      <w:spacing w:after="60"/>
      <w:ind w:left="-2268"/>
    </w:pPr>
    <w:rPr>
      <w:b/>
    </w:rPr>
  </w:style>
  <w:style w:type="paragraph" w:customStyle="1" w:styleId="Heading1TOC">
    <w:name w:val="Heading1 TOC"/>
    <w:basedOn w:val="Normal"/>
    <w:qFormat/>
    <w:rsid w:val="00C220C4"/>
    <w:pPr>
      <w:spacing w:before="240" w:after="120"/>
    </w:pPr>
    <w:rPr>
      <w:rFonts w:ascii="Times New Roman" w:hAnsi="Times New Roman"/>
      <w:b/>
      <w:sz w:val="32"/>
    </w:rPr>
  </w:style>
  <w:style w:type="paragraph" w:customStyle="1" w:styleId="Heading2TOC">
    <w:name w:val="Heading2 TOC"/>
    <w:basedOn w:val="Normal"/>
    <w:qFormat/>
    <w:rsid w:val="00C220C4"/>
    <w:pPr>
      <w:spacing w:before="240" w:after="60"/>
    </w:pPr>
    <w:rPr>
      <w:rFonts w:ascii="Times New Roman" w:hAnsi="Times New Roman"/>
      <w:b/>
      <w:sz w:val="28"/>
    </w:rPr>
  </w:style>
  <w:style w:type="character" w:customStyle="1" w:styleId="Underline">
    <w:name w:val="Underline"/>
    <w:basedOn w:val="DefaultParagraphFont"/>
    <w:qFormat/>
    <w:rsid w:val="00C220C4"/>
    <w:rPr>
      <w:u w:val="single"/>
    </w:rPr>
  </w:style>
  <w:style w:type="paragraph" w:styleId="BalloonText">
    <w:name w:val="Balloon Text"/>
    <w:basedOn w:val="Normal"/>
    <w:link w:val="BalloonTextChar"/>
    <w:rsid w:val="00C220C4"/>
    <w:rPr>
      <w:rFonts w:ascii="Tahoma" w:hAnsi="Tahoma" w:cs="Tahoma"/>
      <w:sz w:val="16"/>
      <w:szCs w:val="16"/>
    </w:rPr>
  </w:style>
  <w:style w:type="character" w:customStyle="1" w:styleId="BalloonTextChar">
    <w:name w:val="Balloon Text Char"/>
    <w:basedOn w:val="DefaultParagraphFont"/>
    <w:link w:val="BalloonText"/>
    <w:rsid w:val="00C220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0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0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0C4"/>
    <w:rPr>
      <w:b/>
      <w:color w:val="660033"/>
      <w:spacing w:val="0"/>
    </w:rPr>
  </w:style>
  <w:style w:type="paragraph" w:customStyle="1" w:styleId="Nameditemlist">
    <w:name w:val="Named item list"/>
    <w:basedOn w:val="BodyText"/>
    <w:qFormat/>
    <w:rsid w:val="00C220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9054</Characters>
  <Application>Microsoft Office Word</Application>
  <DocSecurity>0</DocSecurity>
  <Lines>305</Lines>
  <Paragraphs>185</Paragraphs>
  <ScaleCrop>false</ScaleCrop>
  <Company>Author-it Software Corporation Ltd.</Company>
  <LinksUpToDate>false</LinksUpToDate>
  <CharactersWithSpaces>10309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PSPWPR502A Manage compliance with workplace relations legislation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2012-11-01T18:31:00Z</dcterms:created>
  <dcterms:modified xsi:type="dcterms:W3CDTF">2012-11-01T18:31:00Z</dcterms:modified>
</cp:coreProperties>
</file>