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E92" w:rsidP="00570E92">
      <w:pPr>
        <w:pStyle w:val="Title"/>
      </w:pPr>
      <w:bookmarkStart w:id="0" w:name="_GoBack"/>
      <w:bookmarkEnd w:id="0"/>
      <w:r>
        <w:fldChar w:fldCharType="begin"/>
      </w:r>
      <w:r>
        <w:instrText xml:space="preserve"> TITLE   \* MERGEFORMAT </w:instrText>
      </w:r>
      <w:r>
        <w:fldChar w:fldCharType="separate"/>
      </w:r>
      <w:r>
        <w:t>PSPWPR402A Respond to general workplace relations enquiries</w:t>
      </w:r>
      <w:r>
        <w:fldChar w:fldCharType="end"/>
      </w:r>
    </w:p>
    <w:p w:rsidR="00570E92" w:rsidP="00570E92">
      <w:pPr>
        <w:pStyle w:val="Version"/>
        <w:sectPr w:rsidSect="002C5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C589E" w:rsidP="002C589E">
      <w:pPr>
        <w:pStyle w:val="SuperHeading"/>
      </w:pPr>
      <w:r w:rsidRPr="002C589E">
        <w:t>PSPWPR402A Respond to general workplace relations enquiries</w:t>
      </w:r>
    </w:p>
    <w:p w:rsidR="00000000" w:rsidRPr="002C589E" w:rsidP="002C589E">
      <w:pPr>
        <w:pStyle w:val="SuperHeading"/>
      </w:pPr>
    </w:p>
    <w:p w:rsidR="00000000" w:rsidRPr="002C589E" w:rsidP="002C589E">
      <w:pPr>
        <w:pStyle w:val="Heading1"/>
      </w:pPr>
      <w:bookmarkStart w:id="1" w:name="O_496252"/>
      <w:bookmarkEnd w:id="1"/>
      <w:r w:rsidRPr="002C589E">
        <w:t>Modification History</w:t>
      </w:r>
    </w:p>
    <w:tbl>
      <w:tblPr>
        <w:tblW w:w="0" w:type="auto"/>
        <w:tblLayout w:type="fixed"/>
        <w:tblCellMar>
          <w:left w:w="62" w:type="dxa"/>
          <w:right w:w="62" w:type="dxa"/>
        </w:tblCellMar>
        <w:tblLook w:val="0000"/>
      </w:tblPr>
      <w:tblGrid>
        <w:gridCol w:w="3052"/>
        <w:gridCol w:w="3052"/>
        <w:gridCol w:w="3052"/>
      </w:tblGrid>
      <w:tr w:rsidTr="00570E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89E" w:rsidP="002C589E">
            <w:pPr>
              <w:pStyle w:val="BodyText"/>
            </w:pPr>
            <w:r w:rsidRPr="002C589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89E" w:rsidP="002C589E">
            <w:pPr>
              <w:pStyle w:val="BodyText"/>
            </w:pPr>
            <w:r w:rsidRPr="002C589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rPr>
                <w:rStyle w:val="SpecialBold"/>
              </w:rPr>
              <w:t>Comments</w:t>
            </w:r>
          </w:p>
        </w:tc>
      </w:tr>
      <w:tr w:rsidTr="00570E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Layout adjusted. No changes t</w:t>
            </w:r>
            <w:r w:rsidRPr="002C589E">
              <w:t>o content.</w:t>
            </w:r>
          </w:p>
        </w:tc>
      </w:tr>
      <w:tr w:rsidTr="00570E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Layout adjusted. No changes to content.</w:t>
            </w:r>
          </w:p>
        </w:tc>
      </w:tr>
      <w:tr w:rsidTr="00570E9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89E">
            <w:pPr>
              <w:pStyle w:val="BodyText"/>
              <w:rPr>
                <w:lang w:val="en-NZ"/>
              </w:rPr>
            </w:pPr>
            <w:r w:rsidRPr="002C589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89E" w:rsidP="002C589E">
            <w:pPr>
              <w:pStyle w:val="BodyText"/>
            </w:pPr>
            <w:r w:rsidRPr="002C589E">
              <w:t>Primary release.</w:t>
            </w:r>
          </w:p>
        </w:tc>
      </w:tr>
    </w:tbl>
    <w:p w:rsidR="00570E92" w:rsidP="002C589E">
      <w:pPr>
        <w:pStyle w:val="BodyText"/>
      </w:pPr>
    </w:p>
    <w:p w:rsidR="00570E92" w:rsidP="002C589E">
      <w:pPr>
        <w:pStyle w:val="BodyText"/>
      </w:pPr>
    </w:p>
    <w:p w:rsidR="00000000" w:rsidRPr="002C589E" w:rsidP="002C589E">
      <w:pPr>
        <w:pStyle w:val="Heading1"/>
      </w:pPr>
      <w:bookmarkStart w:id="2" w:name="O_496247"/>
      <w:bookmarkEnd w:id="2"/>
      <w:r w:rsidRPr="002C589E">
        <w:t>Unit Descriptor</w:t>
      </w:r>
    </w:p>
    <w:p w:rsidR="00000000" w:rsidRPr="002C589E" w:rsidP="002C589E">
      <w:pPr>
        <w:pStyle w:val="BodyText"/>
      </w:pPr>
      <w:r w:rsidRPr="002C589E">
        <w:t>This unit cove</w:t>
      </w:r>
      <w:r w:rsidRPr="002C589E">
        <w:t xml:space="preserve">rs the competencies required to respond to enquiries about general workplace relations matters. It includes clarifying the enquiry, accessing standard information and providing general advice according to the level of authority. </w:t>
      </w:r>
    </w:p>
    <w:p w:rsidR="00000000" w:rsidRPr="002C589E" w:rsidP="002C589E">
      <w:pPr>
        <w:pStyle w:val="BodyText"/>
      </w:pPr>
      <w:r w:rsidRPr="002C589E">
        <w:t>No licensing, legislative,</w:t>
      </w:r>
      <w:r w:rsidRPr="002C589E">
        <w:t xml:space="preserve"> regulatory or certification requirements apply to this unit at the time of endorsement.</w:t>
      </w:r>
    </w:p>
    <w:p w:rsidR="00000000" w:rsidRPr="002C589E" w:rsidP="002C589E">
      <w:pPr>
        <w:pStyle w:val="AllowPageBreak"/>
      </w:pPr>
    </w:p>
    <w:p w:rsidR="00000000" w:rsidRPr="002C589E" w:rsidP="002C589E">
      <w:pPr>
        <w:pStyle w:val="Heading1"/>
      </w:pPr>
      <w:bookmarkStart w:id="3" w:name="O_496261"/>
      <w:bookmarkEnd w:id="3"/>
      <w:r w:rsidRPr="002C589E">
        <w:t>Application of the Unit</w:t>
      </w:r>
    </w:p>
    <w:p w:rsidR="00000000" w:rsidRPr="002C589E" w:rsidP="002C589E">
      <w:pPr>
        <w:pStyle w:val="BodyText"/>
      </w:pPr>
      <w:r w:rsidRPr="002C589E">
        <w:t>In practice, people responding to enquiries may be working:</w:t>
      </w:r>
    </w:p>
    <w:p w:rsidR="00000000" w:rsidRPr="002C589E" w:rsidP="002C589E">
      <w:pPr>
        <w:pStyle w:val="ListBullet2"/>
      </w:pPr>
      <w:r w:rsidRPr="002C589E">
        <w:t>as first line response staff in an advisory body, providing general advice to external clients, such as employees, employers, human resources staff and union members</w:t>
      </w:r>
    </w:p>
    <w:p w:rsidR="00000000" w:rsidRPr="002C589E" w:rsidP="002C589E">
      <w:pPr>
        <w:pStyle w:val="ListBullet2"/>
      </w:pPr>
      <w:r w:rsidRPr="002C589E">
        <w:t>in the human resources division of an organisation, providing advice in response to intern</w:t>
      </w:r>
      <w:r w:rsidRPr="002C589E">
        <w:t>al queries</w:t>
      </w:r>
    </w:p>
    <w:p w:rsidR="00000000" w:rsidRPr="002C589E" w:rsidP="002C589E">
      <w:pPr>
        <w:pStyle w:val="AllowPageBreak"/>
      </w:pPr>
    </w:p>
    <w:p w:rsidR="00000000" w:rsidRPr="002C589E" w:rsidP="002C589E">
      <w:pPr>
        <w:pStyle w:val="Heading1"/>
      </w:pPr>
      <w:bookmarkStart w:id="4" w:name="O_496249"/>
      <w:bookmarkEnd w:id="4"/>
      <w:r w:rsidRPr="002C589E">
        <w:t>Licensing/Regulatory Information</w:t>
      </w:r>
    </w:p>
    <w:p w:rsidR="00000000" w:rsidRPr="002C589E" w:rsidP="002C589E">
      <w:pPr>
        <w:pStyle w:val="BodyText"/>
      </w:pPr>
      <w:r w:rsidRPr="002C589E">
        <w:t>Not applicable.</w:t>
      </w:r>
    </w:p>
    <w:p w:rsidR="00000000" w:rsidRPr="002C589E" w:rsidP="002C589E">
      <w:pPr>
        <w:pStyle w:val="AllowPageBreak"/>
      </w:pPr>
    </w:p>
    <w:p w:rsidR="00000000" w:rsidRPr="002C589E" w:rsidP="002C589E">
      <w:pPr>
        <w:pStyle w:val="Heading1"/>
      </w:pPr>
      <w:bookmarkStart w:id="5" w:name="O_496250"/>
      <w:bookmarkEnd w:id="5"/>
      <w:r w:rsidRPr="002C589E">
        <w:t>Pre-Requisites</w:t>
      </w:r>
    </w:p>
    <w:p w:rsidR="00000000" w:rsidRPr="002C589E" w:rsidP="002C589E">
      <w:pPr>
        <w:pStyle w:val="BodyText"/>
      </w:pPr>
      <w:r w:rsidRPr="002C589E">
        <w:t>Not applicable.</w:t>
      </w:r>
    </w:p>
    <w:p w:rsidR="00000000" w:rsidRPr="002C589E" w:rsidP="002C589E">
      <w:pPr>
        <w:pStyle w:val="AllowPageBreak"/>
      </w:pPr>
    </w:p>
    <w:p w:rsidR="00000000" w:rsidRPr="002C589E" w:rsidP="002C589E">
      <w:pPr>
        <w:pStyle w:val="Heading1"/>
      </w:pPr>
      <w:bookmarkStart w:id="6" w:name="O_496256"/>
      <w:bookmarkEnd w:id="6"/>
      <w:r w:rsidRPr="002C589E">
        <w:t>Employability Skills Information</w:t>
      </w:r>
    </w:p>
    <w:p w:rsidR="00000000" w:rsidRPr="002C589E" w:rsidP="002C589E">
      <w:pPr>
        <w:pStyle w:val="BodyText"/>
      </w:pPr>
      <w:r w:rsidRPr="002C589E">
        <w:t>This unit contains employability skills.</w:t>
      </w:r>
    </w:p>
    <w:p w:rsidR="00000000" w:rsidRPr="002C589E" w:rsidP="002C589E">
      <w:pPr>
        <w:pStyle w:val="AllowPageBreak"/>
      </w:pPr>
    </w:p>
    <w:p w:rsidR="00000000" w:rsidRPr="002C589E" w:rsidP="002C589E">
      <w:pPr>
        <w:pStyle w:val="Heading1"/>
      </w:pPr>
      <w:bookmarkStart w:id="7" w:name="O_496257"/>
      <w:bookmarkEnd w:id="7"/>
      <w:r w:rsidRPr="002C589E">
        <w:t>Elements and Performanc</w:t>
      </w:r>
      <w:r w:rsidRPr="002C589E">
        <w:t>e Criteria Pre-Content</w:t>
      </w:r>
    </w:p>
    <w:tbl>
      <w:tblPr>
        <w:tblW w:w="0" w:type="auto"/>
        <w:tblLayout w:type="fixed"/>
        <w:tblCellMar>
          <w:left w:w="62" w:type="dxa"/>
          <w:right w:w="62" w:type="dxa"/>
        </w:tblCellMar>
        <w:tblLook w:val="0000"/>
      </w:tblPr>
      <w:tblGrid>
        <w:gridCol w:w="2534"/>
        <w:gridCol w:w="5988"/>
      </w:tblGrid>
      <w:tr w:rsidTr="00570E92">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t>Elements describe the essential outcomes of a unit of competency.</w:t>
            </w:r>
          </w:p>
        </w:tc>
        <w:tc>
          <w:tcPr>
            <w:tcW w:w="5988" w:type="dxa"/>
            <w:tcBorders>
              <w:top w:val="nil"/>
              <w:left w:val="nil"/>
              <w:bottom w:val="nil"/>
              <w:right w:val="nil"/>
            </w:tcBorders>
            <w:tcMar>
              <w:top w:w="0" w:type="dxa"/>
              <w:left w:w="62" w:type="dxa"/>
              <w:bottom w:w="0" w:type="dxa"/>
              <w:right w:w="62" w:type="dxa"/>
            </w:tcMar>
          </w:tcPr>
          <w:p w:rsidR="00000000" w:rsidRPr="002C589E" w:rsidP="002C589E">
            <w:pPr>
              <w:pStyle w:val="BodyText"/>
            </w:pPr>
            <w:r w:rsidRPr="002C589E">
              <w:t>Performance criteria describe the performance needed to demonstrate achievement of the element. Where</w:t>
            </w:r>
            <w:r w:rsidRPr="002C589E">
              <w:rPr>
                <w:rStyle w:val="BoldandItalics"/>
              </w:rPr>
              <w:t xml:space="preserve"> bold italicised </w:t>
            </w:r>
            <w:r w:rsidRPr="002C589E">
              <w:t>text is used, further information is detailed in the range statement. Assessment of performance is to be consistent with the evidence guide.</w:t>
            </w:r>
          </w:p>
        </w:tc>
      </w:tr>
    </w:tbl>
    <w:p w:rsidR="00000000" w:rsidRPr="002C589E" w:rsidP="002C589E">
      <w:pPr>
        <w:pStyle w:val="BodyText"/>
      </w:pPr>
    </w:p>
    <w:p w:rsidR="00000000" w:rsidRPr="002C589E" w:rsidP="002C589E">
      <w:pPr>
        <w:pStyle w:val="AllowPageBreak"/>
      </w:pPr>
    </w:p>
    <w:p w:rsidR="00000000" w:rsidRPr="002C589E" w:rsidP="002C589E">
      <w:pPr>
        <w:pStyle w:val="Heading1"/>
      </w:pPr>
      <w:bookmarkStart w:id="8" w:name="O_496258"/>
      <w:bookmarkEnd w:id="8"/>
      <w:r w:rsidRPr="002C589E">
        <w:t>Elements and Performance Criteria</w:t>
      </w:r>
    </w:p>
    <w:tbl>
      <w:tblPr>
        <w:tblW w:w="0" w:type="auto"/>
        <w:tblLayout w:type="fixed"/>
        <w:tblCellMar>
          <w:left w:w="62" w:type="dxa"/>
          <w:right w:w="62" w:type="dxa"/>
        </w:tblCellMar>
        <w:tblLook w:val="0000"/>
      </w:tblPr>
      <w:tblGrid>
        <w:gridCol w:w="2534"/>
        <w:gridCol w:w="5988"/>
      </w:tblGrid>
      <w:tr w:rsidTr="00570E92">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RPr="002C589E" w:rsidP="002C589E">
            <w:pPr>
              <w:pStyle w:val="BodyText"/>
            </w:pPr>
            <w:r w:rsidRPr="002C589E">
              <w:rPr>
                <w:rStyle w:val="SpecialBold"/>
              </w:rPr>
              <w:t>ELEMENT</w:t>
            </w:r>
          </w:p>
        </w:tc>
        <w:tc>
          <w:tcPr>
            <w:tcW w:w="5988"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PERFORMANCE CRITERIA</w:t>
            </w:r>
          </w:p>
        </w:tc>
      </w:tr>
      <w:tr w:rsidTr="00570E92">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2C589E">
            <w:pPr>
              <w:pStyle w:val="List"/>
              <w:rPr>
                <w:lang w:val="en-NZ"/>
              </w:rPr>
            </w:pPr>
            <w:r w:rsidRPr="002C589E">
              <w:rPr>
                <w:rStyle w:val="SpecialBold"/>
              </w:rPr>
              <w:t>1.</w:t>
            </w:r>
            <w:r w:rsidRPr="002C589E">
              <w:rPr>
                <w:rStyle w:val="SpecialBold"/>
              </w:rPr>
              <w:tab/>
              <w:t>Prepare to respond to wor</w:t>
            </w:r>
            <w:r w:rsidRPr="002C589E">
              <w:rPr>
                <w:rStyle w:val="SpecialBold"/>
              </w:rPr>
              <w:t>kplace relations enquiries</w:t>
            </w:r>
          </w:p>
        </w:tc>
        <w:tc>
          <w:tcPr>
            <w:tcW w:w="5988" w:type="dxa"/>
            <w:tcBorders>
              <w:top w:val="nil"/>
              <w:left w:val="nil"/>
              <w:bottom w:val="nil"/>
              <w:right w:val="nil"/>
            </w:tcBorders>
            <w:tcMar>
              <w:top w:w="0" w:type="dxa"/>
              <w:left w:w="62" w:type="dxa"/>
              <w:bottom w:w="0" w:type="dxa"/>
              <w:right w:w="62" w:type="dxa"/>
            </w:tcMar>
          </w:tcPr>
          <w:p w:rsidR="00000000" w:rsidRPr="002C589E" w:rsidP="002C589E">
            <w:pPr>
              <w:pStyle w:val="List"/>
            </w:pPr>
            <w:r w:rsidRPr="002C589E">
              <w:t>1.1.</w:t>
            </w:r>
            <w:r w:rsidRPr="002C589E">
              <w:tab/>
            </w:r>
            <w:r w:rsidRPr="002C589E">
              <w:rPr>
                <w:rStyle w:val="BoldandItalics"/>
              </w:rPr>
              <w:t>Scope of authority</w:t>
            </w:r>
            <w:r w:rsidRPr="002C589E">
              <w:t xml:space="preserve"> to give information and advice is identified and interpreted.</w:t>
            </w:r>
          </w:p>
          <w:p w:rsidR="00000000" w:rsidRPr="002C589E" w:rsidP="002C589E">
            <w:pPr>
              <w:pStyle w:val="List"/>
            </w:pPr>
            <w:r w:rsidRPr="002C589E">
              <w:t>1.2.</w:t>
            </w:r>
            <w:r w:rsidRPr="002C589E">
              <w:tab/>
              <w:t>Understanding of role and responsibilities is confirmed with relevant manager.</w:t>
            </w:r>
          </w:p>
          <w:p w:rsidR="00000000" w:rsidRPr="002C589E" w:rsidP="002C589E">
            <w:pPr>
              <w:pStyle w:val="List"/>
            </w:pPr>
            <w:r w:rsidRPr="002C589E">
              <w:t>1.3.</w:t>
            </w:r>
            <w:r w:rsidRPr="002C589E">
              <w:tab/>
              <w:t>Frequently asked questions are identified and standard</w:t>
            </w:r>
            <w:r w:rsidRPr="002C589E">
              <w:t xml:space="preserve"> responses noted.</w:t>
            </w:r>
          </w:p>
          <w:p w:rsidR="00000000" w:rsidRPr="002C589E" w:rsidP="002C589E">
            <w:pPr>
              <w:pStyle w:val="List"/>
            </w:pPr>
            <w:r w:rsidRPr="002C589E">
              <w:t>1.4.</w:t>
            </w:r>
            <w:r w:rsidRPr="002C589E">
              <w:tab/>
              <w:t xml:space="preserve">Procedures for enquiries falling outside scope of authority are identified and interpreted. </w:t>
            </w:r>
          </w:p>
          <w:p w:rsidR="00000000" w:rsidP="002C589E">
            <w:pPr>
              <w:pStyle w:val="List"/>
              <w:rPr>
                <w:lang w:val="en-NZ"/>
              </w:rPr>
            </w:pPr>
            <w:r w:rsidRPr="002C589E">
              <w:t>1.5.</w:t>
            </w:r>
            <w:r w:rsidRPr="002C589E">
              <w:tab/>
              <w:t xml:space="preserve">Information sources are identified and different types of information are located and reviewed to facilitate timely retrieval. </w:t>
            </w:r>
          </w:p>
        </w:tc>
      </w:tr>
      <w:tr w:rsidTr="00570E92">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2C589E">
            <w:pPr>
              <w:pStyle w:val="List"/>
              <w:rPr>
                <w:lang w:val="en-NZ"/>
              </w:rPr>
            </w:pPr>
            <w:r w:rsidRPr="002C589E">
              <w:rPr>
                <w:rStyle w:val="SpecialBold"/>
              </w:rPr>
              <w:t>2.</w:t>
            </w:r>
            <w:r w:rsidRPr="002C589E">
              <w:rPr>
                <w:rStyle w:val="SpecialBold"/>
              </w:rPr>
              <w:tab/>
              <w:t>Cla</w:t>
            </w:r>
            <w:r w:rsidRPr="002C589E">
              <w:rPr>
                <w:rStyle w:val="SpecialBold"/>
              </w:rPr>
              <w:t>rify the details of enquiries</w:t>
            </w:r>
          </w:p>
        </w:tc>
        <w:tc>
          <w:tcPr>
            <w:tcW w:w="5988" w:type="dxa"/>
            <w:tcBorders>
              <w:top w:val="nil"/>
              <w:left w:val="nil"/>
              <w:bottom w:val="nil"/>
              <w:right w:val="nil"/>
            </w:tcBorders>
            <w:tcMar>
              <w:top w:w="0" w:type="dxa"/>
              <w:left w:w="62" w:type="dxa"/>
              <w:bottom w:w="0" w:type="dxa"/>
              <w:right w:w="62" w:type="dxa"/>
            </w:tcMar>
          </w:tcPr>
          <w:p w:rsidR="00000000" w:rsidRPr="002C589E" w:rsidP="002C589E">
            <w:pPr>
              <w:pStyle w:val="List"/>
            </w:pPr>
            <w:r w:rsidRPr="002C589E">
              <w:t>2.1.</w:t>
            </w:r>
            <w:r w:rsidRPr="002C589E">
              <w:tab/>
              <w:t xml:space="preserve">Nature of </w:t>
            </w:r>
            <w:r w:rsidRPr="002C589E">
              <w:rPr>
                <w:rStyle w:val="BoldandItalics"/>
              </w:rPr>
              <w:t>workplace relations enquiry</w:t>
            </w:r>
            <w:r w:rsidRPr="002C589E">
              <w:t xml:space="preserve"> is established by listening and paraphrasing according to </w:t>
            </w:r>
            <w:r w:rsidRPr="002C589E">
              <w:rPr>
                <w:rStyle w:val="BoldandItalics"/>
              </w:rPr>
              <w:t>workplace procedures</w:t>
            </w:r>
            <w:r w:rsidRPr="002C589E">
              <w:t>.</w:t>
            </w:r>
          </w:p>
          <w:p w:rsidR="00000000" w:rsidRPr="002C589E" w:rsidP="002C589E">
            <w:pPr>
              <w:pStyle w:val="List"/>
            </w:pPr>
            <w:r w:rsidRPr="002C589E">
              <w:t>2.2.</w:t>
            </w:r>
            <w:r w:rsidRPr="002C589E">
              <w:tab/>
              <w:t>Details of enquiry are elicited using appropriate questioning techniques.</w:t>
            </w:r>
          </w:p>
          <w:p w:rsidR="00000000" w:rsidRPr="002C589E" w:rsidP="002C589E">
            <w:pPr>
              <w:pStyle w:val="List"/>
            </w:pPr>
            <w:r w:rsidRPr="002C589E">
              <w:t>2.3.</w:t>
            </w:r>
            <w:r w:rsidRPr="002C589E">
              <w:tab/>
            </w:r>
            <w:r w:rsidRPr="002C589E">
              <w:rPr>
                <w:rStyle w:val="BoldandItalics"/>
              </w:rPr>
              <w:t>Communication</w:t>
            </w:r>
            <w:r w:rsidRPr="002C589E">
              <w:t xml:space="preserve"> with </w:t>
            </w:r>
            <w:r w:rsidRPr="002C589E">
              <w:t xml:space="preserve">clients is managed according to workplace procedures. </w:t>
            </w:r>
          </w:p>
          <w:p w:rsidR="00000000" w:rsidP="002C589E">
            <w:pPr>
              <w:pStyle w:val="List"/>
              <w:rPr>
                <w:lang w:val="en-NZ"/>
              </w:rPr>
            </w:pPr>
            <w:r w:rsidRPr="002C589E">
              <w:t>2.4.</w:t>
            </w:r>
            <w:r w:rsidRPr="002C589E">
              <w:tab/>
              <w:t>Potential conflict of interest is identified and where conflict exists, the issue is referred according to workplace procedures.</w:t>
            </w:r>
          </w:p>
        </w:tc>
      </w:tr>
      <w:tr w:rsidTr="00570E92">
        <w:tblPrEx>
          <w:tblW w:w="0" w:type="auto"/>
          <w:tblLayout w:type="fixed"/>
          <w:tblCellMar>
            <w:left w:w="62" w:type="dxa"/>
            <w:right w:w="62" w:type="dxa"/>
          </w:tblCellMar>
          <w:tblLook w:val="0000"/>
        </w:tblPrEx>
        <w:tc>
          <w:tcPr>
            <w:tcW w:w="2534" w:type="dxa"/>
            <w:tcBorders>
              <w:top w:val="nil"/>
              <w:left w:val="nil"/>
              <w:bottom w:val="nil"/>
              <w:right w:val="nil"/>
            </w:tcBorders>
            <w:tcMar>
              <w:top w:w="0" w:type="dxa"/>
              <w:left w:w="62" w:type="dxa"/>
              <w:bottom w:w="0" w:type="dxa"/>
              <w:right w:w="62" w:type="dxa"/>
            </w:tcMar>
          </w:tcPr>
          <w:p w:rsidR="00000000" w:rsidP="002C589E">
            <w:pPr>
              <w:pStyle w:val="List"/>
              <w:rPr>
                <w:lang w:val="en-NZ"/>
              </w:rPr>
            </w:pPr>
            <w:r w:rsidRPr="002C589E">
              <w:rPr>
                <w:rStyle w:val="SpecialBold"/>
              </w:rPr>
              <w:t>3.</w:t>
            </w:r>
            <w:r w:rsidRPr="002C589E">
              <w:rPr>
                <w:rStyle w:val="SpecialBold"/>
              </w:rPr>
              <w:tab/>
              <w:t>Provide relevant information</w:t>
            </w:r>
          </w:p>
        </w:tc>
        <w:tc>
          <w:tcPr>
            <w:tcW w:w="5988" w:type="dxa"/>
            <w:tcBorders>
              <w:top w:val="nil"/>
              <w:left w:val="nil"/>
              <w:bottom w:val="nil"/>
              <w:right w:val="nil"/>
            </w:tcBorders>
            <w:tcMar>
              <w:top w:w="0" w:type="dxa"/>
              <w:left w:w="62" w:type="dxa"/>
              <w:bottom w:w="0" w:type="dxa"/>
              <w:right w:w="62" w:type="dxa"/>
            </w:tcMar>
          </w:tcPr>
          <w:p w:rsidR="00000000" w:rsidRPr="002C589E" w:rsidP="002C589E">
            <w:pPr>
              <w:pStyle w:val="List"/>
            </w:pPr>
            <w:r w:rsidRPr="002C589E">
              <w:t>3.1.</w:t>
            </w:r>
            <w:r w:rsidRPr="002C589E">
              <w:tab/>
            </w:r>
            <w:r w:rsidRPr="002C589E">
              <w:rPr>
                <w:rStyle w:val="BoldandItalics"/>
              </w:rPr>
              <w:t>Workplace relations information</w:t>
            </w:r>
            <w:r w:rsidRPr="002C589E">
              <w:t xml:space="preserve"> is researched and confirmed as relevant to enquiry.</w:t>
            </w:r>
          </w:p>
          <w:p w:rsidR="00000000" w:rsidRPr="002C589E" w:rsidP="002C589E">
            <w:pPr>
              <w:pStyle w:val="List"/>
            </w:pPr>
            <w:r w:rsidRPr="002C589E">
              <w:t>3.2.</w:t>
            </w:r>
            <w:r w:rsidRPr="002C589E">
              <w:tab/>
              <w:t xml:space="preserve">Workplace relations information is relayed in a clear, concise manner appropriate to enquirer's needs. </w:t>
            </w:r>
          </w:p>
          <w:p w:rsidR="00000000" w:rsidRPr="002C589E" w:rsidP="002C589E">
            <w:pPr>
              <w:pStyle w:val="List"/>
            </w:pPr>
            <w:r w:rsidRPr="002C589E">
              <w:t>3.3.</w:t>
            </w:r>
            <w:r w:rsidRPr="002C589E">
              <w:tab/>
              <w:t>Client enquiries arising from relayed information are answ</w:t>
            </w:r>
            <w:r w:rsidRPr="002C589E">
              <w:t>ered within scope of authority.</w:t>
            </w:r>
          </w:p>
          <w:p w:rsidR="00000000" w:rsidRPr="002C589E" w:rsidP="002C589E">
            <w:pPr>
              <w:pStyle w:val="List"/>
            </w:pPr>
            <w:r w:rsidRPr="002C589E">
              <w:t>3.4.</w:t>
            </w:r>
            <w:r w:rsidRPr="002C589E">
              <w:tab/>
              <w:t>Complex queries and difficult calls are referred to appropriate persons according to workplace procedures.</w:t>
            </w:r>
          </w:p>
        </w:tc>
      </w:tr>
    </w:tbl>
    <w:p w:rsidR="00000000" w:rsidRPr="002C589E" w:rsidP="002C589E">
      <w:pPr>
        <w:pStyle w:val="BodyText"/>
      </w:pPr>
    </w:p>
    <w:p w:rsidR="00000000" w:rsidRPr="002C589E" w:rsidP="002C589E">
      <w:pPr>
        <w:pStyle w:val="AllowPageBreak"/>
      </w:pPr>
    </w:p>
    <w:p w:rsidR="00000000" w:rsidRPr="002C589E" w:rsidP="002C589E">
      <w:pPr>
        <w:pStyle w:val="Heading1"/>
      </w:pPr>
      <w:bookmarkStart w:id="9" w:name="O_496248"/>
      <w:bookmarkEnd w:id="9"/>
      <w:r w:rsidRPr="002C589E">
        <w:t>Required Skills and Knowledge</w:t>
      </w:r>
    </w:p>
    <w:tbl>
      <w:tblPr>
        <w:tblW w:w="0" w:type="auto"/>
        <w:tblLayout w:type="fixed"/>
        <w:tblCellMar>
          <w:left w:w="62" w:type="dxa"/>
          <w:right w:w="62" w:type="dxa"/>
        </w:tblCellMar>
        <w:tblLook w:val="0000"/>
      </w:tblPr>
      <w:tblGrid>
        <w:gridCol w:w="8522"/>
      </w:tblGrid>
      <w:tr w:rsidTr="00570E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t>This section describes the skills and knowledge required for th</w:t>
            </w:r>
            <w:r w:rsidRPr="002C589E">
              <w:t>is unit.</w:t>
            </w:r>
          </w:p>
        </w:tc>
      </w:tr>
      <w:tr w:rsidTr="00570E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Required skills</w:t>
            </w:r>
          </w:p>
        </w:tc>
      </w:tr>
      <w:tr w:rsidTr="00570E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interpersonal skills to:</w:t>
            </w:r>
          </w:p>
          <w:p w:rsidR="00000000" w:rsidRPr="002C589E" w:rsidP="002C589E">
            <w:pPr>
              <w:pStyle w:val="ListBullet3"/>
            </w:pPr>
            <w:r w:rsidRPr="002C589E">
              <w:t>provide effective customer service</w:t>
            </w:r>
          </w:p>
          <w:p w:rsidR="00000000" w:rsidRPr="002C589E" w:rsidP="002C589E">
            <w:pPr>
              <w:pStyle w:val="ListBullet3"/>
            </w:pPr>
            <w:r w:rsidRPr="002C589E">
              <w:t>relate to people from diverse backgrounds and with diverse needs</w:t>
            </w:r>
          </w:p>
          <w:p w:rsidR="00000000" w:rsidRPr="002C589E" w:rsidP="002C589E">
            <w:pPr>
              <w:pStyle w:val="ListBullet2"/>
            </w:pPr>
            <w:r w:rsidRPr="002C589E">
              <w:t>teamwork skills to:</w:t>
            </w:r>
          </w:p>
          <w:p w:rsidR="00000000" w:rsidRPr="002C589E" w:rsidP="002C589E">
            <w:pPr>
              <w:pStyle w:val="ListBullet3"/>
            </w:pPr>
            <w:r w:rsidRPr="002C589E">
              <w:t>ensure consistent responses and timely escalation of issues</w:t>
            </w:r>
          </w:p>
          <w:p w:rsidR="00000000" w:rsidRPr="002C589E" w:rsidP="002C589E">
            <w:pPr>
              <w:pStyle w:val="ListBullet3"/>
            </w:pPr>
            <w:r w:rsidRPr="002C589E">
              <w:t>develop skills and knowledge in responding to enquiries</w:t>
            </w:r>
          </w:p>
          <w:p w:rsidR="00000000" w:rsidRPr="002C589E" w:rsidP="002C589E">
            <w:pPr>
              <w:pStyle w:val="ListBullet2"/>
            </w:pPr>
            <w:r w:rsidRPr="002C589E">
              <w:t>time-management skills to:</w:t>
            </w:r>
          </w:p>
          <w:p w:rsidR="00000000" w:rsidRPr="002C589E" w:rsidP="002C589E">
            <w:pPr>
              <w:pStyle w:val="ListBullet3"/>
            </w:pPr>
            <w:r w:rsidRPr="002C589E">
              <w:t>efficiently address enquiries</w:t>
            </w:r>
          </w:p>
          <w:p w:rsidR="00000000" w:rsidRPr="002C589E" w:rsidP="002C589E">
            <w:pPr>
              <w:pStyle w:val="ListBullet3"/>
            </w:pPr>
            <w:r w:rsidRPr="002C589E">
              <w:t>facilitate management of enquiry queue</w:t>
            </w:r>
          </w:p>
          <w:p w:rsidR="00000000" w:rsidRPr="002C589E" w:rsidP="002C589E">
            <w:pPr>
              <w:pStyle w:val="ListBullet2"/>
            </w:pPr>
            <w:r w:rsidRPr="002C589E">
              <w:t>communication skills, including:</w:t>
            </w:r>
          </w:p>
          <w:p w:rsidR="00000000" w:rsidRPr="002C589E" w:rsidP="002C589E">
            <w:pPr>
              <w:pStyle w:val="ListBullet3"/>
            </w:pPr>
            <w:r w:rsidRPr="002C589E">
              <w:t>telephone techniques</w:t>
            </w:r>
          </w:p>
          <w:p w:rsidR="00000000" w:rsidRPr="002C589E" w:rsidP="002C589E">
            <w:pPr>
              <w:pStyle w:val="ListBullet3"/>
            </w:pPr>
            <w:r w:rsidRPr="002C589E">
              <w:t>active listening</w:t>
            </w:r>
          </w:p>
          <w:p w:rsidR="00000000" w:rsidRPr="002C589E" w:rsidP="002C589E">
            <w:pPr>
              <w:pStyle w:val="ListBullet3"/>
            </w:pPr>
            <w:r w:rsidRPr="002C589E">
              <w:t xml:space="preserve">paraphrasing </w:t>
            </w:r>
          </w:p>
          <w:p w:rsidR="00000000" w:rsidRPr="002C589E" w:rsidP="002C589E">
            <w:pPr>
              <w:pStyle w:val="ListBullet3"/>
            </w:pPr>
            <w:r w:rsidRPr="002C589E">
              <w:t>questioning skills</w:t>
            </w:r>
          </w:p>
          <w:p w:rsidR="00000000" w:rsidRPr="002C589E" w:rsidP="002C589E">
            <w:pPr>
              <w:pStyle w:val="ListBullet3"/>
            </w:pPr>
            <w:r w:rsidRPr="002C589E">
              <w:t>ability to adapt communication style to suit audience</w:t>
            </w:r>
          </w:p>
          <w:p w:rsidR="00000000" w:rsidRPr="002C589E" w:rsidP="002C589E">
            <w:pPr>
              <w:pStyle w:val="ListBullet3"/>
            </w:pPr>
            <w:r w:rsidRPr="002C589E">
              <w:t>substituting technical jargon with plain English</w:t>
            </w:r>
          </w:p>
          <w:p w:rsidR="00000000" w:rsidRPr="002C589E" w:rsidP="002C589E">
            <w:pPr>
              <w:pStyle w:val="ListBullet3"/>
            </w:pPr>
            <w:r w:rsidRPr="002C589E">
              <w:t>assertive communication</w:t>
            </w:r>
          </w:p>
          <w:p w:rsidR="00000000" w:rsidRPr="002C589E" w:rsidP="002C589E">
            <w:pPr>
              <w:pStyle w:val="ListBullet3"/>
            </w:pPr>
            <w:r w:rsidRPr="002C589E">
              <w:t>conflict resolution</w:t>
            </w:r>
          </w:p>
          <w:p w:rsidR="00000000" w:rsidRPr="002C589E" w:rsidP="002C589E">
            <w:pPr>
              <w:pStyle w:val="ListBullet2"/>
            </w:pPr>
            <w:r w:rsidRPr="002C589E">
              <w:t>language and literacy skills to:</w:t>
            </w:r>
          </w:p>
          <w:p w:rsidR="00000000" w:rsidRPr="002C589E" w:rsidP="002C589E">
            <w:pPr>
              <w:pStyle w:val="ListBullet3"/>
            </w:pPr>
            <w:r w:rsidRPr="002C589E">
              <w:t xml:space="preserve">identify frequently asked questions and apply standard </w:t>
            </w:r>
            <w:r w:rsidRPr="002C589E">
              <w:t>responses</w:t>
            </w:r>
          </w:p>
          <w:p w:rsidR="00000000" w:rsidRPr="002C589E" w:rsidP="002C589E">
            <w:pPr>
              <w:pStyle w:val="ListBullet3"/>
            </w:pPr>
            <w:r w:rsidRPr="002C589E">
              <w:t>access standard information from enquirer and clarify enquiry</w:t>
            </w:r>
          </w:p>
          <w:p w:rsidR="00000000" w:rsidRPr="002C589E" w:rsidP="002C589E">
            <w:pPr>
              <w:pStyle w:val="ListBullet3"/>
            </w:pPr>
            <w:r w:rsidRPr="002C589E">
              <w:t>locate, research and interpret workplace relations information</w:t>
            </w:r>
          </w:p>
          <w:p w:rsidR="00000000" w:rsidRPr="002C589E" w:rsidP="002C589E">
            <w:pPr>
              <w:pStyle w:val="ListBullet3"/>
            </w:pPr>
            <w:r w:rsidRPr="002C589E">
              <w:t>write and report</w:t>
            </w:r>
          </w:p>
          <w:p w:rsidR="00000000" w:rsidRPr="002C589E" w:rsidP="002C589E">
            <w:pPr>
              <w:pStyle w:val="ListBullet2"/>
            </w:pPr>
            <w:r w:rsidRPr="002C589E">
              <w:t>technology skills to operate information and communications technology and software systems</w:t>
            </w:r>
          </w:p>
          <w:p w:rsidR="00000000" w:rsidRPr="002C589E" w:rsidP="002C589E">
            <w:pPr>
              <w:pStyle w:val="ListBullet2"/>
            </w:pPr>
            <w:r w:rsidRPr="002C589E">
              <w:t>learning sk</w:t>
            </w:r>
            <w:r w:rsidRPr="002C589E">
              <w:t>ills to stay abreast of workplace relations legislative changes and outcomes from court related matters</w:t>
            </w:r>
          </w:p>
          <w:p w:rsidR="00000000" w:rsidRPr="002C589E" w:rsidP="002C589E">
            <w:pPr>
              <w:pStyle w:val="ListBullet2"/>
            </w:pPr>
            <w:r w:rsidRPr="002C589E">
              <w:t>self-management skills to recognise problems or issues</w:t>
            </w:r>
          </w:p>
          <w:p w:rsidR="00000000" w:rsidRPr="002C589E" w:rsidP="002C589E">
            <w:pPr>
              <w:pStyle w:val="ListBullet2"/>
            </w:pPr>
            <w:r w:rsidRPr="002C589E">
              <w:t>problem-solving skills to deal with enquirers with sometimes complex queries</w:t>
            </w:r>
          </w:p>
          <w:p w:rsidR="00000000" w:rsidRPr="002C589E" w:rsidP="002C589E">
            <w:pPr>
              <w:pStyle w:val="ListBullet2"/>
            </w:pPr>
            <w:r w:rsidRPr="002C589E">
              <w:t>planning and organising skills to:</w:t>
            </w:r>
          </w:p>
          <w:p w:rsidR="00000000" w:rsidRPr="002C589E" w:rsidP="002C589E">
            <w:pPr>
              <w:pStyle w:val="ListBullet3"/>
            </w:pPr>
            <w:r w:rsidRPr="002C589E">
              <w:t>keep records</w:t>
            </w:r>
          </w:p>
          <w:p w:rsidR="00000000" w:rsidRPr="002C589E" w:rsidP="002C589E">
            <w:pPr>
              <w:pStyle w:val="ListBullet3"/>
            </w:pPr>
            <w:r w:rsidRPr="002C589E">
              <w:t>manage files</w:t>
            </w:r>
          </w:p>
          <w:p w:rsidR="00000000" w:rsidP="002C589E">
            <w:pPr>
              <w:pStyle w:val="ListBullet3"/>
              <w:rPr>
                <w:lang w:val="en-NZ"/>
              </w:rPr>
            </w:pPr>
            <w:r w:rsidRPr="002C589E">
              <w:t>plan and prioritise work</w:t>
            </w:r>
          </w:p>
        </w:tc>
      </w:tr>
      <w:tr w:rsidTr="00570E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Required knowledge</w:t>
            </w:r>
          </w:p>
        </w:tc>
      </w:tr>
      <w:tr w:rsidTr="00570E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workplace policies and procedures, including scope of authority of own role</w:t>
            </w:r>
          </w:p>
          <w:p w:rsidR="00000000" w:rsidRPr="002C589E" w:rsidP="002C589E">
            <w:pPr>
              <w:pStyle w:val="ListBullet2"/>
            </w:pPr>
            <w:r w:rsidRPr="002C589E">
              <w:t>workplace relations framework</w:t>
            </w:r>
          </w:p>
          <w:p w:rsidR="00000000" w:rsidRPr="002C589E" w:rsidP="002C589E">
            <w:pPr>
              <w:pStyle w:val="ListBullet2"/>
            </w:pPr>
            <w:r w:rsidRPr="002C589E">
              <w:t>relevant federal, state or territory, and local legislation relating to:</w:t>
            </w:r>
          </w:p>
          <w:p w:rsidR="00000000" w:rsidRPr="002C589E" w:rsidP="002C589E">
            <w:pPr>
              <w:pStyle w:val="ListBullet3"/>
            </w:pPr>
            <w:r w:rsidRPr="002C589E">
              <w:t>workplace relations</w:t>
            </w:r>
          </w:p>
          <w:p w:rsidR="00000000" w:rsidRPr="002C589E" w:rsidP="002C589E">
            <w:pPr>
              <w:pStyle w:val="ListBullet3"/>
            </w:pPr>
            <w:r w:rsidRPr="002C589E">
              <w:t>OHS</w:t>
            </w:r>
          </w:p>
          <w:p w:rsidR="00000000" w:rsidRPr="002C589E" w:rsidP="002C589E">
            <w:pPr>
              <w:pStyle w:val="ListBullet3"/>
            </w:pPr>
            <w:r w:rsidRPr="002C589E">
              <w:t>human rights and equal employment opportunity</w:t>
            </w:r>
          </w:p>
          <w:p w:rsidR="00000000" w:rsidRPr="002C589E" w:rsidP="002C589E">
            <w:pPr>
              <w:pStyle w:val="ListBullet3"/>
            </w:pPr>
            <w:r w:rsidRPr="002C589E">
              <w:t>privacy</w:t>
            </w:r>
          </w:p>
          <w:p w:rsidR="00000000" w:rsidRPr="002C589E" w:rsidP="002C589E">
            <w:pPr>
              <w:pStyle w:val="ListBullet2"/>
            </w:pPr>
            <w:r w:rsidRPr="002C589E">
              <w:t>workplace relations information and issues, including:</w:t>
            </w:r>
          </w:p>
          <w:p w:rsidR="00000000" w:rsidRPr="002C589E" w:rsidP="002C589E">
            <w:pPr>
              <w:pStyle w:val="ListBullet3"/>
            </w:pPr>
            <w:r w:rsidRPr="002C589E">
              <w:t>types of employment</w:t>
            </w:r>
          </w:p>
          <w:p w:rsidR="00000000" w:rsidRPr="002C589E" w:rsidP="002C589E">
            <w:pPr>
              <w:pStyle w:val="ListBullet3"/>
            </w:pPr>
            <w:r w:rsidRPr="002C589E">
              <w:t>rights, roles and responsibilities of parties in an employment relationship</w:t>
            </w:r>
          </w:p>
          <w:p w:rsidR="00000000" w:rsidRPr="002C589E" w:rsidP="002C589E">
            <w:pPr>
              <w:pStyle w:val="ListBullet3"/>
            </w:pPr>
            <w:r w:rsidRPr="002C589E">
              <w:t xml:space="preserve">conditions and entitlements </w:t>
            </w:r>
          </w:p>
          <w:p w:rsidR="00000000" w:rsidRPr="002C589E" w:rsidP="002C589E">
            <w:pPr>
              <w:pStyle w:val="ListBullet3"/>
            </w:pPr>
            <w:r w:rsidRPr="002C589E">
              <w:t>transitional arrangements</w:t>
            </w:r>
          </w:p>
          <w:p w:rsidR="00000000" w:rsidRPr="002C589E" w:rsidP="002C589E">
            <w:pPr>
              <w:pStyle w:val="ListBullet3"/>
            </w:pPr>
            <w:r w:rsidRPr="002C589E">
              <w:t>union issues</w:t>
            </w:r>
          </w:p>
          <w:p w:rsidR="00000000" w:rsidRPr="002C589E" w:rsidP="002C589E">
            <w:pPr>
              <w:pStyle w:val="ListBullet3"/>
            </w:pPr>
            <w:r w:rsidRPr="002C589E">
              <w:t>factors indicating compliance, non-compliance and breach of workplace relations legislation</w:t>
            </w:r>
          </w:p>
          <w:p w:rsidR="00000000" w:rsidRPr="002C589E" w:rsidP="002C589E">
            <w:pPr>
              <w:pStyle w:val="ListBullet2"/>
            </w:pPr>
            <w:r w:rsidRPr="002C589E">
              <w:t>features and operat</w:t>
            </w:r>
            <w:r w:rsidRPr="002C589E">
              <w:t xml:space="preserve">ion of information and communications technology and systems </w:t>
            </w:r>
          </w:p>
          <w:p w:rsidR="00000000" w:rsidRPr="002C589E" w:rsidP="002C589E">
            <w:pPr>
              <w:pStyle w:val="ListBullet2"/>
            </w:pPr>
            <w:r w:rsidRPr="002C589E">
              <w:t>electronic and manual recording and reporting systems and procedures</w:t>
            </w:r>
          </w:p>
        </w:tc>
      </w:tr>
    </w:tbl>
    <w:p w:rsidR="00000000" w:rsidRPr="002C589E" w:rsidP="002C589E">
      <w:pPr>
        <w:pStyle w:val="BodyText"/>
      </w:pPr>
    </w:p>
    <w:p w:rsidR="00000000" w:rsidRPr="002C589E" w:rsidP="002C589E">
      <w:pPr>
        <w:pStyle w:val="AllowPageBreak"/>
      </w:pPr>
    </w:p>
    <w:p w:rsidR="00000000" w:rsidRPr="002C589E" w:rsidP="002C589E">
      <w:pPr>
        <w:pStyle w:val="Heading1"/>
      </w:pPr>
      <w:bookmarkStart w:id="10" w:name="O_496254"/>
      <w:bookmarkEnd w:id="10"/>
      <w:r w:rsidRPr="002C589E">
        <w:t>Evidence Guide</w:t>
      </w:r>
    </w:p>
    <w:tbl>
      <w:tblPr>
        <w:tblW w:w="9288" w:type="dxa"/>
        <w:tblLayout w:type="fixed"/>
        <w:tblCellMar>
          <w:left w:w="62" w:type="dxa"/>
          <w:right w:w="62" w:type="dxa"/>
        </w:tblCellMar>
        <w:tblLook w:val="0000"/>
      </w:tblPr>
      <w:tblGrid>
        <w:gridCol w:w="2526"/>
        <w:gridCol w:w="6762"/>
      </w:tblGrid>
      <w:tr w:rsidTr="00570E92">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t>The Evidence Guide provides advice on assessment and must be read in conjunction with the performance criteria, required skills and knowledge, range statement and the Assessment Guidelines for the Training Package.</w:t>
            </w:r>
          </w:p>
        </w:tc>
      </w:tr>
      <w:tr w:rsidTr="00570E92">
        <w:tblPrEx>
          <w:tblW w:w="9288" w:type="dxa"/>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Overview of assessment</w:t>
            </w:r>
          </w:p>
        </w:tc>
        <w:tc>
          <w:tcPr>
            <w:tcW w:w="6762"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t>Competency must be demonstrated by responding to a range of general workplace enquiries</w:t>
            </w:r>
          </w:p>
        </w:tc>
      </w:tr>
      <w:tr w:rsidTr="00570E92">
        <w:tblPrEx>
          <w:tblW w:w="9288" w:type="dxa"/>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Critical aspects for assessment and evidence required to demonstrate competency in this unit</w:t>
            </w:r>
          </w:p>
        </w:tc>
        <w:tc>
          <w:tcPr>
            <w:tcW w:w="6762" w:type="dxa"/>
            <w:tcBorders>
              <w:top w:val="nil"/>
              <w:left w:val="nil"/>
              <w:bottom w:val="nil"/>
              <w:right w:val="nil"/>
            </w:tcBorders>
            <w:tcMar>
              <w:top w:w="0" w:type="dxa"/>
              <w:left w:w="62" w:type="dxa"/>
              <w:bottom w:w="0" w:type="dxa"/>
              <w:right w:w="62" w:type="dxa"/>
            </w:tcMar>
          </w:tcPr>
          <w:p w:rsidR="00000000" w:rsidRPr="002C589E" w:rsidP="002C589E">
            <w:pPr>
              <w:pStyle w:val="BodyText"/>
            </w:pPr>
            <w:r w:rsidRPr="002C589E">
              <w:t>Assessment must confirm the ability to:</w:t>
            </w:r>
          </w:p>
          <w:p w:rsidR="00000000" w:rsidRPr="002C589E" w:rsidP="002C589E">
            <w:pPr>
              <w:pStyle w:val="ListBullet2"/>
            </w:pPr>
            <w:r w:rsidRPr="002C589E">
              <w:t>apply scope of authority and refe</w:t>
            </w:r>
            <w:r w:rsidRPr="002C589E">
              <w:t xml:space="preserve">r or escalate enquiries that fall beyond scope </w:t>
            </w:r>
          </w:p>
          <w:p w:rsidR="00000000" w:rsidRPr="002C589E" w:rsidP="002C589E">
            <w:pPr>
              <w:pStyle w:val="ListBullet2"/>
            </w:pPr>
            <w:r w:rsidRPr="002C589E">
              <w:t xml:space="preserve">locate and use information sources to provide relevant response to enquiries </w:t>
            </w:r>
          </w:p>
          <w:p w:rsidR="00000000" w:rsidRPr="002C589E" w:rsidP="002C589E">
            <w:pPr>
              <w:pStyle w:val="ListBullet2"/>
            </w:pPr>
            <w:r w:rsidRPr="002C589E">
              <w:t>apply communication strategies to ensure responses to enquiries meet quality and productivity standards</w:t>
            </w:r>
          </w:p>
          <w:p w:rsidR="00000000" w:rsidRPr="002C589E" w:rsidP="002C589E">
            <w:pPr>
              <w:pStyle w:val="ListBullet2"/>
            </w:pPr>
            <w:r w:rsidRPr="002C589E">
              <w:t>provide responses to a range of enquiries from diverse enquirers</w:t>
            </w:r>
          </w:p>
          <w:p w:rsidR="00000000" w:rsidRPr="002C589E" w:rsidP="002C589E">
            <w:pPr>
              <w:pStyle w:val="BodyText"/>
            </w:pPr>
            <w:r w:rsidRPr="002C589E">
              <w:rPr>
                <w:rStyle w:val="SpecialBold"/>
              </w:rPr>
              <w:t>Consistency in performance</w:t>
            </w:r>
          </w:p>
          <w:p w:rsidR="00000000" w:rsidP="002C589E">
            <w:pPr>
              <w:pStyle w:val="BodyText"/>
              <w:rPr>
                <w:lang w:val="en-NZ"/>
              </w:rPr>
            </w:pPr>
            <w:r w:rsidRPr="002C589E">
              <w:t>Competency should be demonstrated by responding to a range of enquiries, including both written and verbal enquiries.</w:t>
            </w:r>
          </w:p>
        </w:tc>
      </w:tr>
      <w:tr w:rsidTr="00570E92">
        <w:tblPrEx>
          <w:tblW w:w="9288" w:type="dxa"/>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Context of and specific resources for assessm</w:t>
            </w:r>
            <w:r w:rsidRPr="002C589E">
              <w:rPr>
                <w:rStyle w:val="SpecialBold"/>
              </w:rPr>
              <w:t>ent</w:t>
            </w:r>
          </w:p>
        </w:tc>
        <w:tc>
          <w:tcPr>
            <w:tcW w:w="6762" w:type="dxa"/>
            <w:tcBorders>
              <w:top w:val="nil"/>
              <w:left w:val="nil"/>
              <w:bottom w:val="nil"/>
              <w:right w:val="nil"/>
            </w:tcBorders>
            <w:tcMar>
              <w:top w:w="0" w:type="dxa"/>
              <w:left w:w="62" w:type="dxa"/>
              <w:bottom w:w="0" w:type="dxa"/>
              <w:right w:w="62" w:type="dxa"/>
            </w:tcMar>
          </w:tcPr>
          <w:p w:rsidR="00000000" w:rsidRPr="002C589E" w:rsidP="002C589E">
            <w:pPr>
              <w:pStyle w:val="BodyText"/>
            </w:pPr>
            <w:r w:rsidRPr="002C589E">
              <w:t>Assessment must comply with:</w:t>
            </w:r>
          </w:p>
          <w:p w:rsidR="00000000" w:rsidRPr="002C589E" w:rsidP="002C589E">
            <w:pPr>
              <w:pStyle w:val="ListBullet2"/>
            </w:pPr>
            <w:r w:rsidRPr="002C589E">
              <w:t>organisational client-management and health and safety procedures</w:t>
            </w:r>
          </w:p>
          <w:p w:rsidR="00000000" w:rsidRPr="002C589E" w:rsidP="002C589E">
            <w:pPr>
              <w:pStyle w:val="ListBullet2"/>
            </w:pPr>
            <w:r w:rsidRPr="002C589E">
              <w:t>applicable regulations and codes.</w:t>
            </w:r>
          </w:p>
          <w:p w:rsidR="00000000" w:rsidRPr="002C589E" w:rsidP="002C589E">
            <w:pPr>
              <w:pStyle w:val="BodyText"/>
            </w:pPr>
            <w:r w:rsidRPr="002C589E">
              <w:t>Access may be required to:</w:t>
            </w:r>
          </w:p>
          <w:p w:rsidR="00000000" w:rsidRPr="002C589E" w:rsidP="002C589E">
            <w:pPr>
              <w:pStyle w:val="ListBullet2"/>
            </w:pPr>
            <w:r w:rsidRPr="002C589E">
              <w:t xml:space="preserve">a simulated work environment </w:t>
            </w:r>
          </w:p>
          <w:p w:rsidR="00000000" w:rsidRPr="002C589E" w:rsidP="002C589E">
            <w:pPr>
              <w:pStyle w:val="ListBullet2"/>
            </w:pPr>
            <w:r w:rsidRPr="002C589E">
              <w:t>organisational policies and procedures</w:t>
            </w:r>
          </w:p>
          <w:p w:rsidR="00000000" w:rsidP="002C589E">
            <w:pPr>
              <w:pStyle w:val="ListBullet2"/>
              <w:rPr>
                <w:lang w:val="en-NZ"/>
              </w:rPr>
            </w:pPr>
            <w:r w:rsidRPr="002C589E">
              <w:t>workplace relations infor</w:t>
            </w:r>
            <w:r w:rsidRPr="002C589E">
              <w:t>mation</w:t>
            </w:r>
          </w:p>
        </w:tc>
      </w:tr>
      <w:tr w:rsidTr="00570E92">
        <w:tblPrEx>
          <w:tblW w:w="9288" w:type="dxa"/>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SpecialBold"/>
              </w:rPr>
              <w:t>Guidance information for assessment</w:t>
            </w:r>
          </w:p>
        </w:tc>
        <w:tc>
          <w:tcPr>
            <w:tcW w:w="6762" w:type="dxa"/>
            <w:tcBorders>
              <w:top w:val="nil"/>
              <w:left w:val="nil"/>
              <w:bottom w:val="nil"/>
              <w:right w:val="nil"/>
            </w:tcBorders>
            <w:tcMar>
              <w:top w:w="0" w:type="dxa"/>
              <w:left w:w="62" w:type="dxa"/>
              <w:bottom w:w="0" w:type="dxa"/>
              <w:right w:w="62" w:type="dxa"/>
            </w:tcMar>
          </w:tcPr>
          <w:p w:rsidR="00000000" w:rsidRPr="002C589E" w:rsidP="002C589E">
            <w:pPr>
              <w:pStyle w:val="BodyText"/>
            </w:pPr>
            <w:r w:rsidRPr="002C589E">
              <w:t>The following assessment methods are suggested:</w:t>
            </w:r>
          </w:p>
          <w:p w:rsidR="00000000" w:rsidRPr="002C589E" w:rsidP="002C589E">
            <w:pPr>
              <w:pStyle w:val="ListBullet2"/>
            </w:pPr>
            <w:r w:rsidRPr="002C589E">
              <w:t>questioning about relevant legislation, the workplace relations framework, and workplace relations information and issues</w:t>
            </w:r>
          </w:p>
          <w:p w:rsidR="00000000" w:rsidRPr="002C589E" w:rsidP="002C589E">
            <w:pPr>
              <w:pStyle w:val="ListBullet2"/>
            </w:pPr>
            <w:r w:rsidRPr="002C589E">
              <w:t>observation of the candidate responding to a range of incoming enquiries from diverse enquirers about a variety of common workplace relations issues</w:t>
            </w:r>
          </w:p>
          <w:p w:rsidR="00000000" w:rsidRPr="002C589E" w:rsidP="002C589E">
            <w:pPr>
              <w:pStyle w:val="ListBullet2"/>
            </w:pPr>
            <w:r w:rsidRPr="002C589E">
              <w:t>feedback from peers and/or supervisor that the candidate consistently applies relevant workplace procedures</w:t>
            </w:r>
          </w:p>
          <w:p w:rsidR="00000000" w:rsidRPr="002C589E" w:rsidP="002C589E">
            <w:pPr>
              <w:pStyle w:val="ListBullet2"/>
            </w:pPr>
            <w:r w:rsidRPr="002C589E">
              <w:t>review of records completed by candidate or reports of performance</w:t>
            </w:r>
          </w:p>
          <w:p w:rsidR="00000000" w:rsidRPr="002C589E" w:rsidP="002C589E">
            <w:pPr>
              <w:pStyle w:val="BodyText"/>
            </w:pPr>
            <w:r w:rsidRPr="002C589E">
              <w:t>In all cases, practical assessment should be supported by questions to assess underpinning knowledge and those aspects of competency that are difficult to assess directly. Questioning tech</w:t>
            </w:r>
            <w:r w:rsidRPr="002C589E">
              <w:t>niques should suit the language and literacy levels of the candidate.</w:t>
            </w:r>
          </w:p>
        </w:tc>
      </w:tr>
    </w:tbl>
    <w:p w:rsidR="00000000" w:rsidRPr="002C589E" w:rsidP="002C589E">
      <w:pPr>
        <w:pStyle w:val="BodyText"/>
      </w:pPr>
    </w:p>
    <w:p w:rsidR="00000000" w:rsidRPr="002C589E" w:rsidP="002C589E">
      <w:pPr>
        <w:pStyle w:val="AllowPageBreak"/>
      </w:pPr>
    </w:p>
    <w:p w:rsidR="00000000" w:rsidRPr="002C589E" w:rsidP="002C589E">
      <w:pPr>
        <w:pStyle w:val="Heading1"/>
      </w:pPr>
      <w:bookmarkStart w:id="11" w:name="O_496255"/>
      <w:bookmarkEnd w:id="11"/>
      <w:r w:rsidRPr="002C589E">
        <w:t>Range Statement</w:t>
      </w:r>
    </w:p>
    <w:tbl>
      <w:tblPr>
        <w:tblW w:w="0" w:type="auto"/>
        <w:tblLayout w:type="fixed"/>
        <w:tblCellMar>
          <w:left w:w="62" w:type="dxa"/>
          <w:right w:w="62" w:type="dxa"/>
        </w:tblCellMar>
        <w:tblLook w:val="0000"/>
      </w:tblPr>
      <w:tblGrid>
        <w:gridCol w:w="2571"/>
        <w:gridCol w:w="5951"/>
      </w:tblGrid>
      <w:tr w:rsidTr="00570E9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t>The range statement relates to the unit of competency as a whole. It allows for different work environments and situations that may affect performance.</w:t>
            </w:r>
            <w:r w:rsidRPr="002C589E">
              <w:rPr>
                <w:rStyle w:val="BoldandItalics"/>
              </w:rPr>
              <w:t xml:space="preserve"> Bold italicised</w:t>
            </w:r>
            <w:r w:rsidRPr="002C589E">
              <w:t xml:space="preserve"> wording, if used in the performance criteria, is detailed below. Essential operating conditions that may be present with training and assessment (depending on the work situation, needs of the candidate, accessibility of the item, and local</w:t>
            </w:r>
            <w:r w:rsidRPr="002C589E">
              <w:t xml:space="preserve"> industry and regional contexts) may also be included.</w:t>
            </w:r>
          </w:p>
        </w:tc>
      </w:tr>
      <w:tr w:rsidTr="00570E9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BoldandItalics"/>
              </w:rPr>
              <w:t>Scope of authority</w:t>
            </w:r>
            <w:r w:rsidRPr="002C589E">
              <w:t xml:space="preserve"> may include that relating to:</w:t>
            </w:r>
          </w:p>
        </w:tc>
        <w:tc>
          <w:tcPr>
            <w:tcW w:w="5951"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 xml:space="preserve">definitions of types of enquiry to be accepted and types to be referred, including details of appropriate persons for referral </w:t>
            </w:r>
          </w:p>
          <w:p w:rsidR="00000000" w:rsidRPr="002C589E" w:rsidP="002C589E">
            <w:pPr>
              <w:pStyle w:val="ListBullet2"/>
            </w:pPr>
            <w:r w:rsidRPr="002C589E">
              <w:t>details of type, lev</w:t>
            </w:r>
            <w:r w:rsidRPr="002C589E">
              <w:t>el and format of advice to be given, including:</w:t>
            </w:r>
          </w:p>
          <w:p w:rsidR="00000000" w:rsidRPr="002C589E" w:rsidP="002C589E">
            <w:pPr>
              <w:pStyle w:val="ListBullet3"/>
            </w:pPr>
            <w:r w:rsidRPr="002C589E">
              <w:t>sources of information to be used for advice</w:t>
            </w:r>
          </w:p>
          <w:p w:rsidR="00000000" w:rsidP="002C589E">
            <w:pPr>
              <w:pStyle w:val="ListBullet3"/>
              <w:rPr>
                <w:lang w:val="en-NZ"/>
              </w:rPr>
            </w:pPr>
            <w:r w:rsidRPr="002C589E">
              <w:t>restrictions on variations to prescribed advice</w:t>
            </w:r>
          </w:p>
        </w:tc>
      </w:tr>
      <w:tr w:rsidTr="00570E9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BoldandItalics"/>
              </w:rPr>
              <w:t>Workplace relations enquiries</w:t>
            </w:r>
            <w:r w:rsidRPr="002C589E">
              <w:t xml:space="preserve"> may relate to: </w:t>
            </w:r>
          </w:p>
        </w:tc>
        <w:tc>
          <w:tcPr>
            <w:tcW w:w="5951"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legislation, codes and national standards relevant to the workplace</w:t>
            </w:r>
          </w:p>
          <w:p w:rsidR="00000000" w:rsidP="002C589E">
            <w:pPr>
              <w:pStyle w:val="ListBullet2"/>
              <w:rPr>
                <w:lang w:val="en-NZ"/>
              </w:rPr>
            </w:pPr>
            <w:r w:rsidRPr="002C589E">
              <w:t>relevant employment contracts and industrial instruments</w:t>
            </w:r>
          </w:p>
        </w:tc>
      </w:tr>
      <w:tr w:rsidTr="00570E9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BoldandItalics"/>
              </w:rPr>
              <w:t>Workplace procedures</w:t>
            </w:r>
            <w:r w:rsidRPr="002C589E">
              <w:t xml:space="preserve"> may include those relating to:</w:t>
            </w:r>
          </w:p>
        </w:tc>
        <w:tc>
          <w:tcPr>
            <w:tcW w:w="5951"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OHS</w:t>
            </w:r>
          </w:p>
          <w:p w:rsidR="00000000" w:rsidRPr="002C589E" w:rsidP="002C589E">
            <w:pPr>
              <w:pStyle w:val="ListBullet2"/>
            </w:pPr>
            <w:r w:rsidRPr="002C589E">
              <w:t xml:space="preserve">code of conduct </w:t>
            </w:r>
          </w:p>
          <w:p w:rsidR="00000000" w:rsidRPr="002C589E" w:rsidP="002C589E">
            <w:pPr>
              <w:pStyle w:val="ListBullet2"/>
            </w:pPr>
            <w:r w:rsidRPr="002C589E">
              <w:t>recording and reporting</w:t>
            </w:r>
          </w:p>
          <w:p w:rsidR="00000000" w:rsidRPr="002C589E" w:rsidP="002C589E">
            <w:pPr>
              <w:pStyle w:val="ListBullet2"/>
            </w:pPr>
            <w:r w:rsidRPr="002C589E">
              <w:t>privacy and privacy disclaimers</w:t>
            </w:r>
          </w:p>
          <w:p w:rsidR="00000000" w:rsidRPr="002C589E" w:rsidP="002C589E">
            <w:pPr>
              <w:pStyle w:val="ListBullet2"/>
            </w:pPr>
            <w:r w:rsidRPr="002C589E">
              <w:t>scope of authority</w:t>
            </w:r>
          </w:p>
          <w:p w:rsidR="00000000" w:rsidRPr="002C589E" w:rsidP="002C589E">
            <w:pPr>
              <w:pStyle w:val="ListBullet2"/>
            </w:pPr>
            <w:r w:rsidRPr="002C589E">
              <w:t>referral</w:t>
            </w:r>
          </w:p>
          <w:p w:rsidR="00000000" w:rsidP="002C589E">
            <w:pPr>
              <w:pStyle w:val="ListBullet2"/>
              <w:rPr>
                <w:lang w:val="en-NZ"/>
              </w:rPr>
            </w:pPr>
            <w:r w:rsidRPr="002C589E">
              <w:t>conflict of interest</w:t>
            </w:r>
          </w:p>
        </w:tc>
      </w:tr>
      <w:tr w:rsidTr="00570E9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BoldandItalics"/>
              </w:rPr>
              <w:t>Communication</w:t>
            </w:r>
            <w:r w:rsidRPr="002C589E">
              <w:t xml:space="preserve"> may be oral or written and may include: </w:t>
            </w:r>
          </w:p>
        </w:tc>
        <w:tc>
          <w:tcPr>
            <w:tcW w:w="5951"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using correct scripts and acceptable variation from scripts</w:t>
            </w:r>
          </w:p>
          <w:p w:rsidR="00000000" w:rsidRPr="002C589E" w:rsidP="002C589E">
            <w:pPr>
              <w:pStyle w:val="ListBullet2"/>
            </w:pPr>
            <w:r w:rsidRPr="002C589E">
              <w:t>using plain English</w:t>
            </w:r>
          </w:p>
          <w:p w:rsidR="00000000" w:rsidRPr="002C589E" w:rsidP="002C589E">
            <w:pPr>
              <w:pStyle w:val="ListBullet2"/>
            </w:pPr>
            <w:r w:rsidRPr="002C589E">
              <w:t>using interpreters</w:t>
            </w:r>
          </w:p>
          <w:p w:rsidR="00000000" w:rsidRPr="002C589E" w:rsidP="002C589E">
            <w:pPr>
              <w:pStyle w:val="ListBullet2"/>
            </w:pPr>
            <w:r w:rsidRPr="002C589E">
              <w:t>establishing rapport while remaining impartial</w:t>
            </w:r>
          </w:p>
          <w:p w:rsidR="00000000" w:rsidRPr="002C589E" w:rsidP="002C589E">
            <w:pPr>
              <w:pStyle w:val="ListBullet2"/>
            </w:pPr>
            <w:r w:rsidRPr="002C589E">
              <w:t>adapting communication to suit audience</w:t>
            </w:r>
          </w:p>
          <w:p w:rsidR="00000000" w:rsidP="002C589E">
            <w:pPr>
              <w:pStyle w:val="ListBullet2"/>
              <w:rPr>
                <w:lang w:val="en-NZ"/>
              </w:rPr>
            </w:pPr>
            <w:r w:rsidRPr="002C589E">
              <w:t>using assertive communication</w:t>
            </w:r>
          </w:p>
        </w:tc>
      </w:tr>
      <w:tr w:rsidTr="00570E92">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2C589E">
            <w:pPr>
              <w:pStyle w:val="BodyText"/>
              <w:rPr>
                <w:lang w:val="en-NZ"/>
              </w:rPr>
            </w:pPr>
            <w:r w:rsidRPr="002C589E">
              <w:rPr>
                <w:rStyle w:val="BoldandItalics"/>
              </w:rPr>
              <w:t>Workplace relations information</w:t>
            </w:r>
            <w:r w:rsidRPr="002C589E">
              <w:t xml:space="preserve"> may include:</w:t>
            </w:r>
          </w:p>
        </w:tc>
        <w:tc>
          <w:tcPr>
            <w:tcW w:w="5951" w:type="dxa"/>
            <w:tcBorders>
              <w:top w:val="nil"/>
              <w:left w:val="nil"/>
              <w:bottom w:val="nil"/>
              <w:right w:val="nil"/>
            </w:tcBorders>
            <w:tcMar>
              <w:top w:w="0" w:type="dxa"/>
              <w:left w:w="62" w:type="dxa"/>
              <w:bottom w:w="0" w:type="dxa"/>
              <w:right w:w="62" w:type="dxa"/>
            </w:tcMar>
          </w:tcPr>
          <w:p w:rsidR="00000000" w:rsidRPr="002C589E" w:rsidP="002C589E">
            <w:pPr>
              <w:pStyle w:val="ListBullet2"/>
            </w:pPr>
            <w:r w:rsidRPr="002C589E">
              <w:t>workplace conditions and entitlements, including:</w:t>
            </w:r>
          </w:p>
          <w:p w:rsidR="00000000" w:rsidRPr="002C589E" w:rsidP="002C589E">
            <w:pPr>
              <w:pStyle w:val="ListBullet3"/>
            </w:pPr>
            <w:r w:rsidRPr="002C589E">
              <w:t>maximum weekly hours of work</w:t>
            </w:r>
          </w:p>
          <w:p w:rsidR="00000000" w:rsidRPr="002C589E" w:rsidP="002C589E">
            <w:pPr>
              <w:pStyle w:val="ListBullet3"/>
            </w:pPr>
            <w:r w:rsidRPr="002C589E">
              <w:t>leave, including:</w:t>
            </w:r>
          </w:p>
          <w:p w:rsidR="00000000" w:rsidRPr="002C589E" w:rsidP="002C589E">
            <w:pPr>
              <w:pStyle w:val="ListBullet3"/>
            </w:pPr>
            <w:r w:rsidRPr="002C589E">
              <w:t>annual leave</w:t>
            </w:r>
          </w:p>
          <w:p w:rsidR="00000000" w:rsidRPr="002C589E" w:rsidP="002C589E">
            <w:pPr>
              <w:pStyle w:val="ListBullet3"/>
            </w:pPr>
            <w:r w:rsidRPr="002C589E">
              <w:t>parental leave and related entitlements</w:t>
            </w:r>
          </w:p>
          <w:p w:rsidR="00000000" w:rsidRPr="002C589E" w:rsidP="002C589E">
            <w:pPr>
              <w:pStyle w:val="ListBullet3"/>
            </w:pPr>
            <w:r w:rsidRPr="002C589E">
              <w:t>personal/carer's leave and compassionate leave</w:t>
            </w:r>
          </w:p>
          <w:p w:rsidR="00000000" w:rsidRPr="002C589E" w:rsidP="002C589E">
            <w:pPr>
              <w:pStyle w:val="ListBullet3"/>
            </w:pPr>
            <w:r w:rsidRPr="002C589E">
              <w:t>community service leave</w:t>
            </w:r>
          </w:p>
          <w:p w:rsidR="00000000" w:rsidRPr="002C589E" w:rsidP="002C589E">
            <w:pPr>
              <w:pStyle w:val="ListBullet3"/>
            </w:pPr>
            <w:r w:rsidRPr="002C589E">
              <w:t>long service leave</w:t>
            </w:r>
          </w:p>
          <w:p w:rsidR="00000000" w:rsidRPr="002C589E" w:rsidP="002C589E">
            <w:pPr>
              <w:pStyle w:val="ListBullet3"/>
            </w:pPr>
            <w:r w:rsidRPr="002C589E">
              <w:t>requests for flexible working arrangements</w:t>
            </w:r>
          </w:p>
          <w:p w:rsidR="00000000" w:rsidRPr="002C589E" w:rsidP="002C589E">
            <w:pPr>
              <w:pStyle w:val="ListBullet3"/>
            </w:pPr>
            <w:r w:rsidRPr="002C589E">
              <w:t>public holidays</w:t>
            </w:r>
          </w:p>
          <w:p w:rsidR="00000000" w:rsidRPr="002C589E" w:rsidP="002C589E">
            <w:pPr>
              <w:pStyle w:val="ListBullet3"/>
            </w:pPr>
            <w:r w:rsidRPr="002C589E">
              <w:t xml:space="preserve">notice of termination and redundancy pay </w:t>
            </w:r>
          </w:p>
          <w:p w:rsidR="00000000" w:rsidRPr="002C589E" w:rsidP="002C589E">
            <w:pPr>
              <w:pStyle w:val="ListBullet3"/>
            </w:pPr>
            <w:r w:rsidRPr="002C589E">
              <w:t xml:space="preserve">minimum wages </w:t>
            </w:r>
          </w:p>
          <w:p w:rsidR="00000000" w:rsidRPr="002C589E" w:rsidP="002C589E">
            <w:pPr>
              <w:pStyle w:val="ListBullet"/>
            </w:pPr>
            <w:r w:rsidRPr="002C589E">
              <w:t>rights, r</w:t>
            </w:r>
            <w:r w:rsidRPr="002C589E">
              <w:t>oles and responsibilities of individuals or groups, including:</w:t>
            </w:r>
          </w:p>
          <w:p w:rsidR="00000000" w:rsidRPr="002C589E" w:rsidP="002C589E">
            <w:pPr>
              <w:pStyle w:val="ListBullet3"/>
            </w:pPr>
            <w:r w:rsidRPr="002C589E">
              <w:t>employers</w:t>
            </w:r>
          </w:p>
          <w:p w:rsidR="00000000" w:rsidRPr="002C589E" w:rsidP="002C589E">
            <w:pPr>
              <w:pStyle w:val="ListBullet3"/>
            </w:pPr>
            <w:r w:rsidRPr="002C589E">
              <w:t xml:space="preserve">employees </w:t>
            </w:r>
          </w:p>
          <w:p w:rsidR="00000000" w:rsidRPr="002C589E" w:rsidP="002C589E">
            <w:pPr>
              <w:pStyle w:val="ListBullet3"/>
            </w:pPr>
            <w:r w:rsidRPr="002C589E">
              <w:t xml:space="preserve">Fair Work Australia </w:t>
            </w:r>
          </w:p>
          <w:p w:rsidR="00000000" w:rsidRPr="002C589E" w:rsidP="002C589E">
            <w:pPr>
              <w:pStyle w:val="ListBullet3"/>
            </w:pPr>
            <w:r w:rsidRPr="002C589E">
              <w:t xml:space="preserve">state industrial relations commissions </w:t>
            </w:r>
          </w:p>
          <w:p w:rsidR="00000000" w:rsidRPr="002C589E" w:rsidP="002C589E">
            <w:pPr>
              <w:pStyle w:val="ListBullet3"/>
            </w:pPr>
            <w:r w:rsidRPr="002C589E">
              <w:t xml:space="preserve">unions </w:t>
            </w:r>
          </w:p>
          <w:p w:rsidR="00000000" w:rsidRPr="002C589E" w:rsidP="002C589E">
            <w:pPr>
              <w:pStyle w:val="ListBullet3"/>
            </w:pPr>
            <w:r w:rsidRPr="002C589E">
              <w:t xml:space="preserve">independent contractors </w:t>
            </w:r>
          </w:p>
          <w:p w:rsidR="00000000" w:rsidRPr="002C589E" w:rsidP="002C589E">
            <w:pPr>
              <w:pStyle w:val="ListBullet2"/>
            </w:pPr>
            <w:r w:rsidRPr="002C589E">
              <w:t xml:space="preserve">legislation, codes and standards relevant to the workplace, such as: </w:t>
            </w:r>
          </w:p>
          <w:p w:rsidR="00000000" w:rsidRPr="002C589E" w:rsidP="002C589E">
            <w:pPr>
              <w:pStyle w:val="ListBullet3"/>
            </w:pPr>
            <w:r w:rsidRPr="002C589E">
              <w:t xml:space="preserve">Fair Work Act 2009 </w:t>
            </w:r>
          </w:p>
          <w:p w:rsidR="00000000" w:rsidRPr="002C589E" w:rsidP="002C589E">
            <w:pPr>
              <w:pStyle w:val="ListBullet3"/>
            </w:pPr>
            <w:r w:rsidRPr="002C589E">
              <w:t>Independent Contractors Act 2006</w:t>
            </w:r>
          </w:p>
          <w:p w:rsidR="00000000" w:rsidRPr="002C589E" w:rsidP="002C589E">
            <w:pPr>
              <w:pStyle w:val="ListBullet3"/>
            </w:pPr>
            <w:r w:rsidRPr="002C589E">
              <w:t>Australian Workplace Relations Act 1996</w:t>
            </w:r>
          </w:p>
          <w:p w:rsidR="00000000" w:rsidRPr="002C589E" w:rsidP="002C589E">
            <w:pPr>
              <w:pStyle w:val="ListBullet3"/>
            </w:pPr>
            <w:r w:rsidRPr="002C589E">
              <w:t>Public Service Act 2008</w:t>
            </w:r>
          </w:p>
          <w:p w:rsidR="00000000" w:rsidRPr="002C589E" w:rsidP="002C589E">
            <w:pPr>
              <w:pStyle w:val="ListBullet3"/>
            </w:pPr>
            <w:r w:rsidRPr="002C589E">
              <w:t>Public Service Regulation 2008</w:t>
            </w:r>
          </w:p>
          <w:p w:rsidR="00000000" w:rsidRPr="002C589E" w:rsidP="002C589E">
            <w:pPr>
              <w:pStyle w:val="ListBullet3"/>
            </w:pPr>
            <w:r w:rsidRPr="002C589E">
              <w:t xml:space="preserve">state public sector management legislation </w:t>
            </w:r>
          </w:p>
          <w:p w:rsidR="00000000" w:rsidRPr="002C589E" w:rsidP="002C589E">
            <w:pPr>
              <w:pStyle w:val="ListBullet3"/>
            </w:pPr>
            <w:r w:rsidRPr="002C589E">
              <w:t>award and enterprise agreements and relevant industrial instrume</w:t>
            </w:r>
            <w:r w:rsidRPr="002C589E">
              <w:t xml:space="preserve">nts </w:t>
            </w:r>
          </w:p>
          <w:p w:rsidR="00000000" w:rsidRPr="002C589E" w:rsidP="002C589E">
            <w:pPr>
              <w:pStyle w:val="ListBullet3"/>
            </w:pPr>
            <w:r w:rsidRPr="002C589E">
              <w:t>transitional arrangements</w:t>
            </w:r>
          </w:p>
          <w:p w:rsidR="00000000" w:rsidRPr="002C589E" w:rsidP="002C589E">
            <w:pPr>
              <w:pStyle w:val="ListBullet3"/>
            </w:pPr>
            <w:r w:rsidRPr="002C589E">
              <w:t>other relevant federal, state or territory, and local legislation relating to:</w:t>
            </w:r>
          </w:p>
          <w:p w:rsidR="00000000" w:rsidRPr="002C589E" w:rsidP="002C589E">
            <w:pPr>
              <w:pStyle w:val="ListBullet3"/>
            </w:pPr>
            <w:r w:rsidRPr="002C589E">
              <w:t>OHS</w:t>
            </w:r>
          </w:p>
          <w:p w:rsidR="00000000" w:rsidRPr="002C589E" w:rsidP="002C589E">
            <w:pPr>
              <w:pStyle w:val="ListBullet3"/>
            </w:pPr>
            <w:r w:rsidRPr="002C589E">
              <w:t>human rights and equal employment opportunity</w:t>
            </w:r>
          </w:p>
          <w:p w:rsidR="00000000" w:rsidRPr="002C589E" w:rsidP="002C589E">
            <w:pPr>
              <w:pStyle w:val="ListBullet3"/>
            </w:pPr>
            <w:r w:rsidRPr="002C589E">
              <w:t>industrial relations</w:t>
            </w:r>
          </w:p>
          <w:p w:rsidR="00000000" w:rsidRPr="002C589E" w:rsidP="002C589E">
            <w:pPr>
              <w:pStyle w:val="ListBullet3"/>
            </w:pPr>
            <w:r w:rsidRPr="002C589E">
              <w:t>immigration</w:t>
            </w:r>
          </w:p>
          <w:p w:rsidR="00000000" w:rsidRPr="002C589E" w:rsidP="002C589E">
            <w:pPr>
              <w:pStyle w:val="ListBullet3"/>
            </w:pPr>
            <w:r w:rsidRPr="002C589E">
              <w:t>superannuation</w:t>
            </w:r>
          </w:p>
          <w:p w:rsidR="00000000" w:rsidRPr="002C589E" w:rsidP="002C589E">
            <w:pPr>
              <w:pStyle w:val="ListBullet3"/>
            </w:pPr>
            <w:r w:rsidRPr="002C589E">
              <w:t>workers compensation</w:t>
            </w:r>
          </w:p>
          <w:p w:rsidR="00000000" w:rsidRPr="002C589E" w:rsidP="002C589E">
            <w:pPr>
              <w:pStyle w:val="ListBullet3"/>
            </w:pPr>
            <w:r w:rsidRPr="002C589E">
              <w:t xml:space="preserve">long service leave </w:t>
            </w:r>
          </w:p>
          <w:p w:rsidR="00000000" w:rsidRPr="002C589E" w:rsidP="002C589E">
            <w:pPr>
              <w:pStyle w:val="ListBullet3"/>
            </w:pPr>
            <w:r w:rsidRPr="002C589E">
              <w:t>relevant industry codes of practice</w:t>
            </w:r>
          </w:p>
          <w:p w:rsidR="00000000" w:rsidRPr="002C589E" w:rsidP="002C589E">
            <w:pPr>
              <w:pStyle w:val="ListBullet3"/>
            </w:pPr>
            <w:r w:rsidRPr="002C589E">
              <w:t>note: legislation, codes and standards are subject to change and current relevant versions should be researched</w:t>
            </w:r>
          </w:p>
          <w:p w:rsidR="00000000" w:rsidRPr="002C589E" w:rsidP="002C589E">
            <w:pPr>
              <w:pStyle w:val="ListBullet2"/>
            </w:pPr>
            <w:r w:rsidRPr="002C589E">
              <w:t xml:space="preserve">relevant employment contracts or industrial instruments, such as: </w:t>
            </w:r>
          </w:p>
          <w:p w:rsidR="00000000" w:rsidRPr="002C589E" w:rsidP="002C589E">
            <w:pPr>
              <w:pStyle w:val="ListBullet3"/>
            </w:pPr>
            <w:r w:rsidRPr="002C589E">
              <w:t>employee collective agreement (ECA)</w:t>
            </w:r>
          </w:p>
          <w:p w:rsidR="00000000" w:rsidRPr="002C589E" w:rsidP="002C589E">
            <w:pPr>
              <w:pStyle w:val="ListBullet3"/>
            </w:pPr>
            <w:r w:rsidRPr="002C589E">
              <w:t>union collective agreement (UCA)</w:t>
            </w:r>
          </w:p>
          <w:p w:rsidR="00000000" w:rsidRPr="002C589E" w:rsidP="002C589E">
            <w:pPr>
              <w:pStyle w:val="ListBullet3"/>
            </w:pPr>
            <w:r w:rsidRPr="002C589E">
              <w:t>employee greenfield agreement (EGA)</w:t>
            </w:r>
          </w:p>
          <w:p w:rsidR="00000000" w:rsidRPr="002C589E" w:rsidP="002C589E">
            <w:pPr>
              <w:pStyle w:val="ListBullet3"/>
            </w:pPr>
            <w:r w:rsidRPr="002C589E">
              <w:t>union greenfield agreement (UGA)</w:t>
            </w:r>
          </w:p>
          <w:p w:rsidR="00000000" w:rsidRPr="002C589E" w:rsidP="002C589E">
            <w:pPr>
              <w:pStyle w:val="ListBullet3"/>
            </w:pPr>
            <w:r w:rsidRPr="002C589E">
              <w:t>Australian workplace agreement (AWA)</w:t>
            </w:r>
          </w:p>
          <w:p w:rsidR="00000000" w:rsidRPr="002C589E" w:rsidP="002C589E">
            <w:pPr>
              <w:pStyle w:val="ListBullet3"/>
            </w:pPr>
            <w:r w:rsidRPr="002C589E">
              <w:t>individual transitional employment agreement (ITEA)</w:t>
            </w:r>
          </w:p>
          <w:p w:rsidR="00000000" w:rsidRPr="002C589E" w:rsidP="002C589E">
            <w:pPr>
              <w:pStyle w:val="ListBullet3"/>
            </w:pPr>
            <w:r w:rsidRPr="002C589E">
              <w:t>enterprise bargaining agreement (EBA)</w:t>
            </w:r>
          </w:p>
          <w:p w:rsidR="00000000" w:rsidRPr="002C589E" w:rsidP="002C589E">
            <w:pPr>
              <w:pStyle w:val="ListBullet3"/>
            </w:pPr>
            <w:r w:rsidRPr="002C589E">
              <w:t>notional agreement preservi</w:t>
            </w:r>
            <w:r w:rsidRPr="002C589E">
              <w:t>ng state award (NAPSA)</w:t>
            </w:r>
          </w:p>
          <w:p w:rsidR="00000000" w:rsidRPr="002C589E" w:rsidP="002C589E">
            <w:pPr>
              <w:pStyle w:val="ListBullet3"/>
            </w:pPr>
            <w:r w:rsidRPr="002C589E">
              <w:t>preserved state agreement (PSA)</w:t>
            </w:r>
          </w:p>
          <w:p w:rsidR="00000000" w:rsidRPr="002C589E" w:rsidP="002C589E">
            <w:pPr>
              <w:pStyle w:val="ListBullet3"/>
            </w:pPr>
            <w:r w:rsidRPr="002C589E">
              <w:t>enterprise agreement</w:t>
            </w:r>
          </w:p>
          <w:p w:rsidR="00000000" w:rsidRPr="002C589E" w:rsidP="002C589E">
            <w:pPr>
              <w:pStyle w:val="ListBullet3"/>
            </w:pPr>
            <w:r w:rsidRPr="002C589E">
              <w:t>multi enterprise agreement</w:t>
            </w:r>
          </w:p>
          <w:p w:rsidR="00000000" w:rsidRPr="002C589E" w:rsidP="002C589E">
            <w:pPr>
              <w:pStyle w:val="ListBullet3"/>
            </w:pPr>
            <w:r w:rsidRPr="002C589E">
              <w:t>single enterprise agreement</w:t>
            </w:r>
          </w:p>
          <w:p w:rsidR="00000000" w:rsidRPr="002C589E" w:rsidP="002C589E">
            <w:pPr>
              <w:pStyle w:val="ListBullet3"/>
            </w:pPr>
            <w:r w:rsidRPr="002C589E">
              <w:t xml:space="preserve">multiple business agreement (MBA) </w:t>
            </w:r>
          </w:p>
          <w:p w:rsidR="00000000" w:rsidRPr="002C589E" w:rsidP="002C589E">
            <w:pPr>
              <w:pStyle w:val="ListBullet3"/>
            </w:pPr>
            <w:r w:rsidRPr="002C589E">
              <w:t xml:space="preserve">common law contract (CLC) </w:t>
            </w:r>
          </w:p>
          <w:p w:rsidR="00000000" w:rsidRPr="002C589E" w:rsidP="002C589E">
            <w:pPr>
              <w:pStyle w:val="ListBullet3"/>
            </w:pPr>
            <w:r w:rsidRPr="002C589E">
              <w:t>federal award</w:t>
            </w:r>
          </w:p>
          <w:p w:rsidR="00000000" w:rsidRPr="002C589E" w:rsidP="002C589E">
            <w:pPr>
              <w:pStyle w:val="ListBullet3"/>
            </w:pPr>
            <w:r w:rsidRPr="002C589E">
              <w:t>state award</w:t>
            </w:r>
          </w:p>
          <w:p w:rsidR="00000000" w:rsidRPr="002C589E" w:rsidP="002C589E">
            <w:pPr>
              <w:pStyle w:val="ListBullet3"/>
            </w:pPr>
            <w:r w:rsidRPr="002C589E">
              <w:t>contract for award-free employees</w:t>
            </w:r>
          </w:p>
        </w:tc>
      </w:tr>
    </w:tbl>
    <w:p w:rsidR="00570E92" w:rsidP="002C589E">
      <w:pPr>
        <w:pStyle w:val="BodyText"/>
      </w:pPr>
    </w:p>
    <w:p w:rsidR="00570E92" w:rsidP="002C589E">
      <w:pPr>
        <w:pStyle w:val="BodyText"/>
      </w:pPr>
    </w:p>
    <w:p w:rsidR="00000000" w:rsidRPr="002C589E" w:rsidP="002C589E">
      <w:pPr>
        <w:pStyle w:val="Heading1"/>
      </w:pPr>
      <w:bookmarkStart w:id="12" w:name="O_496251"/>
      <w:bookmarkEnd w:id="12"/>
      <w:r w:rsidRPr="002C589E">
        <w:t>Unit Sector(s)</w:t>
      </w:r>
    </w:p>
    <w:p w:rsidR="00000000" w:rsidRPr="002C589E" w:rsidP="002C589E">
      <w:pPr>
        <w:pStyle w:val="BodyText"/>
      </w:pPr>
      <w:r w:rsidRPr="002C589E">
        <w:t>Not applicable.</w:t>
      </w:r>
    </w:p>
    <w:p w:rsidR="00000000" w:rsidRPr="002C589E" w:rsidP="002C589E">
      <w:pPr>
        <w:pStyle w:val="AllowPageBreak"/>
      </w:pPr>
    </w:p>
    <w:p w:rsidR="00000000" w:rsidRPr="002C589E" w:rsidP="002C589E">
      <w:pPr>
        <w:pStyle w:val="Heading1"/>
      </w:pPr>
      <w:bookmarkStart w:id="13" w:name="O_496260"/>
      <w:bookmarkEnd w:id="13"/>
      <w:r w:rsidRPr="002C589E">
        <w:t>Competency field</w:t>
      </w:r>
    </w:p>
    <w:p w:rsidR="00000000" w:rsidRPr="002C589E" w:rsidP="002C589E">
      <w:pPr>
        <w:pStyle w:val="BodyText"/>
      </w:pPr>
      <w:r w:rsidRPr="002C589E">
        <w:t>Workplace Relations.</w:t>
      </w:r>
    </w:p>
    <w:p w:rsidR="00000000" w:rsidRPr="002C589E" w:rsidP="002C589E"/>
    <w:sectPr w:rsidSect="002C5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E92" w:rsidP="00570E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92" w:rsidP="002C58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0E92" w:rsidP="002C5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70E92" w:rsidP="002C5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E" w:rsidRPr="00570E92" w:rsidP="00570E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E92" w:rsidRPr="002D2AF8" w:rsidP="002C589E">
    <w:pPr>
      <w:pStyle w:val="Header"/>
      <w:framePr w:wrap="around"/>
    </w:pPr>
    <w:r>
      <w:fldChar w:fldCharType="begin"/>
    </w:r>
    <w:r>
      <w:instrText xml:space="preserve"> TITLE   \* MERGEFORMAT </w:instrText>
    </w:r>
    <w:r>
      <w:fldChar w:fldCharType="separate"/>
    </w:r>
    <w:r>
      <w:t>PSPWPR402A Respond to general workplace relations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70E92" w:rsidP="002C5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EA3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A3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C46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89E"/>
    <w:pPr>
      <w:spacing w:before="360" w:after="60"/>
      <w:outlineLvl w:val="0"/>
    </w:pPr>
    <w:rPr>
      <w:sz w:val="32"/>
    </w:rPr>
  </w:style>
  <w:style w:type="paragraph" w:styleId="Heading2">
    <w:name w:val="heading 2"/>
    <w:basedOn w:val="HeadingBase"/>
    <w:next w:val="BodyText"/>
    <w:link w:val="Heading2Char"/>
    <w:qFormat/>
    <w:rsid w:val="002C589E"/>
    <w:pPr>
      <w:keepLines/>
      <w:spacing w:before="240" w:after="120"/>
      <w:outlineLvl w:val="1"/>
    </w:pPr>
    <w:rPr>
      <w:sz w:val="28"/>
      <w:szCs w:val="40"/>
    </w:rPr>
  </w:style>
  <w:style w:type="paragraph" w:styleId="Heading3">
    <w:name w:val="heading 3"/>
    <w:basedOn w:val="HeadingBase"/>
    <w:next w:val="BodyText"/>
    <w:link w:val="Heading3Char"/>
    <w:qFormat/>
    <w:rsid w:val="002C589E"/>
    <w:pPr>
      <w:spacing w:before="180" w:after="120"/>
      <w:outlineLvl w:val="2"/>
    </w:pPr>
    <w:rPr>
      <w:spacing w:val="-10"/>
      <w:kern w:val="32"/>
    </w:rPr>
  </w:style>
  <w:style w:type="paragraph" w:styleId="Heading4">
    <w:name w:val="heading 4"/>
    <w:basedOn w:val="HeadingBase"/>
    <w:next w:val="BodyText"/>
    <w:link w:val="Heading4Char"/>
    <w:qFormat/>
    <w:rsid w:val="002C589E"/>
    <w:pPr>
      <w:spacing w:before="160" w:after="120"/>
      <w:outlineLvl w:val="3"/>
    </w:pPr>
    <w:rPr>
      <w:sz w:val="22"/>
    </w:rPr>
  </w:style>
  <w:style w:type="paragraph" w:styleId="Heading5">
    <w:name w:val="heading 5"/>
    <w:basedOn w:val="HeadingBase"/>
    <w:next w:val="Normal"/>
    <w:link w:val="Heading5Char"/>
    <w:qFormat/>
    <w:rsid w:val="002C589E"/>
    <w:pPr>
      <w:spacing w:before="80"/>
      <w:outlineLvl w:val="4"/>
    </w:pPr>
    <w:rPr>
      <w:color w:val="918585"/>
      <w:sz w:val="20"/>
    </w:rPr>
  </w:style>
  <w:style w:type="paragraph" w:styleId="Heading6">
    <w:name w:val="heading 6"/>
    <w:basedOn w:val="HeadingBase"/>
    <w:next w:val="Normal"/>
    <w:link w:val="Heading6Char"/>
    <w:qFormat/>
    <w:rsid w:val="002C589E"/>
    <w:pPr>
      <w:spacing w:before="60"/>
      <w:outlineLvl w:val="5"/>
    </w:pPr>
    <w:rPr>
      <w:color w:val="918585"/>
      <w:sz w:val="20"/>
    </w:rPr>
  </w:style>
  <w:style w:type="paragraph" w:styleId="Heading7">
    <w:name w:val="heading 7"/>
    <w:basedOn w:val="Normal"/>
    <w:next w:val="Normal"/>
    <w:link w:val="Heading7Char"/>
    <w:qFormat/>
    <w:rsid w:val="002C589E"/>
    <w:pPr>
      <w:ind w:left="720"/>
      <w:outlineLvl w:val="6"/>
    </w:pPr>
    <w:rPr>
      <w:i/>
    </w:rPr>
  </w:style>
  <w:style w:type="paragraph" w:styleId="Heading8">
    <w:name w:val="heading 8"/>
    <w:basedOn w:val="Normal"/>
    <w:next w:val="Normal"/>
    <w:link w:val="Heading8Char"/>
    <w:qFormat/>
    <w:rsid w:val="002C589E"/>
    <w:pPr>
      <w:ind w:left="720"/>
      <w:outlineLvl w:val="7"/>
    </w:pPr>
    <w:rPr>
      <w:i/>
    </w:rPr>
  </w:style>
  <w:style w:type="paragraph" w:styleId="Heading9">
    <w:name w:val="heading 9"/>
    <w:basedOn w:val="Normal"/>
    <w:next w:val="Normal"/>
    <w:link w:val="Heading9Char"/>
    <w:qFormat/>
    <w:rsid w:val="002C589E"/>
    <w:pPr>
      <w:ind w:left="720"/>
      <w:outlineLvl w:val="8"/>
    </w:pPr>
    <w:rPr>
      <w:i/>
    </w:rPr>
  </w:style>
  <w:style w:type="character" w:default="1" w:styleId="DefaultParagraphFont">
    <w:name w:val="Default Paragraph Font"/>
    <w:uiPriority w:val="1"/>
    <w:unhideWhenUsed/>
    <w:rsid w:val="002C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89E"/>
  </w:style>
  <w:style w:type="character" w:customStyle="1" w:styleId="Heading1Char">
    <w:name w:val="Heading 1 Char"/>
    <w:basedOn w:val="DefaultParagraphFont"/>
    <w:link w:val="Heading1"/>
    <w:rsid w:val="002C589E"/>
    <w:rPr>
      <w:rFonts w:ascii="Times New Roman" w:eastAsia="Times New Roman" w:hAnsi="Times New Roman" w:cs="Times New Roman"/>
      <w:b/>
      <w:sz w:val="32"/>
      <w:szCs w:val="20"/>
      <w:lang w:eastAsia="en-US"/>
    </w:rPr>
  </w:style>
  <w:style w:type="paragraph" w:styleId="BodyText">
    <w:name w:val="Body Text"/>
    <w:basedOn w:val="Normal"/>
    <w:link w:val="BodyTextChar"/>
    <w:rsid w:val="002C5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89E"/>
    <w:rPr>
      <w:rFonts w:ascii="Times New Roman" w:eastAsia="Times New Roman" w:hAnsi="Times New Roman" w:cs="Times New Roman"/>
      <w:sz w:val="24"/>
      <w:lang w:eastAsia="en-US"/>
    </w:rPr>
  </w:style>
  <w:style w:type="paragraph" w:styleId="Footer">
    <w:name w:val="footer"/>
    <w:basedOn w:val="Normal"/>
    <w:link w:val="FooterChar"/>
    <w:rsid w:val="002C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89E"/>
    <w:rPr>
      <w:rFonts w:ascii="Times New Roman" w:eastAsia="Times New Roman" w:hAnsi="Times New Roman" w:cs="Times New Roman"/>
      <w:sz w:val="16"/>
      <w:lang w:eastAsia="en-US"/>
    </w:rPr>
  </w:style>
  <w:style w:type="paragraph" w:styleId="List">
    <w:name w:val="List"/>
    <w:basedOn w:val="BodyText"/>
    <w:next w:val="BodyText"/>
    <w:rsid w:val="002C589E"/>
    <w:pPr>
      <w:tabs>
        <w:tab w:val="left" w:pos="340"/>
      </w:tabs>
      <w:spacing w:before="60" w:after="60"/>
      <w:ind w:left="340" w:hanging="340"/>
    </w:pPr>
  </w:style>
  <w:style w:type="paragraph" w:styleId="ListBullet">
    <w:name w:val="List Bullet"/>
    <w:basedOn w:val="List"/>
    <w:rsid w:val="002C589E"/>
    <w:pPr>
      <w:numPr>
        <w:numId w:val="14"/>
      </w:numPr>
      <w:tabs>
        <w:tab w:val="clear" w:pos="340"/>
      </w:tabs>
      <w:spacing w:before="40" w:after="40"/>
    </w:pPr>
  </w:style>
  <w:style w:type="character" w:customStyle="1" w:styleId="SpecialBold">
    <w:name w:val="Special Bold"/>
    <w:basedOn w:val="DefaultParagraphFont"/>
    <w:rsid w:val="002C589E"/>
    <w:rPr>
      <w:b/>
      <w:spacing w:val="0"/>
    </w:rPr>
  </w:style>
  <w:style w:type="paragraph" w:styleId="ListBullet2">
    <w:name w:val="List Bullet 2"/>
    <w:basedOn w:val="List2"/>
    <w:rsid w:val="002C589E"/>
    <w:pPr>
      <w:numPr>
        <w:numId w:val="15"/>
      </w:numPr>
      <w:tabs>
        <w:tab w:val="clear" w:pos="680"/>
      </w:tabs>
    </w:pPr>
  </w:style>
  <w:style w:type="paragraph" w:customStyle="1" w:styleId="SuperHeading">
    <w:name w:val="SuperHeading"/>
    <w:basedOn w:val="Normal"/>
    <w:rsid w:val="002C589E"/>
    <w:pPr>
      <w:spacing w:before="240" w:after="120"/>
      <w:outlineLvl w:val="0"/>
    </w:pPr>
    <w:rPr>
      <w:rFonts w:ascii="Times New Roman" w:hAnsi="Times New Roman"/>
      <w:b/>
      <w:sz w:val="28"/>
    </w:rPr>
  </w:style>
  <w:style w:type="paragraph" w:customStyle="1" w:styleId="AllowPageBreak">
    <w:name w:val="AllowPageBreak"/>
    <w:rsid w:val="002C58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89E"/>
    <w:pPr>
      <w:numPr>
        <w:numId w:val="3"/>
      </w:numPr>
      <w:tabs>
        <w:tab w:val="clear" w:pos="1021"/>
      </w:tabs>
      <w:ind w:left="1037" w:hanging="357"/>
    </w:pPr>
  </w:style>
  <w:style w:type="character" w:customStyle="1" w:styleId="BoldandItalics">
    <w:name w:val="Bold and Italics"/>
    <w:qFormat/>
    <w:rsid w:val="002C589E"/>
    <w:rPr>
      <w:b/>
      <w:i/>
      <w:u w:val="none"/>
    </w:rPr>
  </w:style>
  <w:style w:type="character" w:customStyle="1" w:styleId="Heading2Char">
    <w:name w:val="Heading 2 Char"/>
    <w:basedOn w:val="DefaultParagraphFont"/>
    <w:link w:val="Heading2"/>
    <w:rsid w:val="002C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89E"/>
    <w:rPr>
      <w:rFonts w:ascii="Courier New" w:eastAsia="Times New Roman" w:hAnsi="Courier New" w:cs="Times New Roman"/>
      <w:i/>
      <w:szCs w:val="20"/>
      <w:lang w:eastAsia="en-US"/>
    </w:rPr>
  </w:style>
  <w:style w:type="paragraph" w:customStyle="1" w:styleId="HeadingBase">
    <w:name w:val="Heading Base"/>
    <w:rsid w:val="002C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89E"/>
    <w:pPr>
      <w:tabs>
        <w:tab w:val="right" w:leader="dot" w:pos="9072"/>
      </w:tabs>
      <w:ind w:left="567"/>
    </w:pPr>
    <w:rPr>
      <w:szCs w:val="22"/>
    </w:rPr>
  </w:style>
  <w:style w:type="paragraph" w:customStyle="1" w:styleId="TOCBase">
    <w:name w:val="TOC Base"/>
    <w:rsid w:val="002C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89E"/>
    <w:pPr>
      <w:tabs>
        <w:tab w:val="right" w:leader="dot" w:pos="9072"/>
      </w:tabs>
      <w:spacing w:before="40" w:after="40"/>
      <w:ind w:left="284"/>
    </w:pPr>
    <w:rPr>
      <w:rFonts w:ascii="Times New Roman" w:hAnsi="Times New Roman"/>
    </w:rPr>
  </w:style>
  <w:style w:type="paragraph" w:styleId="TOC1">
    <w:name w:val="toc 1"/>
    <w:basedOn w:val="TOCBase"/>
    <w:next w:val="Normal"/>
    <w:rsid w:val="002C5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89E"/>
    <w:pPr>
      <w:spacing w:before="5040"/>
      <w:jc w:val="center"/>
    </w:pPr>
    <w:rPr>
      <w:sz w:val="48"/>
      <w:szCs w:val="72"/>
      <w:lang w:val="en-US"/>
    </w:rPr>
  </w:style>
  <w:style w:type="character" w:customStyle="1" w:styleId="TitleChar">
    <w:name w:val="Title Char"/>
    <w:basedOn w:val="DefaultParagraphFont"/>
    <w:link w:val="Title"/>
    <w:rsid w:val="002C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89E"/>
    <w:pPr>
      <w:tabs>
        <w:tab w:val="left" w:pos="3600"/>
        <w:tab w:val="left" w:pos="3958"/>
      </w:tabs>
    </w:pPr>
  </w:style>
  <w:style w:type="paragraph" w:customStyle="1" w:styleId="Note">
    <w:name w:val="Note"/>
    <w:basedOn w:val="BodyText"/>
    <w:rsid w:val="002C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89E"/>
    <w:pPr>
      <w:framePr w:wrap="auto" w:hAnchor="text" w:y="6049"/>
    </w:pPr>
    <w:rPr>
      <w:color w:val="000000"/>
      <w:sz w:val="40"/>
    </w:rPr>
  </w:style>
  <w:style w:type="paragraph" w:customStyle="1" w:styleId="TOCTitle">
    <w:name w:val="TOCTitle"/>
    <w:basedOn w:val="Heading1"/>
    <w:rsid w:val="002C589E"/>
    <w:pPr>
      <w:spacing w:after="240"/>
      <w:jc w:val="center"/>
      <w:outlineLvl w:val="9"/>
    </w:pPr>
    <w:rPr>
      <w:caps/>
    </w:rPr>
  </w:style>
  <w:style w:type="paragraph" w:customStyle="1" w:styleId="Version">
    <w:name w:val="Version"/>
    <w:rsid w:val="002C5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89E"/>
    <w:pPr>
      <w:keepNext w:val="0"/>
      <w:tabs>
        <w:tab w:val="right" w:pos="4176"/>
      </w:tabs>
      <w:ind w:left="198" w:hanging="198"/>
    </w:pPr>
    <w:rPr>
      <w:rFonts w:ascii="Garamond" w:hAnsi="Garamond"/>
    </w:rPr>
  </w:style>
  <w:style w:type="paragraph" w:styleId="IndexHeading">
    <w:name w:val="index heading"/>
    <w:basedOn w:val="Normal"/>
    <w:next w:val="Index1"/>
    <w:semiHidden/>
    <w:rsid w:val="002C589E"/>
    <w:pPr>
      <w:spacing w:before="120" w:after="120"/>
    </w:pPr>
    <w:rPr>
      <w:rFonts w:ascii="Arial" w:hAnsi="Arial"/>
      <w:b/>
      <w:color w:val="918585"/>
      <w:sz w:val="24"/>
    </w:rPr>
  </w:style>
  <w:style w:type="paragraph" w:styleId="Header">
    <w:name w:val="header"/>
    <w:basedOn w:val="Normal"/>
    <w:link w:val="HeaderChar"/>
    <w:rsid w:val="002C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89E"/>
    <w:rPr>
      <w:rFonts w:ascii="Times New Roman" w:eastAsia="Times New Roman" w:hAnsi="Times New Roman" w:cs="Times New Roman"/>
      <w:sz w:val="16"/>
      <w:szCs w:val="20"/>
      <w:lang w:val="en-GB" w:eastAsia="en-US"/>
    </w:rPr>
  </w:style>
  <w:style w:type="paragraph" w:customStyle="1" w:styleId="Chapter">
    <w:name w:val="Chapter"/>
    <w:basedOn w:val="Normal"/>
    <w:rsid w:val="002C589E"/>
    <w:pPr>
      <w:spacing w:before="240"/>
    </w:pPr>
    <w:rPr>
      <w:rFonts w:ascii="Times New Roman" w:hAnsi="Times New Roman"/>
      <w:smallCaps/>
      <w:spacing w:val="80"/>
      <w:sz w:val="28"/>
    </w:rPr>
  </w:style>
  <w:style w:type="paragraph" w:customStyle="1" w:styleId="InChapter">
    <w:name w:val="InChapter"/>
    <w:basedOn w:val="Heading3"/>
    <w:rsid w:val="002C589E"/>
    <w:pPr>
      <w:spacing w:after="240"/>
      <w:outlineLvl w:val="9"/>
    </w:pPr>
    <w:rPr>
      <w:noProof/>
    </w:rPr>
  </w:style>
  <w:style w:type="paragraph" w:styleId="Index2">
    <w:name w:val="index 2"/>
    <w:basedOn w:val="Normal"/>
    <w:next w:val="Normal"/>
    <w:semiHidden/>
    <w:rsid w:val="002C589E"/>
    <w:pPr>
      <w:tabs>
        <w:tab w:val="right" w:pos="4176"/>
      </w:tabs>
      <w:ind w:left="568" w:hanging="284"/>
    </w:pPr>
    <w:rPr>
      <w:rFonts w:ascii="Garamond" w:hAnsi="Garamond"/>
    </w:rPr>
  </w:style>
  <w:style w:type="paragraph" w:customStyle="1" w:styleId="Byline">
    <w:name w:val="Byline"/>
    <w:rsid w:val="002C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89E"/>
    <w:pPr>
      <w:tabs>
        <w:tab w:val="clear" w:pos="3600"/>
        <w:tab w:val="clear" w:pos="3958"/>
      </w:tabs>
      <w:jc w:val="right"/>
    </w:pPr>
  </w:style>
  <w:style w:type="character" w:styleId="Emphasis">
    <w:name w:val="Emphasis"/>
    <w:basedOn w:val="DefaultParagraphFont"/>
    <w:qFormat/>
    <w:rsid w:val="002C589E"/>
    <w:rPr>
      <w:i/>
    </w:rPr>
  </w:style>
  <w:style w:type="paragraph" w:styleId="Caption">
    <w:name w:val="caption"/>
    <w:basedOn w:val="BodyText"/>
    <w:next w:val="Normal"/>
    <w:qFormat/>
    <w:rsid w:val="002C589E"/>
    <w:pPr>
      <w:framePr w:w="2268" w:hSpace="181" w:vSpace="181" w:wrap="around" w:vAnchor="text" w:hAnchor="page" w:x="1135" w:y="285" w:anchorLock="1"/>
    </w:pPr>
    <w:rPr>
      <w:i/>
    </w:rPr>
  </w:style>
  <w:style w:type="paragraph" w:customStyle="1" w:styleId="MiniTOCTitle">
    <w:name w:val="MiniTOCTitle"/>
    <w:basedOn w:val="Heading4"/>
    <w:rsid w:val="002C589E"/>
    <w:pPr>
      <w:spacing w:before="240"/>
      <w:outlineLvl w:val="9"/>
    </w:pPr>
    <w:rPr>
      <w:noProof/>
      <w:sz w:val="24"/>
    </w:rPr>
  </w:style>
  <w:style w:type="paragraph" w:customStyle="1" w:styleId="MiniTOCItem">
    <w:name w:val="MiniTOCItem"/>
    <w:basedOn w:val="ListBullet"/>
    <w:rsid w:val="002C589E"/>
    <w:pPr>
      <w:numPr>
        <w:numId w:val="0"/>
      </w:numPr>
      <w:tabs>
        <w:tab w:val="right" w:leader="dot" w:pos="6521"/>
      </w:tabs>
      <w:spacing w:before="0" w:after="0"/>
    </w:pPr>
  </w:style>
  <w:style w:type="paragraph" w:customStyle="1" w:styleId="TOFTitle">
    <w:name w:val="TOFTitle"/>
    <w:basedOn w:val="TOCTitle"/>
    <w:rsid w:val="002C589E"/>
  </w:style>
  <w:style w:type="paragraph" w:styleId="TableofFigures">
    <w:name w:val="table of figures"/>
    <w:basedOn w:val="Normal"/>
    <w:next w:val="Normal"/>
    <w:semiHidden/>
    <w:rsid w:val="002C589E"/>
    <w:pPr>
      <w:tabs>
        <w:tab w:val="right" w:leader="dot" w:pos="9072"/>
      </w:tabs>
      <w:ind w:left="970" w:hanging="403"/>
    </w:pPr>
    <w:rPr>
      <w:rFonts w:ascii="Times New Roman" w:hAnsi="Times New Roman"/>
      <w:b/>
    </w:rPr>
  </w:style>
  <w:style w:type="paragraph" w:styleId="ListNumber">
    <w:name w:val="List Number"/>
    <w:basedOn w:val="List"/>
    <w:rsid w:val="002C589E"/>
    <w:pPr>
      <w:numPr>
        <w:numId w:val="12"/>
      </w:numPr>
    </w:pPr>
  </w:style>
  <w:style w:type="character" w:customStyle="1" w:styleId="WingdingSymbols">
    <w:name w:val="Wingding Symbols"/>
    <w:rsid w:val="002C589E"/>
    <w:rPr>
      <w:rFonts w:ascii="Wingdings" w:hAnsi="Wingdings"/>
    </w:rPr>
  </w:style>
  <w:style w:type="paragraph" w:customStyle="1" w:styleId="TableHeading">
    <w:name w:val="Table Heading"/>
    <w:basedOn w:val="HeadingBase"/>
    <w:rsid w:val="002C589E"/>
    <w:pPr>
      <w:keepLines/>
      <w:pBdr>
        <w:bottom w:val="single" w:sz="6" w:space="1" w:color="918585"/>
      </w:pBdr>
      <w:spacing w:before="240"/>
    </w:pPr>
  </w:style>
  <w:style w:type="character" w:customStyle="1" w:styleId="HotSpot">
    <w:name w:val="HotSpot"/>
    <w:rsid w:val="002C589E"/>
    <w:rPr>
      <w:color w:val="0033CC"/>
      <w:u w:val="none"/>
    </w:rPr>
  </w:style>
  <w:style w:type="paragraph" w:customStyle="1" w:styleId="BodyTextRight">
    <w:name w:val="Body Text Right"/>
    <w:basedOn w:val="BodyText"/>
    <w:rsid w:val="002C589E"/>
    <w:pPr>
      <w:spacing w:before="0" w:after="0"/>
      <w:jc w:val="right"/>
    </w:pPr>
  </w:style>
  <w:style w:type="paragraph" w:styleId="Index3">
    <w:name w:val="index 3"/>
    <w:basedOn w:val="ListNumber2"/>
    <w:next w:val="Normal"/>
    <w:semiHidden/>
    <w:rsid w:val="002C589E"/>
    <w:pPr>
      <w:numPr>
        <w:numId w:val="0"/>
      </w:numPr>
      <w:tabs>
        <w:tab w:val="right" w:leader="dot" w:pos="4176"/>
      </w:tabs>
    </w:pPr>
  </w:style>
  <w:style w:type="paragraph" w:styleId="ListNumber2">
    <w:name w:val="List Number 2"/>
    <w:basedOn w:val="List2"/>
    <w:rsid w:val="002C589E"/>
    <w:pPr>
      <w:numPr>
        <w:numId w:val="11"/>
      </w:numPr>
      <w:tabs>
        <w:tab w:val="clear" w:pos="1060"/>
      </w:tabs>
    </w:pPr>
  </w:style>
  <w:style w:type="paragraph" w:customStyle="1" w:styleId="MarginNote">
    <w:name w:val="Margin Note"/>
    <w:basedOn w:val="BodyText"/>
    <w:rsid w:val="002C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89E"/>
    <w:rPr>
      <w:sz w:val="32"/>
    </w:rPr>
  </w:style>
  <w:style w:type="paragraph" w:customStyle="1" w:styleId="HeadingProcedure">
    <w:name w:val="Heading Procedure"/>
    <w:basedOn w:val="HeadingBase"/>
    <w:next w:val="Normal"/>
    <w:rsid w:val="002C589E"/>
    <w:pPr>
      <w:tabs>
        <w:tab w:val="left" w:pos="0"/>
      </w:tabs>
      <w:spacing w:before="120" w:after="60"/>
    </w:pPr>
    <w:rPr>
      <w:i/>
      <w:color w:val="918585"/>
      <w:sz w:val="22"/>
    </w:rPr>
  </w:style>
  <w:style w:type="paragraph" w:customStyle="1" w:styleId="TableBodyText">
    <w:name w:val="Table Body Text"/>
    <w:basedOn w:val="BodyText"/>
    <w:rsid w:val="002C589E"/>
    <w:pPr>
      <w:spacing w:before="60" w:after="60"/>
    </w:pPr>
  </w:style>
  <w:style w:type="paragraph" w:styleId="ListContinue">
    <w:name w:val="List Continue"/>
    <w:basedOn w:val="List"/>
    <w:rsid w:val="002C589E"/>
    <w:pPr>
      <w:ind w:firstLine="0"/>
    </w:pPr>
  </w:style>
  <w:style w:type="paragraph" w:customStyle="1" w:styleId="ListNote">
    <w:name w:val="List Note"/>
    <w:basedOn w:val="List"/>
    <w:rsid w:val="002C589E"/>
    <w:pPr>
      <w:pBdr>
        <w:top w:val="single" w:sz="6" w:space="2" w:color="918585"/>
        <w:bottom w:val="single" w:sz="6" w:space="2" w:color="918585"/>
      </w:pBdr>
      <w:tabs>
        <w:tab w:val="left" w:pos="1021"/>
      </w:tabs>
      <w:ind w:firstLine="0"/>
    </w:pPr>
  </w:style>
  <w:style w:type="paragraph" w:customStyle="1" w:styleId="Warning">
    <w:name w:val="Warning"/>
    <w:basedOn w:val="BodyText"/>
    <w:rsid w:val="002C589E"/>
    <w:pPr>
      <w:shd w:val="clear" w:color="auto" w:fill="D9D9D9"/>
      <w:tabs>
        <w:tab w:val="left" w:pos="992"/>
      </w:tabs>
      <w:ind w:left="119" w:right="119"/>
    </w:pPr>
    <w:rPr>
      <w:sz w:val="20"/>
    </w:rPr>
  </w:style>
  <w:style w:type="paragraph" w:customStyle="1" w:styleId="MarginIcons">
    <w:name w:val="Margin Icons"/>
    <w:basedOn w:val="BodyText"/>
    <w:rsid w:val="002C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89E"/>
    <w:rPr>
      <w:rFonts w:ascii="Courier New" w:hAnsi="Courier New"/>
    </w:rPr>
  </w:style>
  <w:style w:type="paragraph" w:customStyle="1" w:styleId="NoteBullet">
    <w:name w:val="Note Bullet"/>
    <w:basedOn w:val="Note"/>
    <w:rsid w:val="002C589E"/>
    <w:pPr>
      <w:tabs>
        <w:tab w:val="clear" w:pos="680"/>
      </w:tabs>
      <w:spacing w:before="60" w:after="60"/>
    </w:pPr>
  </w:style>
  <w:style w:type="paragraph" w:customStyle="1" w:styleId="SubHeading2">
    <w:name w:val="SubHeading2"/>
    <w:basedOn w:val="HeadingBase"/>
    <w:rsid w:val="002C589E"/>
    <w:pPr>
      <w:spacing w:before="240" w:after="60"/>
    </w:pPr>
    <w:rPr>
      <w:sz w:val="20"/>
    </w:rPr>
  </w:style>
  <w:style w:type="paragraph" w:customStyle="1" w:styleId="SubHeading1">
    <w:name w:val="SubHeading1"/>
    <w:basedOn w:val="HeadingBase"/>
    <w:rsid w:val="002C589E"/>
    <w:pPr>
      <w:spacing w:before="240" w:after="60"/>
    </w:pPr>
    <w:rPr>
      <w:color w:val="918585"/>
      <w:sz w:val="22"/>
    </w:rPr>
  </w:style>
  <w:style w:type="paragraph" w:customStyle="1" w:styleId="SideHeading">
    <w:name w:val="Side Heading"/>
    <w:basedOn w:val="HeadingBase"/>
    <w:rsid w:val="002C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89E"/>
    <w:pPr>
      <w:numPr>
        <w:numId w:val="13"/>
      </w:numPr>
    </w:pPr>
  </w:style>
  <w:style w:type="paragraph" w:styleId="PlainText">
    <w:name w:val="Plain Text"/>
    <w:basedOn w:val="Normal"/>
    <w:link w:val="PlainTextChar"/>
    <w:rsid w:val="002C589E"/>
    <w:rPr>
      <w:sz w:val="20"/>
    </w:rPr>
  </w:style>
  <w:style w:type="character" w:customStyle="1" w:styleId="PlainTextChar">
    <w:name w:val="Plain Text Char"/>
    <w:basedOn w:val="DefaultParagraphFont"/>
    <w:link w:val="PlainText"/>
    <w:rsid w:val="002C589E"/>
    <w:rPr>
      <w:rFonts w:ascii="Courier New" w:eastAsia="Times New Roman" w:hAnsi="Courier New" w:cs="Times New Roman"/>
      <w:sz w:val="20"/>
      <w:szCs w:val="20"/>
      <w:lang w:eastAsia="en-US"/>
    </w:rPr>
  </w:style>
  <w:style w:type="character" w:customStyle="1" w:styleId="MenuOption">
    <w:name w:val="Menu Option"/>
    <w:basedOn w:val="DefaultParagraphFont"/>
    <w:rsid w:val="002C589E"/>
    <w:rPr>
      <w:b/>
      <w:smallCaps/>
    </w:rPr>
  </w:style>
  <w:style w:type="paragraph" w:customStyle="1" w:styleId="TableListNumber">
    <w:name w:val="Table List Number"/>
    <w:basedOn w:val="ListNumber"/>
    <w:rsid w:val="002C589E"/>
    <w:pPr>
      <w:numPr>
        <w:numId w:val="0"/>
      </w:numPr>
    </w:pPr>
  </w:style>
  <w:style w:type="paragraph" w:styleId="TOC4">
    <w:name w:val="toc 4"/>
    <w:basedOn w:val="TOCBase"/>
    <w:next w:val="Normal"/>
    <w:semiHidden/>
    <w:rsid w:val="002C589E"/>
    <w:pPr>
      <w:tabs>
        <w:tab w:val="right" w:leader="dot" w:pos="9071"/>
      </w:tabs>
      <w:ind w:left="1701"/>
    </w:pPr>
  </w:style>
  <w:style w:type="paragraph" w:customStyle="1" w:styleId="ListAlpha">
    <w:name w:val="List Alpha"/>
    <w:basedOn w:val="List"/>
    <w:rsid w:val="002C589E"/>
    <w:pPr>
      <w:numPr>
        <w:numId w:val="10"/>
      </w:numPr>
    </w:pPr>
  </w:style>
  <w:style w:type="paragraph" w:customStyle="1" w:styleId="ListAlpha2">
    <w:name w:val="List Alpha 2"/>
    <w:basedOn w:val="List2"/>
    <w:rsid w:val="002C589E"/>
    <w:pPr>
      <w:numPr>
        <w:numId w:val="9"/>
      </w:numPr>
    </w:pPr>
  </w:style>
  <w:style w:type="paragraph" w:styleId="List2">
    <w:name w:val="List 2"/>
    <w:basedOn w:val="BodyText"/>
    <w:rsid w:val="002C589E"/>
    <w:pPr>
      <w:tabs>
        <w:tab w:val="left" w:pos="680"/>
      </w:tabs>
      <w:spacing w:before="60" w:after="60"/>
      <w:ind w:left="680" w:hanging="340"/>
    </w:pPr>
  </w:style>
  <w:style w:type="paragraph" w:styleId="List3">
    <w:name w:val="List 3"/>
    <w:basedOn w:val="BodyText"/>
    <w:rsid w:val="002C589E"/>
    <w:pPr>
      <w:tabs>
        <w:tab w:val="left" w:pos="1021"/>
      </w:tabs>
      <w:spacing w:before="60" w:after="60"/>
      <w:ind w:left="1020" w:hanging="340"/>
    </w:pPr>
  </w:style>
  <w:style w:type="paragraph" w:styleId="List4">
    <w:name w:val="List 4"/>
    <w:basedOn w:val="BodyText"/>
    <w:rsid w:val="002C589E"/>
    <w:pPr>
      <w:tabs>
        <w:tab w:val="left" w:pos="1361"/>
      </w:tabs>
      <w:spacing w:before="60" w:after="60"/>
      <w:ind w:left="1361" w:hanging="340"/>
    </w:pPr>
  </w:style>
  <w:style w:type="paragraph" w:styleId="List5">
    <w:name w:val="List 5"/>
    <w:basedOn w:val="BodyText"/>
    <w:rsid w:val="002C589E"/>
    <w:pPr>
      <w:tabs>
        <w:tab w:val="left" w:pos="1701"/>
      </w:tabs>
      <w:spacing w:before="60" w:after="60"/>
      <w:ind w:left="1701" w:hanging="340"/>
    </w:pPr>
  </w:style>
  <w:style w:type="paragraph" w:styleId="ListBullet4">
    <w:name w:val="List Bullet 4"/>
    <w:basedOn w:val="List4"/>
    <w:rsid w:val="002C589E"/>
    <w:pPr>
      <w:numPr>
        <w:numId w:val="4"/>
      </w:numPr>
    </w:pPr>
  </w:style>
  <w:style w:type="paragraph" w:styleId="ListBullet5">
    <w:name w:val="List Bullet 5"/>
    <w:basedOn w:val="List5"/>
    <w:rsid w:val="002C589E"/>
    <w:pPr>
      <w:numPr>
        <w:numId w:val="5"/>
      </w:numPr>
    </w:pPr>
  </w:style>
  <w:style w:type="paragraph" w:styleId="ListContinue2">
    <w:name w:val="List Continue 2"/>
    <w:basedOn w:val="List2"/>
    <w:rsid w:val="002C589E"/>
    <w:pPr>
      <w:ind w:firstLine="0"/>
    </w:pPr>
  </w:style>
  <w:style w:type="paragraph" w:styleId="ListContinue3">
    <w:name w:val="List Continue 3"/>
    <w:basedOn w:val="List3"/>
    <w:rsid w:val="002C589E"/>
    <w:pPr>
      <w:ind w:left="1021" w:firstLine="0"/>
    </w:pPr>
  </w:style>
  <w:style w:type="paragraph" w:styleId="ListContinue4">
    <w:name w:val="List Continue 4"/>
    <w:basedOn w:val="List4"/>
    <w:rsid w:val="002C589E"/>
    <w:pPr>
      <w:ind w:firstLine="0"/>
    </w:pPr>
  </w:style>
  <w:style w:type="paragraph" w:styleId="ListContinue5">
    <w:name w:val="List Continue 5"/>
    <w:basedOn w:val="List5"/>
    <w:rsid w:val="002C589E"/>
    <w:pPr>
      <w:ind w:firstLine="0"/>
    </w:pPr>
  </w:style>
  <w:style w:type="paragraph" w:styleId="ListNumber3">
    <w:name w:val="List Number 3"/>
    <w:basedOn w:val="List3"/>
    <w:rsid w:val="002C589E"/>
    <w:pPr>
      <w:numPr>
        <w:numId w:val="6"/>
      </w:numPr>
    </w:pPr>
  </w:style>
  <w:style w:type="paragraph" w:styleId="ListNumber4">
    <w:name w:val="List Number 4"/>
    <w:basedOn w:val="List4"/>
    <w:rsid w:val="002C589E"/>
    <w:pPr>
      <w:numPr>
        <w:numId w:val="7"/>
      </w:numPr>
    </w:pPr>
  </w:style>
  <w:style w:type="paragraph" w:styleId="ListNumber5">
    <w:name w:val="List Number 5"/>
    <w:basedOn w:val="List5"/>
    <w:rsid w:val="002C589E"/>
    <w:pPr>
      <w:numPr>
        <w:numId w:val="8"/>
      </w:numPr>
    </w:pPr>
  </w:style>
  <w:style w:type="paragraph" w:styleId="BlockText">
    <w:name w:val="Block Text"/>
    <w:basedOn w:val="Normal"/>
    <w:rsid w:val="002C589E"/>
    <w:pPr>
      <w:spacing w:after="120"/>
      <w:ind w:left="1440" w:right="1440"/>
    </w:pPr>
  </w:style>
  <w:style w:type="character" w:customStyle="1" w:styleId="Subscript">
    <w:name w:val="Subscript"/>
    <w:basedOn w:val="DefaultParagraphFont"/>
    <w:rsid w:val="002C589E"/>
    <w:rPr>
      <w:sz w:val="16"/>
      <w:vertAlign w:val="subscript"/>
    </w:rPr>
  </w:style>
  <w:style w:type="character" w:customStyle="1" w:styleId="Superscript">
    <w:name w:val="Superscript"/>
    <w:basedOn w:val="DefaultParagraphFont"/>
    <w:rsid w:val="002C589E"/>
    <w:rPr>
      <w:sz w:val="16"/>
      <w:vertAlign w:val="superscript"/>
    </w:rPr>
  </w:style>
  <w:style w:type="character" w:customStyle="1" w:styleId="Symbols">
    <w:name w:val="Symbols"/>
    <w:basedOn w:val="DefaultParagraphFont"/>
    <w:rsid w:val="002C589E"/>
    <w:rPr>
      <w:rFonts w:ascii="Symbol" w:hAnsi="Symbol"/>
    </w:rPr>
  </w:style>
  <w:style w:type="character" w:customStyle="1" w:styleId="MenuOptions">
    <w:name w:val="Menu Options"/>
    <w:basedOn w:val="DefaultParagraphFont"/>
    <w:rsid w:val="002C589E"/>
    <w:rPr>
      <w:rFonts w:ascii="Arial Narrow" w:hAnsi="Arial Narrow"/>
      <w:smallCaps/>
    </w:rPr>
  </w:style>
  <w:style w:type="character" w:customStyle="1" w:styleId="Buttons">
    <w:name w:val="Buttons"/>
    <w:basedOn w:val="DefaultParagraphFont"/>
    <w:rsid w:val="002C589E"/>
    <w:rPr>
      <w:b/>
    </w:rPr>
  </w:style>
  <w:style w:type="character" w:customStyle="1" w:styleId="Underlined">
    <w:name w:val="Underlined"/>
    <w:basedOn w:val="DefaultParagraphFont"/>
    <w:rsid w:val="002C589E"/>
    <w:rPr>
      <w:u w:val="single"/>
    </w:rPr>
  </w:style>
  <w:style w:type="paragraph" w:customStyle="1" w:styleId="TableBodyTextRight">
    <w:name w:val="Table Body Text Right"/>
    <w:basedOn w:val="TableBodyText"/>
    <w:rsid w:val="002C589E"/>
    <w:pPr>
      <w:widowControl w:val="0"/>
      <w:autoSpaceDE w:val="0"/>
      <w:autoSpaceDN w:val="0"/>
      <w:adjustRightInd w:val="0"/>
      <w:jc w:val="right"/>
    </w:pPr>
    <w:rPr>
      <w:rFonts w:cs="Arial"/>
      <w:szCs w:val="18"/>
    </w:rPr>
  </w:style>
  <w:style w:type="paragraph" w:customStyle="1" w:styleId="CopyrightText">
    <w:name w:val="Copyright Text"/>
    <w:basedOn w:val="BodyText"/>
    <w:rsid w:val="002C589E"/>
    <w:rPr>
      <w:sz w:val="18"/>
    </w:rPr>
  </w:style>
  <w:style w:type="paragraph" w:customStyle="1" w:styleId="BodySmallRight">
    <w:name w:val="Body Small Right"/>
    <w:basedOn w:val="BodyTextRight"/>
    <w:rsid w:val="002C589E"/>
    <w:rPr>
      <w:sz w:val="18"/>
      <w:szCs w:val="18"/>
    </w:rPr>
  </w:style>
  <w:style w:type="paragraph" w:customStyle="1" w:styleId="MarginEdition">
    <w:name w:val="Margin Edition"/>
    <w:basedOn w:val="MarginNote"/>
    <w:rsid w:val="002C589E"/>
    <w:pPr>
      <w:spacing w:before="0" w:after="0"/>
    </w:pPr>
    <w:rPr>
      <w:rFonts w:ascii="Times New Roman" w:hAnsi="Times New Roman"/>
      <w:color w:val="999999"/>
    </w:rPr>
  </w:style>
  <w:style w:type="paragraph" w:customStyle="1" w:styleId="Spacer">
    <w:name w:val="Spacer"/>
    <w:basedOn w:val="Normal"/>
    <w:rsid w:val="002C589E"/>
    <w:rPr>
      <w:sz w:val="2"/>
      <w:szCs w:val="2"/>
    </w:rPr>
  </w:style>
  <w:style w:type="character" w:customStyle="1" w:styleId="Small">
    <w:name w:val="Small"/>
    <w:basedOn w:val="DefaultParagraphFont"/>
    <w:rsid w:val="002C589E"/>
    <w:rPr>
      <w:sz w:val="16"/>
    </w:rPr>
  </w:style>
  <w:style w:type="paragraph" w:customStyle="1" w:styleId="WideTable">
    <w:name w:val="Wide Table"/>
    <w:basedOn w:val="Normal"/>
    <w:rsid w:val="002C589E"/>
    <w:pPr>
      <w:ind w:left="-1418"/>
    </w:pPr>
    <w:rPr>
      <w:sz w:val="2"/>
      <w:szCs w:val="2"/>
    </w:rPr>
  </w:style>
  <w:style w:type="character" w:styleId="PageNumber">
    <w:name w:val="page number"/>
    <w:basedOn w:val="DefaultParagraphFont"/>
    <w:rsid w:val="002C589E"/>
  </w:style>
  <w:style w:type="paragraph" w:styleId="Quote">
    <w:name w:val="Quote"/>
    <w:basedOn w:val="Heading1"/>
    <w:link w:val="QuoteChar"/>
    <w:qFormat/>
    <w:rsid w:val="002C589E"/>
    <w:rPr>
      <w:b w:val="0"/>
      <w:sz w:val="72"/>
      <w:szCs w:val="72"/>
      <w:lang w:val="en-NZ"/>
    </w:rPr>
  </w:style>
  <w:style w:type="character" w:customStyle="1" w:styleId="QuoteChar">
    <w:name w:val="Quote Char"/>
    <w:basedOn w:val="DefaultParagraphFont"/>
    <w:link w:val="Quote"/>
    <w:rsid w:val="002C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89E"/>
    <w:pPr>
      <w:pageBreakBefore/>
    </w:pPr>
  </w:style>
  <w:style w:type="paragraph" w:customStyle="1" w:styleId="Border">
    <w:name w:val="Border"/>
    <w:basedOn w:val="Normal"/>
    <w:qFormat/>
    <w:rsid w:val="002C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89E"/>
    <w:rPr>
      <w:b/>
      <w:bCs/>
      <w:i/>
      <w:iCs/>
      <w:color w:val="auto"/>
    </w:rPr>
  </w:style>
  <w:style w:type="paragraph" w:styleId="IntenseQuote">
    <w:name w:val="Intense Quote"/>
    <w:basedOn w:val="Normal"/>
    <w:next w:val="Normal"/>
    <w:link w:val="IntenseQuoteChar"/>
    <w:uiPriority w:val="30"/>
    <w:qFormat/>
    <w:rsid w:val="002C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89E"/>
    <w:rPr>
      <w:smallCaps/>
      <w:color w:val="auto"/>
      <w:u w:val="single"/>
    </w:rPr>
  </w:style>
  <w:style w:type="character" w:styleId="IntenseReference">
    <w:name w:val="Intense Reference"/>
    <w:basedOn w:val="DefaultParagraphFont"/>
    <w:uiPriority w:val="32"/>
    <w:qFormat/>
    <w:rsid w:val="002C589E"/>
    <w:rPr>
      <w:b/>
      <w:bCs/>
      <w:smallCaps/>
      <w:color w:val="auto"/>
      <w:spacing w:val="5"/>
      <w:u w:val="single"/>
    </w:rPr>
  </w:style>
  <w:style w:type="paragraph" w:customStyle="1" w:styleId="2ColumnHeading">
    <w:name w:val="2Column Heading"/>
    <w:basedOn w:val="BodyText"/>
    <w:qFormat/>
    <w:rsid w:val="002C589E"/>
    <w:pPr>
      <w:spacing w:after="60"/>
      <w:ind w:left="-2268"/>
    </w:pPr>
    <w:rPr>
      <w:b/>
    </w:rPr>
  </w:style>
  <w:style w:type="paragraph" w:customStyle="1" w:styleId="Heading1TOC">
    <w:name w:val="Heading1 TOC"/>
    <w:basedOn w:val="Normal"/>
    <w:qFormat/>
    <w:rsid w:val="002C589E"/>
    <w:pPr>
      <w:spacing w:before="240" w:after="120"/>
    </w:pPr>
    <w:rPr>
      <w:rFonts w:ascii="Times New Roman" w:hAnsi="Times New Roman"/>
      <w:b/>
      <w:sz w:val="32"/>
    </w:rPr>
  </w:style>
  <w:style w:type="paragraph" w:customStyle="1" w:styleId="Heading2TOC">
    <w:name w:val="Heading2 TOC"/>
    <w:basedOn w:val="Normal"/>
    <w:qFormat/>
    <w:rsid w:val="002C589E"/>
    <w:pPr>
      <w:spacing w:before="240" w:after="60"/>
    </w:pPr>
    <w:rPr>
      <w:rFonts w:ascii="Times New Roman" w:hAnsi="Times New Roman"/>
      <w:b/>
      <w:sz w:val="28"/>
    </w:rPr>
  </w:style>
  <w:style w:type="character" w:customStyle="1" w:styleId="Underline">
    <w:name w:val="Underline"/>
    <w:basedOn w:val="DefaultParagraphFont"/>
    <w:qFormat/>
    <w:rsid w:val="002C589E"/>
    <w:rPr>
      <w:u w:val="single"/>
    </w:rPr>
  </w:style>
  <w:style w:type="paragraph" w:styleId="BalloonText">
    <w:name w:val="Balloon Text"/>
    <w:basedOn w:val="Normal"/>
    <w:link w:val="BalloonTextChar"/>
    <w:rsid w:val="002C589E"/>
    <w:rPr>
      <w:rFonts w:ascii="Tahoma" w:hAnsi="Tahoma" w:cs="Tahoma"/>
      <w:sz w:val="16"/>
      <w:szCs w:val="16"/>
    </w:rPr>
  </w:style>
  <w:style w:type="character" w:customStyle="1" w:styleId="BalloonTextChar">
    <w:name w:val="Balloon Text Char"/>
    <w:basedOn w:val="DefaultParagraphFont"/>
    <w:link w:val="BalloonText"/>
    <w:rsid w:val="002C5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89E"/>
    <w:rPr>
      <w:b/>
      <w:color w:val="660033"/>
      <w:spacing w:val="0"/>
    </w:rPr>
  </w:style>
  <w:style w:type="paragraph" w:customStyle="1" w:styleId="Nameditemlist">
    <w:name w:val="Named item list"/>
    <w:basedOn w:val="BodyText"/>
    <w:qFormat/>
    <w:rsid w:val="002C58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9343</Characters>
  <Application>Microsoft Office Word</Application>
  <DocSecurity>0</DocSecurity>
  <Lines>327</Lines>
  <Paragraphs>215</Paragraphs>
  <ScaleCrop>false</ScaleCrop>
  <Company>Author-it Software Corporation Ltd.</Company>
  <LinksUpToDate>false</LinksUpToDate>
  <CharactersWithSpaces>10709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PSPWPR402A Respond to general workplace relations enquiries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2012-11-01T17:38:00Z</dcterms:created>
  <dcterms:modified xsi:type="dcterms:W3CDTF">2012-11-01T17:38:00Z</dcterms:modified>
</cp:coreProperties>
</file>