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FDA" w:rsidP="00363FDA">
      <w:pPr>
        <w:pStyle w:val="Title"/>
      </w:pPr>
      <w:bookmarkStart w:id="0" w:name="_GoBack"/>
      <w:bookmarkEnd w:id="0"/>
      <w:r>
        <w:fldChar w:fldCharType="begin"/>
      </w:r>
      <w:r>
        <w:instrText xml:space="preserve"> TITLE   \* MERGEFORMAT </w:instrText>
      </w:r>
      <w:r>
        <w:fldChar w:fldCharType="separate"/>
      </w:r>
      <w:r>
        <w:t>PSPWPI603B Manage emerging issues</w:t>
      </w:r>
      <w:r>
        <w:fldChar w:fldCharType="end"/>
      </w:r>
    </w:p>
    <w:p w:rsidR="00363FDA" w:rsidP="00363FDA">
      <w:pPr>
        <w:pStyle w:val="Version"/>
        <w:sectPr w:rsidSect="00A750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A75025" w:rsidP="00A75025">
      <w:pPr>
        <w:pStyle w:val="SuperHeading"/>
      </w:pPr>
      <w:r w:rsidRPr="00A75025">
        <w:t>PSPWPI603B Manage emerging issues</w:t>
      </w:r>
    </w:p>
    <w:p w:rsidR="00000000" w:rsidRPr="00A75025" w:rsidP="00A75025">
      <w:pPr>
        <w:pStyle w:val="SuperHeading"/>
      </w:pPr>
    </w:p>
    <w:p w:rsidR="00000000" w:rsidRPr="00A75025" w:rsidP="00A75025">
      <w:pPr>
        <w:pStyle w:val="Heading1"/>
      </w:pPr>
      <w:bookmarkStart w:id="1" w:name="O_500168"/>
      <w:bookmarkEnd w:id="1"/>
      <w:r w:rsidRPr="00A75025">
        <w:t>Modification History</w:t>
      </w:r>
    </w:p>
    <w:tbl>
      <w:tblPr>
        <w:tblW w:w="0" w:type="auto"/>
        <w:tblLayout w:type="fixed"/>
        <w:tblCellMar>
          <w:left w:w="62" w:type="dxa"/>
          <w:right w:w="62" w:type="dxa"/>
        </w:tblCellMar>
        <w:tblLook w:val="0000"/>
      </w:tblPr>
      <w:tblGrid>
        <w:gridCol w:w="3052"/>
        <w:gridCol w:w="3052"/>
        <w:gridCol w:w="3052"/>
      </w:tblGrid>
      <w:tr w:rsidTr="00363FD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025" w:rsidP="00A75025">
            <w:pPr>
              <w:pStyle w:val="BodyText"/>
            </w:pPr>
            <w:r w:rsidRPr="00A7502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025" w:rsidP="00A75025">
            <w:pPr>
              <w:pStyle w:val="BodyText"/>
            </w:pPr>
            <w:r w:rsidRPr="00A7502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025">
            <w:pPr>
              <w:pStyle w:val="BodyText"/>
              <w:rPr>
                <w:lang w:val="en-NZ"/>
              </w:rPr>
            </w:pPr>
            <w:r w:rsidRPr="00A75025">
              <w:rPr>
                <w:rStyle w:val="SpecialBold"/>
              </w:rPr>
              <w:t>Comments</w:t>
            </w:r>
          </w:p>
        </w:tc>
      </w:tr>
      <w:tr w:rsidTr="00363FD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025">
            <w:pPr>
              <w:pStyle w:val="BodyText"/>
              <w:rPr>
                <w:lang w:val="en-NZ"/>
              </w:rPr>
            </w:pPr>
            <w:r w:rsidRPr="00A7502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025">
            <w:pPr>
              <w:pStyle w:val="BodyText"/>
              <w:rPr>
                <w:lang w:val="en-NZ"/>
              </w:rPr>
            </w:pPr>
            <w:r w:rsidRPr="00A7502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025">
            <w:pPr>
              <w:pStyle w:val="BodyText"/>
              <w:rPr>
                <w:lang w:val="en-NZ"/>
              </w:rPr>
            </w:pPr>
            <w:r w:rsidRPr="00A75025">
              <w:t xml:space="preserve">Unit descriptor edited. </w:t>
            </w:r>
          </w:p>
        </w:tc>
      </w:tr>
      <w:tr w:rsidTr="00363FD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025">
            <w:pPr>
              <w:pStyle w:val="BodyText"/>
              <w:rPr>
                <w:lang w:val="en-NZ"/>
              </w:rPr>
            </w:pPr>
            <w:r w:rsidRPr="00A7502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025">
            <w:pPr>
              <w:pStyle w:val="BodyText"/>
              <w:rPr>
                <w:lang w:val="en-NZ"/>
              </w:rPr>
            </w:pPr>
            <w:r w:rsidRPr="00A7502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025">
            <w:pPr>
              <w:pStyle w:val="BodyText"/>
              <w:rPr>
                <w:lang w:val="en-NZ"/>
              </w:rPr>
            </w:pPr>
            <w:r w:rsidRPr="00A75025">
              <w:t>Layout adjusted. No changes to content.</w:t>
            </w:r>
          </w:p>
        </w:tc>
      </w:tr>
      <w:tr w:rsidTr="00363FD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025">
            <w:pPr>
              <w:pStyle w:val="BodyText"/>
              <w:rPr>
                <w:lang w:val="en-NZ"/>
              </w:rPr>
            </w:pPr>
            <w:r w:rsidRPr="00A7502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025">
            <w:pPr>
              <w:pStyle w:val="BodyText"/>
              <w:rPr>
                <w:lang w:val="en-NZ"/>
              </w:rPr>
            </w:pPr>
            <w:r w:rsidRPr="00A7502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025" w:rsidP="00A75025">
            <w:pPr>
              <w:pStyle w:val="BodyText"/>
            </w:pPr>
            <w:r w:rsidRPr="00A75025">
              <w:t>Primary release.</w:t>
            </w:r>
          </w:p>
        </w:tc>
      </w:tr>
    </w:tbl>
    <w:p w:rsidR="00363FDA" w:rsidP="00A75025">
      <w:pPr>
        <w:pStyle w:val="BodyText"/>
      </w:pPr>
    </w:p>
    <w:p w:rsidR="00363FDA" w:rsidP="00A75025">
      <w:pPr>
        <w:pStyle w:val="BodyText"/>
      </w:pPr>
    </w:p>
    <w:p w:rsidR="00000000" w:rsidRPr="00A75025" w:rsidP="00A75025">
      <w:pPr>
        <w:pStyle w:val="Heading1"/>
      </w:pPr>
      <w:bookmarkStart w:id="2" w:name="O_500170"/>
      <w:bookmarkEnd w:id="2"/>
      <w:r w:rsidRPr="00A75025">
        <w:t>Unit Descriptor</w:t>
      </w:r>
    </w:p>
    <w:p w:rsidR="00000000" w:rsidRPr="00A75025" w:rsidP="00A75025">
      <w:pPr>
        <w:pStyle w:val="BodyText"/>
      </w:pPr>
      <w:r w:rsidRPr="00A75025">
        <w:t>This unit covers the competency to identify, assess and respond to emerging issues that may impact on workplace occupational health and safety and/or</w:t>
      </w:r>
      <w:r w:rsidRPr="00A75025">
        <w:t xml:space="preserve"> workers compensation and/or injury management and/or workplace relations. It includes identifying issues, assessing potential impact, developing a response strategy and evaluating the effectiveness of the response.</w:t>
      </w:r>
    </w:p>
    <w:p w:rsidR="00000000" w:rsidRPr="00A75025" w:rsidP="00A75025">
      <w:pPr>
        <w:pStyle w:val="BodyText"/>
      </w:pPr>
      <w:r w:rsidRPr="00A75025">
        <w:t>In practice, managing emerging issues ma</w:t>
      </w:r>
      <w:r w:rsidRPr="00A75025">
        <w:t>y overlap with other generalist or specialist public sector work activities such as acting ethically, complying with legislation, applying government systems, managing change, managing diversity, managing risk.</w:t>
      </w:r>
    </w:p>
    <w:p w:rsidR="00363FDA" w:rsidP="00A75025">
      <w:pPr>
        <w:pStyle w:val="BodyText"/>
      </w:pPr>
      <w:r w:rsidRPr="00A75025">
        <w:t>No licensing, legislative, regulatory or cert</w:t>
      </w:r>
      <w:r w:rsidRPr="00A75025">
        <w:t>ification requirements apply to this unit at the time of endorsement.</w:t>
      </w:r>
    </w:p>
    <w:p w:rsidR="00363FDA" w:rsidP="00A75025">
      <w:pPr>
        <w:pStyle w:val="BodyText"/>
      </w:pPr>
    </w:p>
    <w:p w:rsidR="00000000" w:rsidRPr="00A75025" w:rsidP="00A75025">
      <w:pPr>
        <w:pStyle w:val="Heading1"/>
      </w:pPr>
      <w:bookmarkStart w:id="3" w:name="O_500176"/>
      <w:bookmarkEnd w:id="3"/>
      <w:r w:rsidRPr="00A75025">
        <w:t>Application of the Unit</w:t>
      </w:r>
    </w:p>
    <w:p w:rsidR="00000000" w:rsidRPr="00A75025" w:rsidP="00A75025">
      <w:pPr>
        <w:pStyle w:val="BodyText"/>
      </w:pPr>
      <w:r w:rsidRPr="00A75025">
        <w:t>Not applicable.</w:t>
      </w:r>
    </w:p>
    <w:p w:rsidR="00000000" w:rsidRPr="00A75025" w:rsidP="00A75025">
      <w:pPr>
        <w:pStyle w:val="AllowPageBreak"/>
      </w:pPr>
    </w:p>
    <w:p w:rsidR="00000000" w:rsidRPr="00A75025" w:rsidP="00A75025">
      <w:pPr>
        <w:pStyle w:val="Heading1"/>
      </w:pPr>
      <w:bookmarkStart w:id="4" w:name="O_500166"/>
      <w:bookmarkEnd w:id="4"/>
      <w:r w:rsidRPr="00A75025">
        <w:t>Licensing/Regulatory Information</w:t>
      </w:r>
    </w:p>
    <w:p w:rsidR="00000000" w:rsidRPr="00A75025" w:rsidP="00A75025">
      <w:pPr>
        <w:pStyle w:val="BodyText"/>
      </w:pPr>
      <w:r w:rsidRPr="00A75025">
        <w:t>Not applicable.</w:t>
      </w:r>
    </w:p>
    <w:p w:rsidR="00000000" w:rsidRPr="00A75025" w:rsidP="00A75025">
      <w:pPr>
        <w:pStyle w:val="AllowPageBreak"/>
      </w:pPr>
    </w:p>
    <w:p w:rsidR="00000000" w:rsidRPr="00A75025" w:rsidP="00A75025">
      <w:pPr>
        <w:pStyle w:val="Heading1"/>
      </w:pPr>
      <w:bookmarkStart w:id="5" w:name="O_500169"/>
      <w:bookmarkEnd w:id="5"/>
      <w:r w:rsidRPr="00A75025">
        <w:t>Pre-Requisites</w:t>
      </w:r>
    </w:p>
    <w:p w:rsidR="00000000" w:rsidRPr="00A75025" w:rsidP="00A75025">
      <w:pPr>
        <w:pStyle w:val="BodyText"/>
      </w:pPr>
      <w:r w:rsidRPr="00A75025">
        <w:t>Not applicable.</w:t>
      </w:r>
    </w:p>
    <w:p w:rsidR="00000000" w:rsidRPr="00A75025" w:rsidP="00A75025">
      <w:pPr>
        <w:pStyle w:val="AllowPageBreak"/>
      </w:pPr>
    </w:p>
    <w:p w:rsidR="00000000" w:rsidRPr="00A75025" w:rsidP="00A75025">
      <w:pPr>
        <w:pStyle w:val="Heading1"/>
      </w:pPr>
      <w:bookmarkStart w:id="6" w:name="O_500172"/>
      <w:bookmarkEnd w:id="6"/>
      <w:r w:rsidRPr="00A75025">
        <w:t>Employability Skills Information</w:t>
      </w:r>
    </w:p>
    <w:p w:rsidR="00000000" w:rsidRPr="00A75025" w:rsidP="00A75025">
      <w:pPr>
        <w:pStyle w:val="BodyText"/>
      </w:pPr>
      <w:r w:rsidRPr="00A75025">
        <w:t>This unit contains employability skills.</w:t>
      </w:r>
    </w:p>
    <w:p w:rsidR="00000000" w:rsidRPr="00A75025" w:rsidP="00A75025">
      <w:pPr>
        <w:pStyle w:val="AllowPageBreak"/>
      </w:pPr>
    </w:p>
    <w:p w:rsidR="00000000" w:rsidRPr="00A75025" w:rsidP="00A75025">
      <w:pPr>
        <w:pStyle w:val="Heading1"/>
      </w:pPr>
      <w:bookmarkStart w:id="7" w:name="O_500173"/>
      <w:bookmarkEnd w:id="7"/>
      <w:r w:rsidRPr="00A75025">
        <w:t>Elements and Performance Criteria Pre-Content</w:t>
      </w:r>
    </w:p>
    <w:tbl>
      <w:tblPr>
        <w:tblW w:w="9322" w:type="dxa"/>
        <w:tblLayout w:type="fixed"/>
        <w:tblCellMar>
          <w:left w:w="62" w:type="dxa"/>
          <w:right w:w="62" w:type="dxa"/>
        </w:tblCellMar>
        <w:tblLook w:val="0000"/>
      </w:tblPr>
      <w:tblGrid>
        <w:gridCol w:w="2660"/>
        <w:gridCol w:w="6662"/>
      </w:tblGrid>
      <w:tr w:rsidTr="00363FD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5025">
            <w:pPr>
              <w:pStyle w:val="BodyText"/>
              <w:rPr>
                <w:lang w:val="en-NZ"/>
              </w:rPr>
            </w:pPr>
            <w:r w:rsidRPr="00A7502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A75025" w:rsidP="00A75025">
            <w:pPr>
              <w:pStyle w:val="BodyText"/>
            </w:pPr>
            <w:r w:rsidRPr="00A75025">
              <w:t>Together, performance criteria specify the requi</w:t>
            </w:r>
            <w:r w:rsidRPr="00A75025">
              <w:t>rements for competent performance. Text in</w:t>
            </w:r>
            <w:r w:rsidRPr="00A75025">
              <w:rPr>
                <w:rStyle w:val="BoldandItalics"/>
              </w:rPr>
              <w:t xml:space="preserve"> bold italics </w:t>
            </w:r>
            <w:r w:rsidRPr="00A75025">
              <w:t xml:space="preserve"> is explained in the Range Statement following.</w:t>
            </w:r>
          </w:p>
        </w:tc>
      </w:tr>
    </w:tbl>
    <w:p w:rsidR="00000000" w:rsidRPr="00A75025" w:rsidP="00A75025">
      <w:pPr>
        <w:pStyle w:val="BodyText"/>
      </w:pPr>
    </w:p>
    <w:p w:rsidR="00000000" w:rsidRPr="00A75025" w:rsidP="00A75025">
      <w:pPr>
        <w:pStyle w:val="AllowPageBreak"/>
      </w:pPr>
    </w:p>
    <w:p w:rsidR="00000000" w:rsidRPr="00A75025" w:rsidP="00A75025">
      <w:pPr>
        <w:pStyle w:val="Heading1"/>
      </w:pPr>
      <w:bookmarkStart w:id="8" w:name="O_500174"/>
      <w:bookmarkEnd w:id="8"/>
      <w:r w:rsidRPr="00A75025">
        <w:t>Elements and Performance Criteria</w:t>
      </w:r>
    </w:p>
    <w:tbl>
      <w:tblPr>
        <w:tblW w:w="9322" w:type="dxa"/>
        <w:tblLayout w:type="fixed"/>
        <w:tblCellMar>
          <w:left w:w="62" w:type="dxa"/>
          <w:right w:w="62" w:type="dxa"/>
        </w:tblCellMar>
        <w:tblLook w:val="0000"/>
      </w:tblPr>
      <w:tblGrid>
        <w:gridCol w:w="2660"/>
        <w:gridCol w:w="6662"/>
      </w:tblGrid>
      <w:tr w:rsidTr="00363FDA">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A75025" w:rsidP="00A75025">
            <w:pPr>
              <w:pStyle w:val="BodyText"/>
            </w:pPr>
            <w:r w:rsidRPr="00A7502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75025">
            <w:pPr>
              <w:pStyle w:val="BodyText"/>
              <w:rPr>
                <w:lang w:val="en-NZ"/>
              </w:rPr>
            </w:pPr>
            <w:r w:rsidRPr="00A75025">
              <w:rPr>
                <w:rStyle w:val="SpecialBold"/>
              </w:rPr>
              <w:t>PERFORMANCE CRITERIA</w:t>
            </w:r>
          </w:p>
        </w:tc>
      </w:tr>
      <w:tr w:rsidTr="00363FD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5025">
            <w:pPr>
              <w:pStyle w:val="List"/>
              <w:rPr>
                <w:lang w:val="en-NZ"/>
              </w:rPr>
            </w:pPr>
            <w:r w:rsidRPr="00A75025">
              <w:rPr>
                <w:rStyle w:val="SpecialBold"/>
              </w:rPr>
              <w:t>1</w:t>
            </w:r>
            <w:r w:rsidRPr="00A75025">
              <w:t>.</w:t>
            </w:r>
            <w:r w:rsidRPr="00A75025">
              <w:tab/>
            </w:r>
            <w:r w:rsidRPr="00A75025">
              <w:rPr>
                <w:rStyle w:val="SpecialBold"/>
              </w:rPr>
              <w:t>Identify issues</w:t>
            </w:r>
          </w:p>
        </w:tc>
        <w:tc>
          <w:tcPr>
            <w:tcW w:w="6662" w:type="dxa"/>
            <w:tcBorders>
              <w:top w:val="nil"/>
              <w:left w:val="nil"/>
              <w:bottom w:val="nil"/>
              <w:right w:val="nil"/>
            </w:tcBorders>
            <w:tcMar>
              <w:top w:w="0" w:type="dxa"/>
              <w:left w:w="62" w:type="dxa"/>
              <w:bottom w:w="0" w:type="dxa"/>
              <w:right w:w="62" w:type="dxa"/>
            </w:tcMar>
          </w:tcPr>
          <w:p w:rsidR="00000000" w:rsidRPr="00A75025" w:rsidP="00A75025">
            <w:pPr>
              <w:pStyle w:val="List"/>
            </w:pPr>
            <w:r w:rsidRPr="00A75025">
              <w:t>1.1</w:t>
            </w:r>
            <w:r w:rsidRPr="00A75025">
              <w:tab/>
              <w:t xml:space="preserve">The </w:t>
            </w:r>
            <w:r w:rsidRPr="00A75025">
              <w:rPr>
                <w:rStyle w:val="BoldandItalics"/>
              </w:rPr>
              <w:t xml:space="preserve">environment </w:t>
            </w:r>
            <w:r w:rsidRPr="00A75025">
              <w:t>is monitored to determine</w:t>
            </w:r>
            <w:r w:rsidRPr="00A75025">
              <w:rPr>
                <w:rStyle w:val="BoldandItalics"/>
              </w:rPr>
              <w:t xml:space="preserve"> emerging issues</w:t>
            </w:r>
            <w:r w:rsidRPr="00A75025">
              <w:rPr>
                <w:rStyle w:val="Emphasis"/>
              </w:rPr>
              <w:t>.</w:t>
            </w:r>
          </w:p>
          <w:p w:rsidR="00000000" w:rsidRPr="00A75025" w:rsidP="00A75025">
            <w:pPr>
              <w:pStyle w:val="List"/>
            </w:pPr>
            <w:r w:rsidRPr="00A75025">
              <w:t>1.2</w:t>
            </w:r>
            <w:r w:rsidRPr="00A75025">
              <w:tab/>
              <w:t xml:space="preserve">Formal and informal </w:t>
            </w:r>
            <w:r w:rsidRPr="00A75025">
              <w:rPr>
                <w:rStyle w:val="BoldandItalics"/>
              </w:rPr>
              <w:t xml:space="preserve">research </w:t>
            </w:r>
            <w:r w:rsidRPr="00A75025">
              <w:t>is conducted to identify emerging issues.</w:t>
            </w:r>
          </w:p>
          <w:p w:rsidR="00000000" w:rsidP="00A75025">
            <w:pPr>
              <w:pStyle w:val="List"/>
              <w:rPr>
                <w:lang w:val="en-NZ"/>
              </w:rPr>
            </w:pPr>
            <w:r w:rsidRPr="00A75025">
              <w:t>1.3</w:t>
            </w:r>
            <w:r w:rsidRPr="00A75025">
              <w:tab/>
              <w:t xml:space="preserve">Issues are clarified and confirmed with </w:t>
            </w:r>
            <w:r w:rsidRPr="00A75025">
              <w:rPr>
                <w:rStyle w:val="BoldandItalics"/>
              </w:rPr>
              <w:t xml:space="preserve">stakeholders </w:t>
            </w:r>
            <w:r w:rsidRPr="00A75025">
              <w:t>in accordance with legislation and organisational policy and procedures.</w:t>
            </w:r>
          </w:p>
        </w:tc>
      </w:tr>
      <w:tr w:rsidTr="00363FD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5025">
            <w:pPr>
              <w:pStyle w:val="List"/>
              <w:rPr>
                <w:lang w:val="en-NZ"/>
              </w:rPr>
            </w:pPr>
            <w:r w:rsidRPr="00A75025">
              <w:rPr>
                <w:rStyle w:val="SpecialBold"/>
              </w:rPr>
              <w:t>2</w:t>
            </w:r>
            <w:r w:rsidRPr="00A75025">
              <w:t>.</w:t>
            </w:r>
            <w:r w:rsidRPr="00A75025">
              <w:tab/>
            </w:r>
            <w:r w:rsidRPr="00A75025">
              <w:rPr>
                <w:rStyle w:val="SpecialBold"/>
              </w:rPr>
              <w:t>Assess potential impact</w:t>
            </w:r>
          </w:p>
        </w:tc>
        <w:tc>
          <w:tcPr>
            <w:tcW w:w="6662" w:type="dxa"/>
            <w:tcBorders>
              <w:top w:val="nil"/>
              <w:left w:val="nil"/>
              <w:bottom w:val="nil"/>
              <w:right w:val="nil"/>
            </w:tcBorders>
            <w:tcMar>
              <w:top w:w="0" w:type="dxa"/>
              <w:left w:w="62" w:type="dxa"/>
              <w:bottom w:w="0" w:type="dxa"/>
              <w:right w:w="62" w:type="dxa"/>
            </w:tcMar>
          </w:tcPr>
          <w:p w:rsidR="00000000" w:rsidRPr="00A75025" w:rsidP="00A75025">
            <w:pPr>
              <w:pStyle w:val="List"/>
            </w:pPr>
            <w:r w:rsidRPr="00A75025">
              <w:t>2.1</w:t>
            </w:r>
            <w:r w:rsidRPr="00A75025">
              <w:tab/>
              <w:t>T</w:t>
            </w:r>
            <w:r w:rsidRPr="00A75025">
              <w:t>he scope and magnitude of the impact are estimated and recorded.</w:t>
            </w:r>
          </w:p>
          <w:p w:rsidR="00000000" w:rsidP="00A75025">
            <w:pPr>
              <w:pStyle w:val="List"/>
              <w:rPr>
                <w:lang w:val="en-NZ"/>
              </w:rPr>
            </w:pPr>
            <w:r w:rsidRPr="00A75025">
              <w:t>2.2</w:t>
            </w:r>
            <w:r w:rsidRPr="00A75025">
              <w:tab/>
              <w:t>The nature and consequence of the potential impact are determined and used to develop a response strategy.</w:t>
            </w:r>
          </w:p>
        </w:tc>
      </w:tr>
      <w:tr w:rsidTr="00363FD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5025">
            <w:pPr>
              <w:pStyle w:val="List"/>
              <w:rPr>
                <w:lang w:val="en-NZ"/>
              </w:rPr>
            </w:pPr>
            <w:r w:rsidRPr="00A75025">
              <w:rPr>
                <w:rStyle w:val="SpecialBold"/>
              </w:rPr>
              <w:t>3</w:t>
            </w:r>
            <w:r w:rsidRPr="00A75025">
              <w:t>.</w:t>
            </w:r>
            <w:r w:rsidRPr="00A75025">
              <w:tab/>
            </w:r>
            <w:r w:rsidRPr="00A75025">
              <w:rPr>
                <w:rStyle w:val="SpecialBold"/>
              </w:rPr>
              <w:t>Develop a response strategy</w:t>
            </w:r>
          </w:p>
        </w:tc>
        <w:tc>
          <w:tcPr>
            <w:tcW w:w="6662" w:type="dxa"/>
            <w:tcBorders>
              <w:top w:val="nil"/>
              <w:left w:val="nil"/>
              <w:bottom w:val="nil"/>
              <w:right w:val="nil"/>
            </w:tcBorders>
            <w:tcMar>
              <w:top w:w="0" w:type="dxa"/>
              <w:left w:w="62" w:type="dxa"/>
              <w:bottom w:w="0" w:type="dxa"/>
              <w:right w:w="62" w:type="dxa"/>
            </w:tcMar>
          </w:tcPr>
          <w:p w:rsidR="00000000" w:rsidRPr="00A75025" w:rsidP="00A75025">
            <w:pPr>
              <w:pStyle w:val="List"/>
            </w:pPr>
            <w:r w:rsidRPr="00A75025">
              <w:t>3.1</w:t>
            </w:r>
            <w:r w:rsidRPr="00A75025">
              <w:rPr>
                <w:rStyle w:val="BoldandItalics"/>
              </w:rPr>
              <w:tab/>
              <w:t xml:space="preserve">Response options </w:t>
            </w:r>
            <w:r w:rsidRPr="00A75025">
              <w:t>are identified and prioriti</w:t>
            </w:r>
            <w:r w:rsidRPr="00A75025">
              <w:t>sed in accordance with legislation and organisational policy and procedures.</w:t>
            </w:r>
          </w:p>
          <w:p w:rsidR="00000000" w:rsidRPr="00A75025" w:rsidP="00A75025">
            <w:pPr>
              <w:pStyle w:val="List"/>
            </w:pPr>
            <w:r w:rsidRPr="00A75025">
              <w:t>3.2</w:t>
            </w:r>
            <w:r w:rsidRPr="00A75025">
              <w:tab/>
              <w:t>A response strategy is chosen that best addresses the impact in consultation with industry stakeholders.</w:t>
            </w:r>
          </w:p>
          <w:p w:rsidR="00000000" w:rsidRPr="00A75025" w:rsidP="00A75025">
            <w:pPr>
              <w:pStyle w:val="List"/>
            </w:pPr>
            <w:r w:rsidRPr="00A75025">
              <w:t>3.3</w:t>
            </w:r>
            <w:r w:rsidRPr="00A75025">
              <w:tab/>
              <w:t>Performance measures to evaluate the effectiveness of the chosen r</w:t>
            </w:r>
            <w:r w:rsidRPr="00A75025">
              <w:t>esponse strategy are established.</w:t>
            </w:r>
          </w:p>
          <w:p w:rsidR="00000000" w:rsidP="00A75025">
            <w:pPr>
              <w:pStyle w:val="List"/>
              <w:rPr>
                <w:lang w:val="en-NZ"/>
              </w:rPr>
            </w:pPr>
            <w:r w:rsidRPr="00A75025">
              <w:t>3.4</w:t>
            </w:r>
            <w:r w:rsidRPr="00A75025">
              <w:tab/>
              <w:t>The chosen response strategy is implemented.</w:t>
            </w:r>
          </w:p>
        </w:tc>
      </w:tr>
      <w:tr w:rsidTr="00363FD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5025">
            <w:pPr>
              <w:pStyle w:val="List"/>
              <w:rPr>
                <w:lang w:val="en-NZ"/>
              </w:rPr>
            </w:pPr>
            <w:r w:rsidRPr="00A75025">
              <w:rPr>
                <w:rStyle w:val="SpecialBold"/>
              </w:rPr>
              <w:t>4</w:t>
            </w:r>
            <w:r w:rsidRPr="00A75025">
              <w:t>.</w:t>
            </w:r>
            <w:r w:rsidRPr="00A75025">
              <w:tab/>
            </w:r>
            <w:r w:rsidRPr="00A75025">
              <w:rPr>
                <w:rStyle w:val="SpecialBold"/>
              </w:rPr>
              <w:t>Evaluate effectiveness of the response</w:t>
            </w:r>
          </w:p>
        </w:tc>
        <w:tc>
          <w:tcPr>
            <w:tcW w:w="6662" w:type="dxa"/>
            <w:tcBorders>
              <w:top w:val="nil"/>
              <w:left w:val="nil"/>
              <w:bottom w:val="nil"/>
              <w:right w:val="nil"/>
            </w:tcBorders>
            <w:tcMar>
              <w:top w:w="0" w:type="dxa"/>
              <w:left w:w="62" w:type="dxa"/>
              <w:bottom w:w="0" w:type="dxa"/>
              <w:right w:w="62" w:type="dxa"/>
            </w:tcMar>
          </w:tcPr>
          <w:p w:rsidR="00000000" w:rsidRPr="00A75025" w:rsidP="00A75025">
            <w:pPr>
              <w:pStyle w:val="List"/>
            </w:pPr>
            <w:r w:rsidRPr="00A75025">
              <w:t>4.1</w:t>
            </w:r>
            <w:r w:rsidRPr="00A75025">
              <w:tab/>
              <w:t>An</w:t>
            </w:r>
            <w:r w:rsidRPr="00A75025">
              <w:rPr>
                <w:rStyle w:val="BoldandItalics"/>
              </w:rPr>
              <w:t xml:space="preserve"> evaluation plan </w:t>
            </w:r>
            <w:r w:rsidRPr="00A75025">
              <w:t>is developed and documented.</w:t>
            </w:r>
          </w:p>
          <w:p w:rsidR="00000000" w:rsidRPr="00A75025" w:rsidP="00A75025">
            <w:pPr>
              <w:pStyle w:val="List"/>
            </w:pPr>
            <w:r w:rsidRPr="00A75025">
              <w:t>4.2</w:t>
            </w:r>
            <w:r w:rsidRPr="00A75025">
              <w:tab/>
              <w:t>The re</w:t>
            </w:r>
            <w:r w:rsidRPr="00A75025">
              <w:t>sponse strategy is evaluated against the predetermined performance measures.</w:t>
            </w:r>
          </w:p>
          <w:p w:rsidR="00000000" w:rsidRPr="00A75025" w:rsidP="00A75025">
            <w:pPr>
              <w:pStyle w:val="List"/>
            </w:pPr>
            <w:r w:rsidRPr="00A75025">
              <w:t>4.3</w:t>
            </w:r>
            <w:r w:rsidRPr="00A75025">
              <w:tab/>
              <w:t>The response strategy is modified on the basis of the evaluation if required.</w:t>
            </w:r>
          </w:p>
          <w:p w:rsidR="00000000" w:rsidRPr="00A75025" w:rsidP="00A75025">
            <w:pPr>
              <w:pStyle w:val="List"/>
            </w:pPr>
            <w:r w:rsidRPr="00A75025">
              <w:t>4.4</w:t>
            </w:r>
            <w:r w:rsidRPr="00A75025">
              <w:tab/>
              <w:t>The results of the evaluation are communicated to relevant stakeholders.</w:t>
            </w:r>
          </w:p>
        </w:tc>
      </w:tr>
    </w:tbl>
    <w:p w:rsidR="00000000" w:rsidRPr="00A75025" w:rsidP="00A75025">
      <w:pPr>
        <w:pStyle w:val="BodyText"/>
      </w:pPr>
    </w:p>
    <w:p w:rsidR="00000000" w:rsidRPr="00A75025" w:rsidP="00A75025">
      <w:pPr>
        <w:pStyle w:val="AllowPageBreak"/>
      </w:pPr>
    </w:p>
    <w:p w:rsidR="00000000" w:rsidRPr="00A75025" w:rsidP="00A75025">
      <w:pPr>
        <w:pStyle w:val="Heading1"/>
      </w:pPr>
      <w:bookmarkStart w:id="9" w:name="O_500164"/>
      <w:bookmarkEnd w:id="9"/>
      <w:r w:rsidRPr="00A75025">
        <w:t>R</w:t>
      </w:r>
      <w:r w:rsidRPr="00A75025">
        <w:t>equired Skills and Knowledge</w:t>
      </w:r>
    </w:p>
    <w:tbl>
      <w:tblPr>
        <w:tblW w:w="0" w:type="auto"/>
        <w:tblLayout w:type="fixed"/>
        <w:tblCellMar>
          <w:left w:w="62" w:type="dxa"/>
          <w:right w:w="62" w:type="dxa"/>
        </w:tblCellMar>
        <w:tblLook w:val="0000"/>
      </w:tblPr>
      <w:tblGrid>
        <w:gridCol w:w="8553"/>
      </w:tblGrid>
      <w:tr w:rsidTr="00363FD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A75025">
            <w:pPr>
              <w:pStyle w:val="BodyText"/>
              <w:rPr>
                <w:lang w:val="en-NZ"/>
              </w:rPr>
            </w:pPr>
            <w:r w:rsidRPr="00A75025">
              <w:t>This section describes the essential skills and knowledge and their level, required for this unit.</w:t>
            </w:r>
          </w:p>
        </w:tc>
      </w:tr>
      <w:tr w:rsidTr="00363FD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A75025" w:rsidP="00A75025">
            <w:pPr>
              <w:pStyle w:val="BodyText"/>
            </w:pPr>
            <w:r w:rsidRPr="00A75025">
              <w:rPr>
                <w:rStyle w:val="SpecialBold"/>
              </w:rPr>
              <w:t>Skill requirements</w:t>
            </w:r>
          </w:p>
          <w:p w:rsidR="00000000" w:rsidRPr="00A75025" w:rsidP="00A75025">
            <w:pPr>
              <w:pStyle w:val="BodyText"/>
            </w:pPr>
            <w:r w:rsidRPr="00A75025">
              <w:t>Look for evidence that confirms skills in:</w:t>
            </w:r>
          </w:p>
          <w:p w:rsidR="00000000" w:rsidRPr="00A75025" w:rsidP="00A75025">
            <w:pPr>
              <w:pStyle w:val="ListBullet2"/>
            </w:pPr>
            <w:r w:rsidRPr="00A75025">
              <w:t>conducting research and analysis</w:t>
            </w:r>
          </w:p>
          <w:p w:rsidR="00000000" w:rsidRPr="00A75025" w:rsidP="00A75025">
            <w:pPr>
              <w:pStyle w:val="ListBullet2"/>
            </w:pPr>
            <w:r w:rsidRPr="00A75025">
              <w:t>conducting evaluations</w:t>
            </w:r>
          </w:p>
          <w:p w:rsidR="00000000" w:rsidRPr="00A75025" w:rsidP="00A75025">
            <w:pPr>
              <w:pStyle w:val="ListBullet2"/>
            </w:pPr>
            <w:r w:rsidRPr="00A75025">
              <w:t>communicating with a range of audiences, requiring adaptation of style and language</w:t>
            </w:r>
          </w:p>
          <w:p w:rsidR="00000000" w:rsidRPr="00A75025" w:rsidP="00A75025">
            <w:pPr>
              <w:pStyle w:val="ListBullet2"/>
            </w:pPr>
            <w:r w:rsidRPr="00A75025">
              <w:t xml:space="preserve">questioning to confirm understanding </w:t>
            </w:r>
          </w:p>
          <w:p w:rsidR="00000000" w:rsidRPr="00A75025" w:rsidP="00A75025">
            <w:pPr>
              <w:pStyle w:val="ListBullet2"/>
            </w:pPr>
            <w:r w:rsidRPr="00A75025">
              <w:t>interpreting complex information</w:t>
            </w:r>
          </w:p>
          <w:p w:rsidR="00000000" w:rsidRPr="00A75025" w:rsidP="00A75025">
            <w:pPr>
              <w:pStyle w:val="ListBullet2"/>
            </w:pPr>
            <w:r w:rsidRPr="00A75025">
              <w:t>preparing written reports requiring formal structure and language</w:t>
            </w:r>
          </w:p>
          <w:p w:rsidR="00000000" w:rsidRPr="00A75025" w:rsidP="00A75025">
            <w:pPr>
              <w:pStyle w:val="ListBullet2"/>
            </w:pPr>
            <w:r w:rsidRPr="00A75025">
              <w:t xml:space="preserve">responding to diversity, including </w:t>
            </w:r>
            <w:r w:rsidRPr="00A75025">
              <w:t>disability and gender</w:t>
            </w:r>
          </w:p>
          <w:p w:rsidR="00000000" w:rsidP="00A75025">
            <w:pPr>
              <w:pStyle w:val="ListBullet2"/>
              <w:rPr>
                <w:lang w:val="en-NZ"/>
              </w:rPr>
            </w:pPr>
            <w:r w:rsidRPr="00A75025">
              <w:t>using computers</w:t>
            </w:r>
          </w:p>
        </w:tc>
      </w:tr>
      <w:tr w:rsidTr="00363FD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A75025" w:rsidP="00A75025">
            <w:pPr>
              <w:pStyle w:val="BodyText"/>
            </w:pPr>
            <w:r w:rsidRPr="00A75025">
              <w:rPr>
                <w:rStyle w:val="SpecialBold"/>
              </w:rPr>
              <w:t>Knowledge requirements</w:t>
            </w:r>
          </w:p>
          <w:p w:rsidR="00000000" w:rsidRPr="00A75025" w:rsidP="00A75025">
            <w:pPr>
              <w:pStyle w:val="BodyText"/>
            </w:pPr>
            <w:r w:rsidRPr="00A75025">
              <w:t>Look for evidence that confirms knowledge and understanding of:</w:t>
            </w:r>
          </w:p>
          <w:p w:rsidR="00000000" w:rsidRPr="00A75025" w:rsidP="00A75025">
            <w:pPr>
              <w:pStyle w:val="ListBullet2"/>
            </w:pPr>
            <w:r w:rsidRPr="00A75025">
              <w:t>occupational health and safety, workers compensation, injury management and/or workplace relations legislation</w:t>
            </w:r>
          </w:p>
          <w:p w:rsidR="00000000" w:rsidRPr="00A75025" w:rsidP="00A75025">
            <w:pPr>
              <w:pStyle w:val="ListBullet2"/>
            </w:pPr>
            <w:r w:rsidRPr="00A75025">
              <w:t>evaluation procedu</w:t>
            </w:r>
            <w:r w:rsidRPr="00A75025">
              <w:t>res</w:t>
            </w:r>
          </w:p>
          <w:p w:rsidR="00000000" w:rsidRPr="00A75025" w:rsidP="00A75025">
            <w:pPr>
              <w:pStyle w:val="ListBullet2"/>
            </w:pPr>
            <w:r w:rsidRPr="00A75025">
              <w:t>organisational policy and procedures</w:t>
            </w:r>
          </w:p>
          <w:p w:rsidR="00000000" w:rsidRPr="00A75025" w:rsidP="00A75025">
            <w:pPr>
              <w:pStyle w:val="ListBullet2"/>
            </w:pPr>
            <w:r w:rsidRPr="00A75025">
              <w:t>industry standards</w:t>
            </w:r>
          </w:p>
          <w:p w:rsidR="00000000" w:rsidRPr="00A75025" w:rsidP="00A75025">
            <w:pPr>
              <w:pStyle w:val="ListBullet2"/>
            </w:pPr>
            <w:r w:rsidRPr="00A75025">
              <w:t>codes of practice</w:t>
            </w:r>
          </w:p>
        </w:tc>
      </w:tr>
    </w:tbl>
    <w:p w:rsidR="00000000" w:rsidRPr="00A75025" w:rsidP="00A75025">
      <w:pPr>
        <w:pStyle w:val="BodyText"/>
      </w:pPr>
    </w:p>
    <w:p w:rsidR="00000000" w:rsidRPr="00A75025" w:rsidP="00A75025">
      <w:pPr>
        <w:pStyle w:val="AllowPageBreak"/>
      </w:pPr>
    </w:p>
    <w:p w:rsidR="00000000" w:rsidRPr="00A75025" w:rsidP="00A75025">
      <w:pPr>
        <w:pStyle w:val="Heading1"/>
      </w:pPr>
      <w:bookmarkStart w:id="10" w:name="O_500165"/>
      <w:bookmarkEnd w:id="10"/>
      <w:r w:rsidRPr="00A75025">
        <w:t>Evidence Guide</w:t>
      </w:r>
    </w:p>
    <w:tbl>
      <w:tblPr>
        <w:tblW w:w="9322" w:type="dxa"/>
        <w:tblLayout w:type="fixed"/>
        <w:tblCellMar>
          <w:left w:w="62" w:type="dxa"/>
          <w:right w:w="62" w:type="dxa"/>
        </w:tblCellMar>
        <w:tblLook w:val="0000"/>
      </w:tblPr>
      <w:tblGrid>
        <w:gridCol w:w="2660"/>
        <w:gridCol w:w="6662"/>
      </w:tblGrid>
      <w:tr w:rsidTr="00363FD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75025">
            <w:pPr>
              <w:pStyle w:val="BodyText"/>
              <w:rPr>
                <w:lang w:val="en-NZ"/>
              </w:rPr>
            </w:pPr>
            <w:r w:rsidRPr="00A75025">
              <w:t xml:space="preserve">The Evidence Guide specifies the evidence required to demonstrate achievement in the unit of competency as a whole. It must be read in </w:t>
            </w:r>
            <w:r w:rsidRPr="00A75025">
              <w:t>conjunction with the Unit descriptor, Performance Criteria, the Range Statement and the Assessment Guidelines for the Public Sector Training Package.</w:t>
            </w:r>
          </w:p>
        </w:tc>
      </w:tr>
      <w:tr w:rsidTr="00363FD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A75025" w:rsidP="00A75025">
            <w:pPr>
              <w:pStyle w:val="BodyText"/>
            </w:pPr>
            <w:r w:rsidRPr="00A75025">
              <w:rPr>
                <w:rStyle w:val="SpecialBold"/>
              </w:rPr>
              <w:t>Units to be assessed together</w:t>
            </w:r>
            <w:r w:rsidRPr="00A75025">
              <w:t xml:space="preserve"> </w:t>
            </w:r>
          </w:p>
        </w:tc>
        <w:tc>
          <w:tcPr>
            <w:tcW w:w="6662" w:type="dxa"/>
            <w:tcBorders>
              <w:top w:val="nil"/>
              <w:left w:val="nil"/>
              <w:bottom w:val="nil"/>
              <w:right w:val="nil"/>
            </w:tcBorders>
            <w:tcMar>
              <w:top w:w="0" w:type="dxa"/>
              <w:left w:w="62" w:type="dxa"/>
              <w:bottom w:w="0" w:type="dxa"/>
              <w:right w:w="62" w:type="dxa"/>
            </w:tcMar>
          </w:tcPr>
          <w:p w:rsidR="00000000" w:rsidRPr="00A75025" w:rsidP="00A75025">
            <w:pPr>
              <w:pStyle w:val="ListBullet2"/>
            </w:pPr>
            <w:r w:rsidRPr="00A75025">
              <w:rPr>
                <w:rStyle w:val="Emphasis"/>
              </w:rPr>
              <w:t>Pre</w:t>
            </w:r>
            <w:r w:rsidRPr="00A75025">
              <w:t>-</w:t>
            </w:r>
            <w:r w:rsidRPr="00A75025">
              <w:rPr>
                <w:rStyle w:val="Emphasis"/>
              </w:rPr>
              <w:t>requisite</w:t>
            </w:r>
            <w:r w:rsidRPr="00A75025">
              <w:t xml:space="preserve"> units that must be achieved prior to this unit:</w:t>
            </w:r>
            <w:r w:rsidRPr="00A75025">
              <w:rPr>
                <w:rStyle w:val="Emphasis"/>
              </w:rPr>
              <w:t>Nil</w:t>
            </w:r>
          </w:p>
          <w:p w:rsidR="00000000" w:rsidRPr="00A75025" w:rsidP="00A75025">
            <w:pPr>
              <w:pStyle w:val="ListBullet2"/>
            </w:pPr>
            <w:r w:rsidRPr="00A75025">
              <w:rPr>
                <w:rStyle w:val="Emphasis"/>
              </w:rPr>
              <w:t>Co</w:t>
            </w:r>
            <w:r w:rsidRPr="00A75025">
              <w:t>-</w:t>
            </w:r>
            <w:r w:rsidRPr="00A75025">
              <w:rPr>
                <w:rStyle w:val="Emphasis"/>
              </w:rPr>
              <w:t>requisite</w:t>
            </w:r>
            <w:r w:rsidRPr="00A75025">
              <w:t xml:space="preserve"> units that must be assessed with this unit:</w:t>
            </w:r>
            <w:r w:rsidRPr="00A75025">
              <w:rPr>
                <w:rStyle w:val="Emphasis"/>
              </w:rPr>
              <w:t>Nil</w:t>
            </w:r>
          </w:p>
          <w:p w:rsidR="00000000" w:rsidRPr="00A75025" w:rsidP="00A75025">
            <w:pPr>
              <w:pStyle w:val="ListBullet2"/>
            </w:pPr>
            <w:r w:rsidRPr="00A75025">
              <w:rPr>
                <w:rStyle w:val="Emphasis"/>
              </w:rPr>
              <w:t>Co</w:t>
            </w:r>
            <w:r w:rsidRPr="00A75025">
              <w:t>-</w:t>
            </w:r>
            <w:r w:rsidRPr="00A75025">
              <w:rPr>
                <w:rStyle w:val="Emphasis"/>
              </w:rPr>
              <w:t>assessed units</w:t>
            </w:r>
            <w:r w:rsidRPr="00A75025">
              <w:t xml:space="preserve"> that may be assessed with this unit to increase the efficiency and realism of the assessment process include, but are not limited to:</w:t>
            </w:r>
          </w:p>
          <w:p w:rsidR="00000000" w:rsidRPr="00A75025" w:rsidP="00A75025">
            <w:pPr>
              <w:pStyle w:val="ListBullet3"/>
            </w:pPr>
            <w:r w:rsidRPr="00A75025">
              <w:t>PSPETHC601B Maintain and enhance confidence in</w:t>
            </w:r>
            <w:r w:rsidRPr="00A75025">
              <w:t xml:space="preserve"> public service</w:t>
            </w:r>
          </w:p>
          <w:p w:rsidR="00000000" w:rsidRPr="00A75025" w:rsidP="00A75025">
            <w:pPr>
              <w:pStyle w:val="ListBullet3"/>
            </w:pPr>
            <w:r w:rsidRPr="00A75025">
              <w:t>PSPGOV602B Establish and maintain strategic networks</w:t>
            </w:r>
          </w:p>
          <w:p w:rsidR="00000000" w:rsidRPr="00A75025" w:rsidP="00A75025">
            <w:pPr>
              <w:pStyle w:val="ListBullet3"/>
            </w:pPr>
            <w:r w:rsidRPr="00A75025">
              <w:t>PSPLEGN601B Manage compliance with legislation in the public sector</w:t>
            </w:r>
          </w:p>
          <w:p w:rsidR="00000000" w:rsidRPr="00A75025" w:rsidP="00A75025">
            <w:pPr>
              <w:pStyle w:val="ListBullet3"/>
            </w:pPr>
            <w:r w:rsidRPr="00A75025">
              <w:t>PSPMNGT604B Manage change</w:t>
            </w:r>
          </w:p>
          <w:p w:rsidR="00000000" w:rsidRPr="00A75025" w:rsidP="00A75025">
            <w:pPr>
              <w:pStyle w:val="ListBullet3"/>
            </w:pPr>
            <w:r w:rsidRPr="00A75025">
              <w:t>PSPMNGT605B Manage diversity</w:t>
            </w:r>
          </w:p>
          <w:p w:rsidR="00000000" w:rsidRPr="00A75025" w:rsidP="00A75025">
            <w:pPr>
              <w:pStyle w:val="ListBullet3"/>
            </w:pPr>
            <w:r w:rsidRPr="00A75025">
              <w:t xml:space="preserve">PSPMNGT608B Manage risk </w:t>
            </w:r>
          </w:p>
          <w:p w:rsidR="00000000" w:rsidP="00A75025">
            <w:pPr>
              <w:pStyle w:val="ListBullet3"/>
              <w:rPr>
                <w:lang w:val="en-NZ"/>
              </w:rPr>
            </w:pPr>
            <w:r w:rsidRPr="00A75025">
              <w:t>PSPWPI601B Improve compliance through industry partnerships</w:t>
            </w:r>
          </w:p>
        </w:tc>
      </w:tr>
      <w:tr w:rsidTr="00363FD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5025">
            <w:pPr>
              <w:pStyle w:val="BodyText"/>
              <w:rPr>
                <w:lang w:val="en-NZ"/>
              </w:rPr>
            </w:pPr>
            <w:r w:rsidRPr="00A7502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A75025" w:rsidP="00A75025">
            <w:pPr>
              <w:pStyle w:val="BodyText"/>
            </w:pPr>
            <w:r w:rsidRPr="00A75025">
              <w:t>In addition to integrated demonstration of the elements and their related performance criteria, look for evidence that confirms:</w:t>
            </w:r>
          </w:p>
          <w:p w:rsidR="00000000" w:rsidRPr="00A75025" w:rsidP="00A75025">
            <w:pPr>
              <w:pStyle w:val="ListBullet2"/>
            </w:pPr>
            <w:r w:rsidRPr="00A75025">
              <w:t>the knowledge requirements of t</w:t>
            </w:r>
            <w:r w:rsidRPr="00A75025">
              <w:t xml:space="preserve">his unit </w:t>
            </w:r>
          </w:p>
          <w:p w:rsidR="00000000" w:rsidRPr="00A75025" w:rsidP="00A75025">
            <w:pPr>
              <w:pStyle w:val="ListBullet2"/>
            </w:pPr>
            <w:r w:rsidRPr="00A75025">
              <w:t>the skill requirements of this unit</w:t>
            </w:r>
          </w:p>
          <w:p w:rsidR="00000000" w:rsidRPr="00A75025" w:rsidP="00A75025">
            <w:pPr>
              <w:pStyle w:val="ListBullet2"/>
            </w:pPr>
            <w:r w:rsidRPr="00A75025">
              <w:t>application of the Employability Skills as they relate to this unit (see Employability Summaries in Qualifications Framework)</w:t>
            </w:r>
          </w:p>
          <w:p w:rsidR="00000000" w:rsidP="00A75025">
            <w:pPr>
              <w:pStyle w:val="ListBullet2"/>
              <w:rPr>
                <w:lang w:val="en-NZ"/>
              </w:rPr>
            </w:pPr>
            <w:r w:rsidRPr="00A75025">
              <w:t>management of emerging issues in a range of (3 or more) contexts (or occasions, over time)</w:t>
            </w:r>
          </w:p>
        </w:tc>
      </w:tr>
      <w:tr w:rsidTr="00363FD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5025">
            <w:pPr>
              <w:pStyle w:val="BodyText"/>
              <w:rPr>
                <w:lang w:val="en-NZ"/>
              </w:rPr>
            </w:pPr>
            <w:r w:rsidRPr="00A7502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A75025" w:rsidP="00A75025">
            <w:pPr>
              <w:pStyle w:val="BodyText"/>
            </w:pPr>
            <w:r w:rsidRPr="00A75025">
              <w:t>These resources include:</w:t>
            </w:r>
          </w:p>
          <w:p w:rsidR="00000000" w:rsidRPr="00A75025" w:rsidP="00A75025">
            <w:pPr>
              <w:pStyle w:val="ListBullet2"/>
            </w:pPr>
            <w:r w:rsidRPr="00A75025">
              <w:t>legislation, policy, procedures and protocols relating to workplace legislative compliance</w:t>
            </w:r>
          </w:p>
          <w:p w:rsidR="00000000" w:rsidP="00A75025">
            <w:pPr>
              <w:pStyle w:val="ListBullet2"/>
              <w:rPr>
                <w:lang w:val="en-NZ"/>
              </w:rPr>
            </w:pPr>
            <w:r w:rsidRPr="00A75025">
              <w:t>case</w:t>
            </w:r>
            <w:r w:rsidRPr="00A75025">
              <w:t xml:space="preserve"> studies and workplace scenarios to capture the range of situations likely to be encountered when managing emerging issues</w:t>
            </w:r>
          </w:p>
        </w:tc>
      </w:tr>
      <w:tr w:rsidTr="00363FD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5025">
            <w:pPr>
              <w:pStyle w:val="BodyText"/>
              <w:rPr>
                <w:lang w:val="en-NZ"/>
              </w:rPr>
            </w:pPr>
            <w:r w:rsidRPr="00A7502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A75025" w:rsidP="00A75025">
            <w:pPr>
              <w:pStyle w:val="BodyText"/>
            </w:pPr>
            <w:r w:rsidRPr="00A75025">
              <w:t xml:space="preserve">Valid assessment of this unit requires: </w:t>
            </w:r>
          </w:p>
          <w:p w:rsidR="00000000" w:rsidRPr="00A75025" w:rsidP="00A75025">
            <w:pPr>
              <w:pStyle w:val="ListBullet2"/>
            </w:pPr>
            <w:r w:rsidRPr="00A75025">
              <w:t>a workplace environment or one that closely resembles nor</w:t>
            </w:r>
            <w:r w:rsidRPr="00A75025">
              <w:t>mal work practice and replicates the range of conditions likely to be encountered when managing emerging issues, including coping with difficulties, irregularities and breakdowns in routine</w:t>
            </w:r>
          </w:p>
          <w:p w:rsidR="00000000" w:rsidRPr="00A75025" w:rsidP="00A75025">
            <w:pPr>
              <w:pStyle w:val="ListBullet2"/>
            </w:pPr>
            <w:r w:rsidRPr="00A75025">
              <w:t>management of emerging issues in a range of (3 or more) contexts (</w:t>
            </w:r>
            <w:r w:rsidRPr="00A75025">
              <w:t>or occasions, over time)</w:t>
            </w:r>
          </w:p>
          <w:p w:rsidR="00000000" w:rsidRPr="00A75025" w:rsidP="00A75025">
            <w:pPr>
              <w:pStyle w:val="BodyText"/>
            </w:pPr>
            <w:r w:rsidRPr="00A75025">
              <w:t>Assessment methods should reflect workplace demands, such as literacy, and the needs of particular groups, such as:</w:t>
            </w:r>
          </w:p>
          <w:p w:rsidR="00000000" w:rsidRPr="00A75025" w:rsidP="00A75025">
            <w:pPr>
              <w:pStyle w:val="ListBullet2"/>
            </w:pPr>
            <w:r w:rsidRPr="00A75025">
              <w:t>people with disabilities</w:t>
            </w:r>
          </w:p>
          <w:p w:rsidR="00000000" w:rsidRPr="00A75025" w:rsidP="00A75025">
            <w:pPr>
              <w:pStyle w:val="ListBullet2"/>
            </w:pPr>
            <w:r w:rsidRPr="00A75025">
              <w:t>people from culturally and linguistically diverse backgrounds</w:t>
            </w:r>
          </w:p>
          <w:p w:rsidR="00000000" w:rsidRPr="00A75025" w:rsidP="00A75025">
            <w:pPr>
              <w:pStyle w:val="ListBullet2"/>
            </w:pPr>
            <w:r w:rsidRPr="00A75025">
              <w:t>Aboriginal and Torres Strait Islander people</w:t>
            </w:r>
          </w:p>
          <w:p w:rsidR="00000000" w:rsidRPr="00A75025" w:rsidP="00A75025">
            <w:pPr>
              <w:pStyle w:val="ListBullet2"/>
            </w:pPr>
            <w:r w:rsidRPr="00A75025">
              <w:t>women</w:t>
            </w:r>
          </w:p>
          <w:p w:rsidR="00000000" w:rsidRPr="00A75025" w:rsidP="00A75025">
            <w:pPr>
              <w:pStyle w:val="ListBullet2"/>
            </w:pPr>
            <w:r w:rsidRPr="00A75025">
              <w:t>young people</w:t>
            </w:r>
          </w:p>
          <w:p w:rsidR="00000000" w:rsidRPr="00A75025" w:rsidP="00A75025">
            <w:pPr>
              <w:pStyle w:val="ListBullet2"/>
            </w:pPr>
            <w:r w:rsidRPr="00A75025">
              <w:t>older people</w:t>
            </w:r>
          </w:p>
          <w:p w:rsidR="00000000" w:rsidRPr="00A75025" w:rsidP="00A75025">
            <w:pPr>
              <w:pStyle w:val="ListBullet2"/>
            </w:pPr>
            <w:r w:rsidRPr="00A75025">
              <w:t>people in rural and remote locations</w:t>
            </w:r>
          </w:p>
          <w:p w:rsidR="00000000" w:rsidRPr="00A75025" w:rsidP="00A75025">
            <w:pPr>
              <w:pStyle w:val="BodyText"/>
            </w:pPr>
            <w:r w:rsidRPr="00A75025">
              <w:t>Assessment methods suitable for valid and reliable assessment of this competency may include, but are not limited to, a combination of 2 or mo</w:t>
            </w:r>
            <w:r w:rsidRPr="00A75025">
              <w:t xml:space="preserve">re of: </w:t>
            </w:r>
          </w:p>
          <w:p w:rsidR="00000000" w:rsidRPr="00A75025" w:rsidP="00A75025">
            <w:pPr>
              <w:pStyle w:val="ListBullet2"/>
            </w:pPr>
            <w:r w:rsidRPr="00A75025">
              <w:t>case studies</w:t>
            </w:r>
          </w:p>
          <w:p w:rsidR="00000000" w:rsidRPr="00A75025" w:rsidP="00A75025">
            <w:pPr>
              <w:pStyle w:val="ListBullet2"/>
            </w:pPr>
            <w:r w:rsidRPr="00A75025">
              <w:t xml:space="preserve">portfolios </w:t>
            </w:r>
          </w:p>
          <w:p w:rsidR="00000000" w:rsidRPr="00A75025" w:rsidP="00A75025">
            <w:pPr>
              <w:pStyle w:val="ListBullet2"/>
            </w:pPr>
            <w:r w:rsidRPr="00A75025">
              <w:t>projects</w:t>
            </w:r>
          </w:p>
          <w:p w:rsidR="00000000" w:rsidRPr="00A75025" w:rsidP="00A75025">
            <w:pPr>
              <w:pStyle w:val="ListBullet2"/>
            </w:pPr>
            <w:r w:rsidRPr="00A75025">
              <w:t>questioning</w:t>
            </w:r>
          </w:p>
          <w:p w:rsidR="00000000" w:rsidRPr="00A75025" w:rsidP="00A75025">
            <w:pPr>
              <w:pStyle w:val="ListBullet2"/>
            </w:pPr>
            <w:r w:rsidRPr="00A75025">
              <w:t>scenarios</w:t>
            </w:r>
          </w:p>
          <w:p w:rsidR="00000000" w:rsidRPr="00A75025" w:rsidP="00A75025">
            <w:pPr>
              <w:pStyle w:val="ListBullet2"/>
            </w:pPr>
            <w:r w:rsidRPr="00A75025">
              <w:t>simulation or role plays</w:t>
            </w:r>
          </w:p>
          <w:p w:rsidR="00000000" w:rsidP="00A75025">
            <w:pPr>
              <w:pStyle w:val="ListBullet2"/>
              <w:rPr>
                <w:lang w:val="en-NZ"/>
              </w:rPr>
            </w:pPr>
            <w:r w:rsidRPr="00A75025">
              <w:t>authenticated evidence from the workplace and/or training courses</w:t>
            </w:r>
          </w:p>
        </w:tc>
      </w:tr>
      <w:tr w:rsidTr="00363FD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5025">
            <w:pPr>
              <w:pStyle w:val="BodyText"/>
              <w:rPr>
                <w:lang w:val="en-NZ"/>
              </w:rPr>
            </w:pPr>
            <w:r w:rsidRPr="00A7502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A75025" w:rsidP="00A75025">
            <w:pPr>
              <w:pStyle w:val="BodyText"/>
            </w:pPr>
            <w:r w:rsidRPr="00A75025">
              <w:t>Evidence must be gathered over time i</w:t>
            </w:r>
            <w:r w:rsidRPr="00A75025">
              <w:t>n a range of contexts to ensure the person can achieve the unit outcome and apply the competency in different situations or environments</w:t>
            </w:r>
          </w:p>
        </w:tc>
      </w:tr>
    </w:tbl>
    <w:p w:rsidR="00000000" w:rsidRPr="00A75025" w:rsidP="00A75025">
      <w:pPr>
        <w:pStyle w:val="BodyText"/>
      </w:pPr>
    </w:p>
    <w:p w:rsidR="00000000" w:rsidRPr="00A75025" w:rsidP="00A75025">
      <w:pPr>
        <w:pStyle w:val="AllowPageBreak"/>
      </w:pPr>
    </w:p>
    <w:p w:rsidR="00000000" w:rsidRPr="00A75025" w:rsidP="00A75025">
      <w:pPr>
        <w:pStyle w:val="Heading1"/>
      </w:pPr>
      <w:bookmarkStart w:id="11" w:name="O_500167"/>
      <w:bookmarkEnd w:id="11"/>
      <w:r w:rsidRPr="00A75025">
        <w:t>Range Statement</w:t>
      </w:r>
    </w:p>
    <w:tbl>
      <w:tblPr>
        <w:tblW w:w="9322" w:type="dxa"/>
        <w:tblLayout w:type="fixed"/>
        <w:tblCellMar>
          <w:left w:w="62" w:type="dxa"/>
          <w:right w:w="62" w:type="dxa"/>
        </w:tblCellMar>
        <w:tblLook w:val="0000"/>
      </w:tblPr>
      <w:tblGrid>
        <w:gridCol w:w="2660"/>
        <w:gridCol w:w="6662"/>
      </w:tblGrid>
      <w:tr w:rsidTr="00363FD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75025">
            <w:pPr>
              <w:pStyle w:val="BodyText"/>
              <w:rPr>
                <w:lang w:val="en-NZ"/>
              </w:rPr>
            </w:pPr>
            <w:r w:rsidRPr="00A75025">
              <w:t>The Range Statement provides information about the context in which the unit of comp</w:t>
            </w:r>
            <w:r w:rsidRPr="00A75025">
              <w:t>etency is carried out. The variables cater for differences between States and Territories and the Commonwealth, and between organisations and workplaces. They allow for different work requirements, work practices and knowledge. The Range Statement also pro</w:t>
            </w:r>
            <w:r w:rsidRPr="00A75025">
              <w:t xml:space="preserve">vides a focus for assessment. It relates to the unit as a whole. Text in </w:t>
            </w:r>
            <w:r w:rsidRPr="00A75025">
              <w:rPr>
                <w:rStyle w:val="BoldandItalics"/>
              </w:rPr>
              <w:t xml:space="preserve">bold italics </w:t>
            </w:r>
            <w:r w:rsidRPr="00A75025">
              <w:t>in the Performance Criteria is explained here.</w:t>
            </w:r>
          </w:p>
        </w:tc>
      </w:tr>
      <w:tr w:rsidTr="00363FD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5025">
            <w:pPr>
              <w:pStyle w:val="BodyText"/>
              <w:rPr>
                <w:lang w:val="en-NZ"/>
              </w:rPr>
            </w:pPr>
            <w:r w:rsidRPr="00A75025">
              <w:rPr>
                <w:rStyle w:val="BoldandItalics"/>
              </w:rPr>
              <w:t xml:space="preserve">Environments </w:t>
            </w:r>
            <w:r w:rsidRPr="00A75025">
              <w:t>may include:</w:t>
            </w:r>
          </w:p>
        </w:tc>
        <w:tc>
          <w:tcPr>
            <w:tcW w:w="6662" w:type="dxa"/>
            <w:tcBorders>
              <w:top w:val="nil"/>
              <w:left w:val="nil"/>
              <w:bottom w:val="nil"/>
              <w:right w:val="nil"/>
            </w:tcBorders>
            <w:tcMar>
              <w:top w:w="0" w:type="dxa"/>
              <w:left w:w="62" w:type="dxa"/>
              <w:bottom w:w="0" w:type="dxa"/>
              <w:right w:w="62" w:type="dxa"/>
            </w:tcMar>
          </w:tcPr>
          <w:p w:rsidR="00000000" w:rsidRPr="00A75025" w:rsidP="00A75025">
            <w:pPr>
              <w:pStyle w:val="ListBullet2"/>
            </w:pPr>
            <w:r w:rsidRPr="00A75025">
              <w:t>industry</w:t>
            </w:r>
          </w:p>
          <w:p w:rsidR="00000000" w:rsidRPr="00A75025" w:rsidP="00A75025">
            <w:pPr>
              <w:pStyle w:val="ListBullet2"/>
            </w:pPr>
            <w:r w:rsidRPr="00A75025">
              <w:t>workplace</w:t>
            </w:r>
          </w:p>
          <w:p w:rsidR="00000000" w:rsidRPr="00A75025" w:rsidP="00A75025">
            <w:pPr>
              <w:pStyle w:val="ListBullet2"/>
            </w:pPr>
            <w:r w:rsidRPr="00A75025">
              <w:t>political</w:t>
            </w:r>
          </w:p>
          <w:p w:rsidR="00000000" w:rsidRPr="00A75025" w:rsidP="00A75025">
            <w:pPr>
              <w:pStyle w:val="ListBullet2"/>
            </w:pPr>
            <w:r w:rsidRPr="00A75025">
              <w:t>social</w:t>
            </w:r>
          </w:p>
          <w:p w:rsidR="00000000" w:rsidRPr="00A75025" w:rsidP="00A75025">
            <w:pPr>
              <w:pStyle w:val="ListBullet2"/>
            </w:pPr>
            <w:r w:rsidRPr="00A75025">
              <w:t>international</w:t>
            </w:r>
          </w:p>
          <w:p w:rsidR="00000000" w:rsidRPr="00A75025" w:rsidP="00A75025">
            <w:pPr>
              <w:pStyle w:val="ListBullet2"/>
            </w:pPr>
            <w:r w:rsidRPr="00A75025">
              <w:t>national</w:t>
            </w:r>
          </w:p>
          <w:p w:rsidR="00000000" w:rsidRPr="00A75025" w:rsidP="00A75025">
            <w:pPr>
              <w:pStyle w:val="ListBullet2"/>
            </w:pPr>
            <w:r w:rsidRPr="00A75025">
              <w:t>statewide</w:t>
            </w:r>
          </w:p>
          <w:p w:rsidR="00000000" w:rsidP="00A75025">
            <w:pPr>
              <w:pStyle w:val="ListBullet2"/>
              <w:rPr>
                <w:lang w:val="en-NZ"/>
              </w:rPr>
            </w:pPr>
            <w:r w:rsidRPr="00A75025">
              <w:t>community</w:t>
            </w:r>
          </w:p>
        </w:tc>
      </w:tr>
      <w:tr w:rsidTr="00363FD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5025">
            <w:pPr>
              <w:pStyle w:val="BodyText"/>
              <w:rPr>
                <w:lang w:val="en-NZ"/>
              </w:rPr>
            </w:pPr>
            <w:r w:rsidRPr="00A75025">
              <w:rPr>
                <w:rStyle w:val="BoldandItalics"/>
              </w:rPr>
              <w:t>Emerging issues</w:t>
            </w:r>
            <w:r w:rsidRPr="00A7502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75025" w:rsidP="00A75025">
            <w:pPr>
              <w:pStyle w:val="ListBullet2"/>
            </w:pPr>
            <w:r w:rsidRPr="00A75025">
              <w:t>changes in work practices</w:t>
            </w:r>
          </w:p>
          <w:p w:rsidR="00000000" w:rsidRPr="00A75025" w:rsidP="00A75025">
            <w:pPr>
              <w:pStyle w:val="ListBullet2"/>
            </w:pPr>
            <w:r w:rsidRPr="00A75025">
              <w:t>industry developments</w:t>
            </w:r>
          </w:p>
          <w:p w:rsidR="00000000" w:rsidRPr="00A75025" w:rsidP="00A75025">
            <w:pPr>
              <w:pStyle w:val="ListBullet2"/>
            </w:pPr>
            <w:r w:rsidRPr="00A75025">
              <w:t>changes in work hire arrangements</w:t>
            </w:r>
          </w:p>
          <w:p w:rsidR="00000000" w:rsidRPr="00A75025" w:rsidP="00A75025">
            <w:pPr>
              <w:pStyle w:val="ListBullet2"/>
            </w:pPr>
            <w:r w:rsidRPr="00A75025">
              <w:t>technological change</w:t>
            </w:r>
          </w:p>
          <w:p w:rsidR="00000000" w:rsidRPr="00A75025" w:rsidP="00A75025">
            <w:pPr>
              <w:pStyle w:val="ListBullet2"/>
            </w:pPr>
            <w:r w:rsidRPr="00A75025">
              <w:t>political imperatives</w:t>
            </w:r>
          </w:p>
          <w:p w:rsidR="00000000" w:rsidRPr="00A75025" w:rsidP="00A75025">
            <w:pPr>
              <w:pStyle w:val="ListBullet2"/>
            </w:pPr>
            <w:r w:rsidRPr="00A75025">
              <w:t>accident and incident data</w:t>
            </w:r>
          </w:p>
          <w:p w:rsidR="00000000" w:rsidRPr="00A75025" w:rsidP="00A75025">
            <w:pPr>
              <w:pStyle w:val="ListBullet2"/>
            </w:pPr>
            <w:r w:rsidRPr="00A75025">
              <w:t>community concerns</w:t>
            </w:r>
          </w:p>
          <w:p w:rsidR="00000000" w:rsidRPr="00A75025" w:rsidP="00A75025">
            <w:pPr>
              <w:pStyle w:val="ListBullet2"/>
            </w:pPr>
            <w:r w:rsidRPr="00A75025">
              <w:t>legislative changes</w:t>
            </w:r>
          </w:p>
          <w:p w:rsidR="00000000" w:rsidRPr="00A75025" w:rsidP="00A75025">
            <w:pPr>
              <w:pStyle w:val="ListBullet2"/>
            </w:pPr>
            <w:r w:rsidRPr="00A75025">
              <w:t>emergency incidents</w:t>
            </w:r>
          </w:p>
          <w:p w:rsidR="00000000" w:rsidP="00A75025">
            <w:pPr>
              <w:pStyle w:val="ListBullet2"/>
              <w:rPr>
                <w:lang w:val="en-NZ"/>
              </w:rPr>
            </w:pPr>
            <w:r w:rsidRPr="00A75025">
              <w:t>court rulings</w:t>
            </w:r>
          </w:p>
        </w:tc>
      </w:tr>
      <w:tr w:rsidTr="00363FD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5025">
            <w:pPr>
              <w:pStyle w:val="BodyText"/>
              <w:rPr>
                <w:lang w:val="en-NZ"/>
              </w:rPr>
            </w:pPr>
            <w:r w:rsidRPr="00A75025">
              <w:rPr>
                <w:rStyle w:val="BoldandItalics"/>
              </w:rPr>
              <w:t xml:space="preserve">Research </w:t>
            </w:r>
            <w:r w:rsidRPr="00A75025">
              <w:t>may include:</w:t>
            </w:r>
          </w:p>
        </w:tc>
        <w:tc>
          <w:tcPr>
            <w:tcW w:w="6662" w:type="dxa"/>
            <w:tcBorders>
              <w:top w:val="nil"/>
              <w:left w:val="nil"/>
              <w:bottom w:val="nil"/>
              <w:right w:val="nil"/>
            </w:tcBorders>
            <w:tcMar>
              <w:top w:w="0" w:type="dxa"/>
              <w:left w:w="62" w:type="dxa"/>
              <w:bottom w:w="0" w:type="dxa"/>
              <w:right w:w="62" w:type="dxa"/>
            </w:tcMar>
          </w:tcPr>
          <w:p w:rsidR="00000000" w:rsidRPr="00A75025" w:rsidP="00A75025">
            <w:pPr>
              <w:pStyle w:val="ListBullet2"/>
            </w:pPr>
            <w:r w:rsidRPr="00A75025">
              <w:t>methods</w:t>
            </w:r>
          </w:p>
          <w:p w:rsidR="00000000" w:rsidRPr="00A75025" w:rsidP="00A75025">
            <w:pPr>
              <w:pStyle w:val="ListBullet2"/>
            </w:pPr>
            <w:r w:rsidRPr="00A75025">
              <w:t>work practices</w:t>
            </w:r>
          </w:p>
          <w:p w:rsidR="00000000" w:rsidRPr="00A75025" w:rsidP="00A75025">
            <w:pPr>
              <w:pStyle w:val="ListBullet2"/>
            </w:pPr>
            <w:r w:rsidRPr="00A75025">
              <w:t>resources required</w:t>
            </w:r>
          </w:p>
          <w:p w:rsidR="00000000" w:rsidRPr="00A75025" w:rsidP="00A75025">
            <w:pPr>
              <w:pStyle w:val="ListBullet2"/>
            </w:pPr>
            <w:r w:rsidRPr="00A75025">
              <w:t>statistical analysis</w:t>
            </w:r>
          </w:p>
          <w:p w:rsidR="00000000" w:rsidRPr="00A75025" w:rsidP="00A75025">
            <w:pPr>
              <w:pStyle w:val="ListBullet2"/>
            </w:pPr>
            <w:r w:rsidRPr="00A75025">
              <w:t>industry networks</w:t>
            </w:r>
          </w:p>
          <w:p w:rsidR="00000000" w:rsidRPr="00A75025" w:rsidP="00A75025">
            <w:pPr>
              <w:pStyle w:val="ListBullet2"/>
            </w:pPr>
            <w:r w:rsidRPr="00A75025">
              <w:t>observations</w:t>
            </w:r>
          </w:p>
          <w:p w:rsidR="00000000" w:rsidRPr="00A75025" w:rsidP="00A75025">
            <w:pPr>
              <w:pStyle w:val="ListBullet2"/>
            </w:pPr>
            <w:r w:rsidRPr="00A75025">
              <w:t>operational experience</w:t>
            </w:r>
          </w:p>
          <w:p w:rsidR="00000000" w:rsidRPr="00A75025" w:rsidP="00A75025">
            <w:pPr>
              <w:pStyle w:val="ListBullet2"/>
            </w:pPr>
            <w:r w:rsidRPr="00A75025">
              <w:t>information exchange</w:t>
            </w:r>
          </w:p>
          <w:p w:rsidR="00000000" w:rsidP="00A75025">
            <w:pPr>
              <w:pStyle w:val="ListBullet2"/>
              <w:rPr>
                <w:lang w:val="en-NZ"/>
              </w:rPr>
            </w:pPr>
            <w:r w:rsidRPr="00A75025">
              <w:t>industry reference groups</w:t>
            </w:r>
          </w:p>
        </w:tc>
      </w:tr>
      <w:tr w:rsidTr="00363FD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5025">
            <w:pPr>
              <w:pStyle w:val="BodyText"/>
              <w:rPr>
                <w:lang w:val="en-NZ"/>
              </w:rPr>
            </w:pPr>
            <w:r w:rsidRPr="00A75025">
              <w:rPr>
                <w:rStyle w:val="BoldandItalics"/>
              </w:rPr>
              <w:t xml:space="preserve">Stakeholders </w:t>
            </w:r>
            <w:r w:rsidRPr="00A75025">
              <w:t>may include:</w:t>
            </w:r>
          </w:p>
        </w:tc>
        <w:tc>
          <w:tcPr>
            <w:tcW w:w="6662" w:type="dxa"/>
            <w:tcBorders>
              <w:top w:val="nil"/>
              <w:left w:val="nil"/>
              <w:bottom w:val="nil"/>
              <w:right w:val="nil"/>
            </w:tcBorders>
            <w:tcMar>
              <w:top w:w="0" w:type="dxa"/>
              <w:left w:w="62" w:type="dxa"/>
              <w:bottom w:w="0" w:type="dxa"/>
              <w:right w:w="62" w:type="dxa"/>
            </w:tcMar>
          </w:tcPr>
          <w:p w:rsidR="00000000" w:rsidRPr="00A75025" w:rsidP="00A75025">
            <w:pPr>
              <w:pStyle w:val="ListBullet2"/>
            </w:pPr>
            <w:r w:rsidRPr="00A75025">
              <w:t>community</w:t>
            </w:r>
          </w:p>
          <w:p w:rsidR="00000000" w:rsidRPr="00A75025" w:rsidP="00A75025">
            <w:pPr>
              <w:pStyle w:val="ListBullet2"/>
            </w:pPr>
            <w:r w:rsidRPr="00A75025">
              <w:t>the organisation's board</w:t>
            </w:r>
          </w:p>
          <w:p w:rsidR="00000000" w:rsidRPr="00A75025" w:rsidP="00A75025">
            <w:pPr>
              <w:pStyle w:val="ListBullet2"/>
            </w:pPr>
            <w:r w:rsidRPr="00A75025">
              <w:t>advisory council</w:t>
            </w:r>
          </w:p>
          <w:p w:rsidR="00000000" w:rsidRPr="00A75025" w:rsidP="00A75025">
            <w:pPr>
              <w:pStyle w:val="ListBullet2"/>
            </w:pPr>
            <w:r w:rsidRPr="00A75025">
              <w:t>government organisations</w:t>
            </w:r>
          </w:p>
          <w:p w:rsidR="00000000" w:rsidRPr="00A75025" w:rsidP="00A75025">
            <w:pPr>
              <w:pStyle w:val="ListBullet2"/>
            </w:pPr>
            <w:r w:rsidRPr="00A75025">
              <w:t>managers</w:t>
            </w:r>
          </w:p>
          <w:p w:rsidR="00000000" w:rsidRPr="00A75025" w:rsidP="00A75025">
            <w:pPr>
              <w:pStyle w:val="ListBullet2"/>
            </w:pPr>
            <w:r w:rsidRPr="00A75025">
              <w:t>politicians</w:t>
            </w:r>
          </w:p>
          <w:p w:rsidR="00000000" w:rsidRPr="00A75025" w:rsidP="00A75025">
            <w:pPr>
              <w:pStyle w:val="ListBullet2"/>
            </w:pPr>
            <w:r w:rsidRPr="00A75025">
              <w:t>union</w:t>
            </w:r>
          </w:p>
          <w:p w:rsidR="00000000" w:rsidRPr="00A75025" w:rsidP="00A75025">
            <w:pPr>
              <w:pStyle w:val="ListBullet2"/>
            </w:pPr>
            <w:r w:rsidRPr="00A75025">
              <w:t>Commissioner</w:t>
            </w:r>
          </w:p>
          <w:p w:rsidR="00000000" w:rsidRPr="00A75025" w:rsidP="00A75025">
            <w:pPr>
              <w:pStyle w:val="ListBullet2"/>
            </w:pPr>
            <w:r w:rsidRPr="00A75025">
              <w:t>Minister</w:t>
            </w:r>
          </w:p>
          <w:p w:rsidR="00000000" w:rsidRPr="00A75025" w:rsidP="00A75025">
            <w:pPr>
              <w:pStyle w:val="ListBullet2"/>
            </w:pPr>
            <w:r w:rsidRPr="00A75025">
              <w:t>employers</w:t>
            </w:r>
          </w:p>
          <w:p w:rsidR="00000000" w:rsidRPr="00A75025" w:rsidP="00A75025">
            <w:pPr>
              <w:pStyle w:val="ListBullet2"/>
            </w:pPr>
            <w:r w:rsidRPr="00A75025">
              <w:t>employees</w:t>
            </w:r>
          </w:p>
          <w:p w:rsidR="00000000" w:rsidRPr="00A75025" w:rsidP="00A75025">
            <w:pPr>
              <w:pStyle w:val="ListBullet2"/>
            </w:pPr>
            <w:r w:rsidRPr="00A75025">
              <w:t>designers</w:t>
            </w:r>
          </w:p>
          <w:p w:rsidR="00000000" w:rsidRPr="00A75025" w:rsidP="00A75025">
            <w:pPr>
              <w:pStyle w:val="ListBullet2"/>
            </w:pPr>
            <w:r w:rsidRPr="00A75025">
              <w:t>manufacturers</w:t>
            </w:r>
          </w:p>
          <w:p w:rsidR="00000000" w:rsidRPr="00A75025" w:rsidP="00A75025">
            <w:pPr>
              <w:pStyle w:val="ListBullet2"/>
            </w:pPr>
            <w:r w:rsidRPr="00A75025">
              <w:t>installers</w:t>
            </w:r>
          </w:p>
          <w:p w:rsidR="00000000" w:rsidRPr="00A75025" w:rsidP="00A75025">
            <w:pPr>
              <w:pStyle w:val="ListBullet2"/>
            </w:pPr>
            <w:r w:rsidRPr="00A75025">
              <w:t>suppliers</w:t>
            </w:r>
          </w:p>
          <w:p w:rsidR="00000000" w:rsidRPr="00A75025" w:rsidP="00A75025">
            <w:pPr>
              <w:pStyle w:val="ListBullet2"/>
            </w:pPr>
            <w:r w:rsidRPr="00A75025">
              <w:t>importers</w:t>
            </w:r>
          </w:p>
          <w:p w:rsidR="00000000" w:rsidP="00A75025">
            <w:pPr>
              <w:pStyle w:val="ListBullet2"/>
              <w:rPr>
                <w:lang w:val="en-NZ"/>
              </w:rPr>
            </w:pPr>
            <w:r w:rsidRPr="00A75025">
              <w:t>hirers</w:t>
            </w:r>
          </w:p>
        </w:tc>
      </w:tr>
      <w:tr w:rsidTr="00363FD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5025">
            <w:pPr>
              <w:pStyle w:val="BodyText"/>
              <w:rPr>
                <w:lang w:val="en-NZ"/>
              </w:rPr>
            </w:pPr>
            <w:r w:rsidRPr="00A75025">
              <w:rPr>
                <w:rStyle w:val="BoldandItalics"/>
              </w:rPr>
              <w:t>Response options</w:t>
            </w:r>
            <w:r w:rsidRPr="00A7502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75025" w:rsidP="00A75025">
            <w:pPr>
              <w:pStyle w:val="ListBullet2"/>
            </w:pPr>
            <w:r w:rsidRPr="00A75025">
              <w:t>educational activities</w:t>
            </w:r>
          </w:p>
          <w:p w:rsidR="00000000" w:rsidRPr="00A75025" w:rsidP="00A75025">
            <w:pPr>
              <w:pStyle w:val="ListBullet2"/>
            </w:pPr>
            <w:r w:rsidRPr="00A75025">
              <w:t>advice</w:t>
            </w:r>
          </w:p>
          <w:p w:rsidR="00000000" w:rsidRPr="00A75025" w:rsidP="00A75025">
            <w:pPr>
              <w:pStyle w:val="ListBullet2"/>
            </w:pPr>
            <w:r w:rsidRPr="00A75025">
              <w:t>enf</w:t>
            </w:r>
            <w:r w:rsidRPr="00A75025">
              <w:t>orcement activities</w:t>
            </w:r>
          </w:p>
          <w:p w:rsidR="00000000" w:rsidRPr="00A75025" w:rsidP="00A75025">
            <w:pPr>
              <w:pStyle w:val="ListBullet2"/>
            </w:pPr>
            <w:r w:rsidRPr="00A75025">
              <w:t>consultation</w:t>
            </w:r>
          </w:p>
          <w:p w:rsidR="00000000" w:rsidRPr="00A75025" w:rsidP="00A75025">
            <w:pPr>
              <w:pStyle w:val="ListBullet2"/>
            </w:pPr>
            <w:r w:rsidRPr="00A75025">
              <w:t>targeted compliance campaigns</w:t>
            </w:r>
          </w:p>
          <w:p w:rsidR="00000000" w:rsidRPr="00A75025" w:rsidP="00A75025">
            <w:pPr>
              <w:pStyle w:val="ListBullet2"/>
            </w:pPr>
            <w:r w:rsidRPr="00A75025">
              <w:t>community awareness program</w:t>
            </w:r>
          </w:p>
          <w:p w:rsidR="00000000" w:rsidRPr="00A75025" w:rsidP="00A75025">
            <w:pPr>
              <w:pStyle w:val="ListBullet2"/>
            </w:pPr>
            <w:r w:rsidRPr="00A75025">
              <w:t>media release/campaign</w:t>
            </w:r>
          </w:p>
          <w:p w:rsidR="00000000" w:rsidRPr="00A75025" w:rsidP="00A75025">
            <w:pPr>
              <w:pStyle w:val="ListBullet2"/>
            </w:pPr>
            <w:r w:rsidRPr="00A75025">
              <w:t>development and/or distribution of publications</w:t>
            </w:r>
          </w:p>
          <w:p w:rsidR="00000000" w:rsidRPr="00A75025" w:rsidP="00A75025">
            <w:pPr>
              <w:pStyle w:val="ListBullet2"/>
            </w:pPr>
            <w:r w:rsidRPr="00A75025">
              <w:t>recommend legislative changes</w:t>
            </w:r>
          </w:p>
          <w:p w:rsidR="00000000" w:rsidRPr="00A75025" w:rsidP="00A75025">
            <w:pPr>
              <w:pStyle w:val="ListBullet2"/>
            </w:pPr>
            <w:r w:rsidRPr="00A75025">
              <w:t>commissioned research</w:t>
            </w:r>
          </w:p>
          <w:p w:rsidR="00000000" w:rsidRPr="00A75025" w:rsidP="00A75025">
            <w:pPr>
              <w:pStyle w:val="ListBullet2"/>
            </w:pPr>
            <w:r w:rsidRPr="00A75025">
              <w:t>political</w:t>
            </w:r>
          </w:p>
          <w:p w:rsidR="00000000" w:rsidP="00A75025">
            <w:pPr>
              <w:pStyle w:val="ListBullet2"/>
              <w:rPr>
                <w:lang w:val="en-NZ"/>
              </w:rPr>
            </w:pPr>
            <w:r w:rsidRPr="00A75025">
              <w:t>information technology</w:t>
            </w:r>
          </w:p>
        </w:tc>
      </w:tr>
      <w:tr w:rsidTr="00363FD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75025">
            <w:pPr>
              <w:pStyle w:val="BodyText"/>
              <w:rPr>
                <w:lang w:val="en-NZ"/>
              </w:rPr>
            </w:pPr>
            <w:r w:rsidRPr="00A75025">
              <w:rPr>
                <w:rStyle w:val="BoldandItalics"/>
              </w:rPr>
              <w:t>Evaluation plan</w:t>
            </w:r>
            <w:r w:rsidRPr="00A7502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75025" w:rsidP="00A75025">
            <w:pPr>
              <w:pStyle w:val="ListBullet2"/>
            </w:pPr>
            <w:r w:rsidRPr="00A75025">
              <w:t>validity and reliability of performance measures and evaluation process</w:t>
            </w:r>
          </w:p>
          <w:p w:rsidR="00000000" w:rsidRPr="00A75025" w:rsidP="00A75025">
            <w:pPr>
              <w:pStyle w:val="ListBullet2"/>
            </w:pPr>
            <w:r w:rsidRPr="00A75025">
              <w:t>resources</w:t>
            </w:r>
          </w:p>
          <w:p w:rsidR="00000000" w:rsidRPr="00A75025" w:rsidP="00A75025">
            <w:pPr>
              <w:pStyle w:val="ListBullet2"/>
            </w:pPr>
            <w:r w:rsidRPr="00A75025">
              <w:t>data collection</w:t>
            </w:r>
          </w:p>
          <w:p w:rsidR="00000000" w:rsidRPr="00A75025" w:rsidP="00A75025">
            <w:pPr>
              <w:pStyle w:val="ListBullet2"/>
            </w:pPr>
            <w:r w:rsidRPr="00A75025">
              <w:t>reporting mechanisms</w:t>
            </w:r>
          </w:p>
        </w:tc>
      </w:tr>
    </w:tbl>
    <w:p w:rsidR="00363FDA" w:rsidP="00A75025">
      <w:pPr>
        <w:pStyle w:val="BodyText"/>
      </w:pPr>
    </w:p>
    <w:p w:rsidR="00363FDA" w:rsidP="00A75025">
      <w:pPr>
        <w:pStyle w:val="BodyText"/>
      </w:pPr>
    </w:p>
    <w:p w:rsidR="00000000" w:rsidRPr="00A75025" w:rsidP="00A75025">
      <w:pPr>
        <w:pStyle w:val="Heading1"/>
      </w:pPr>
      <w:bookmarkStart w:id="12" w:name="O_500163"/>
      <w:bookmarkEnd w:id="12"/>
      <w:r w:rsidRPr="00A75025">
        <w:t>Unit Sector(s)</w:t>
      </w:r>
    </w:p>
    <w:p w:rsidR="00000000" w:rsidRPr="00A75025" w:rsidP="00A75025">
      <w:pPr>
        <w:pStyle w:val="BodyText"/>
      </w:pPr>
      <w:r w:rsidRPr="00A75025">
        <w:t>Not applicable.</w:t>
      </w:r>
    </w:p>
    <w:p w:rsidR="00000000" w:rsidRPr="00A75025" w:rsidP="00A75025">
      <w:pPr>
        <w:pStyle w:val="AllowPageBreak"/>
      </w:pPr>
    </w:p>
    <w:p w:rsidR="00000000" w:rsidRPr="00A75025" w:rsidP="00A75025">
      <w:pPr>
        <w:pStyle w:val="Heading1"/>
      </w:pPr>
      <w:bookmarkStart w:id="13" w:name="O_500175"/>
      <w:bookmarkEnd w:id="13"/>
      <w:r w:rsidRPr="00A75025">
        <w:t>Competency field</w:t>
      </w:r>
    </w:p>
    <w:p w:rsidR="00000000" w:rsidRPr="00A75025" w:rsidP="00A75025">
      <w:pPr>
        <w:pStyle w:val="BodyText"/>
      </w:pPr>
      <w:r w:rsidRPr="00A75025">
        <w:t>Workplace Inspection.</w:t>
      </w:r>
    </w:p>
    <w:p w:rsidR="00000000" w:rsidRPr="00A75025" w:rsidP="00A75025"/>
    <w:sectPr w:rsidSect="00A750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0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FDA" w:rsidP="00363F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0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FDA" w:rsidP="00A750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3FDA" w:rsidP="00A750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63FDA" w:rsidP="00A750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0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025" w:rsidRPr="00363FDA" w:rsidP="00363F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0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FDA" w:rsidRPr="002D2AF8" w:rsidP="00A75025">
    <w:pPr>
      <w:pStyle w:val="Header"/>
      <w:framePr w:wrap="around"/>
    </w:pPr>
    <w:r>
      <w:fldChar w:fldCharType="begin"/>
    </w:r>
    <w:r>
      <w:instrText xml:space="preserve"> TITLE   \* MERGEFORMAT </w:instrText>
    </w:r>
    <w:r>
      <w:fldChar w:fldCharType="separate"/>
    </w:r>
    <w:r>
      <w:t>PSPWPI603B Manage emerging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63FDA" w:rsidP="00A750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D8E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E7CE2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0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025"/>
    <w:pPr>
      <w:spacing w:before="360" w:after="60"/>
      <w:outlineLvl w:val="0"/>
    </w:pPr>
    <w:rPr>
      <w:sz w:val="32"/>
    </w:rPr>
  </w:style>
  <w:style w:type="paragraph" w:styleId="Heading2">
    <w:name w:val="heading 2"/>
    <w:basedOn w:val="HeadingBase"/>
    <w:next w:val="BodyText"/>
    <w:link w:val="Heading2Char"/>
    <w:qFormat/>
    <w:rsid w:val="00A75025"/>
    <w:pPr>
      <w:keepLines/>
      <w:spacing w:before="240" w:after="120"/>
      <w:outlineLvl w:val="1"/>
    </w:pPr>
    <w:rPr>
      <w:sz w:val="28"/>
      <w:szCs w:val="40"/>
    </w:rPr>
  </w:style>
  <w:style w:type="paragraph" w:styleId="Heading3">
    <w:name w:val="heading 3"/>
    <w:basedOn w:val="HeadingBase"/>
    <w:next w:val="BodyText"/>
    <w:link w:val="Heading3Char"/>
    <w:qFormat/>
    <w:rsid w:val="00A75025"/>
    <w:pPr>
      <w:spacing w:before="180" w:after="120"/>
      <w:outlineLvl w:val="2"/>
    </w:pPr>
    <w:rPr>
      <w:spacing w:val="-10"/>
      <w:kern w:val="32"/>
    </w:rPr>
  </w:style>
  <w:style w:type="paragraph" w:styleId="Heading4">
    <w:name w:val="heading 4"/>
    <w:basedOn w:val="HeadingBase"/>
    <w:next w:val="BodyText"/>
    <w:link w:val="Heading4Char"/>
    <w:qFormat/>
    <w:rsid w:val="00A75025"/>
    <w:pPr>
      <w:spacing w:before="160" w:after="120"/>
      <w:outlineLvl w:val="3"/>
    </w:pPr>
    <w:rPr>
      <w:sz w:val="22"/>
    </w:rPr>
  </w:style>
  <w:style w:type="paragraph" w:styleId="Heading5">
    <w:name w:val="heading 5"/>
    <w:basedOn w:val="HeadingBase"/>
    <w:next w:val="Normal"/>
    <w:link w:val="Heading5Char"/>
    <w:qFormat/>
    <w:rsid w:val="00A75025"/>
    <w:pPr>
      <w:spacing w:before="80"/>
      <w:outlineLvl w:val="4"/>
    </w:pPr>
    <w:rPr>
      <w:color w:val="918585"/>
      <w:sz w:val="20"/>
    </w:rPr>
  </w:style>
  <w:style w:type="paragraph" w:styleId="Heading6">
    <w:name w:val="heading 6"/>
    <w:basedOn w:val="HeadingBase"/>
    <w:next w:val="Normal"/>
    <w:link w:val="Heading6Char"/>
    <w:qFormat/>
    <w:rsid w:val="00A75025"/>
    <w:pPr>
      <w:spacing w:before="60"/>
      <w:outlineLvl w:val="5"/>
    </w:pPr>
    <w:rPr>
      <w:color w:val="918585"/>
      <w:sz w:val="20"/>
    </w:rPr>
  </w:style>
  <w:style w:type="paragraph" w:styleId="Heading7">
    <w:name w:val="heading 7"/>
    <w:basedOn w:val="Normal"/>
    <w:next w:val="Normal"/>
    <w:link w:val="Heading7Char"/>
    <w:qFormat/>
    <w:rsid w:val="00A75025"/>
    <w:pPr>
      <w:ind w:left="720"/>
      <w:outlineLvl w:val="6"/>
    </w:pPr>
    <w:rPr>
      <w:i/>
    </w:rPr>
  </w:style>
  <w:style w:type="paragraph" w:styleId="Heading8">
    <w:name w:val="heading 8"/>
    <w:basedOn w:val="Normal"/>
    <w:next w:val="Normal"/>
    <w:link w:val="Heading8Char"/>
    <w:qFormat/>
    <w:rsid w:val="00A75025"/>
    <w:pPr>
      <w:ind w:left="720"/>
      <w:outlineLvl w:val="7"/>
    </w:pPr>
    <w:rPr>
      <w:i/>
    </w:rPr>
  </w:style>
  <w:style w:type="paragraph" w:styleId="Heading9">
    <w:name w:val="heading 9"/>
    <w:basedOn w:val="Normal"/>
    <w:next w:val="Normal"/>
    <w:link w:val="Heading9Char"/>
    <w:qFormat/>
    <w:rsid w:val="00A75025"/>
    <w:pPr>
      <w:ind w:left="720"/>
      <w:outlineLvl w:val="8"/>
    </w:pPr>
    <w:rPr>
      <w:i/>
    </w:rPr>
  </w:style>
  <w:style w:type="character" w:default="1" w:styleId="DefaultParagraphFont">
    <w:name w:val="Default Paragraph Font"/>
    <w:uiPriority w:val="1"/>
    <w:unhideWhenUsed/>
    <w:rsid w:val="00A750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025"/>
  </w:style>
  <w:style w:type="character" w:customStyle="1" w:styleId="Heading1Char">
    <w:name w:val="Heading 1 Char"/>
    <w:basedOn w:val="DefaultParagraphFont"/>
    <w:link w:val="Heading1"/>
    <w:rsid w:val="00A75025"/>
    <w:rPr>
      <w:rFonts w:ascii="Times New Roman" w:eastAsia="Times New Roman" w:hAnsi="Times New Roman" w:cs="Times New Roman"/>
      <w:b/>
      <w:sz w:val="32"/>
      <w:szCs w:val="20"/>
      <w:lang w:eastAsia="en-US"/>
    </w:rPr>
  </w:style>
  <w:style w:type="paragraph" w:styleId="BodyText">
    <w:name w:val="Body Text"/>
    <w:basedOn w:val="Normal"/>
    <w:link w:val="BodyTextChar"/>
    <w:rsid w:val="00A750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5025"/>
    <w:rPr>
      <w:rFonts w:ascii="Times New Roman" w:eastAsia="Times New Roman" w:hAnsi="Times New Roman" w:cs="Times New Roman"/>
      <w:sz w:val="24"/>
      <w:lang w:eastAsia="en-US"/>
    </w:rPr>
  </w:style>
  <w:style w:type="paragraph" w:styleId="Footer">
    <w:name w:val="footer"/>
    <w:basedOn w:val="Normal"/>
    <w:link w:val="FooterChar"/>
    <w:rsid w:val="00A750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025"/>
    <w:rPr>
      <w:rFonts w:ascii="Times New Roman" w:eastAsia="Times New Roman" w:hAnsi="Times New Roman" w:cs="Times New Roman"/>
      <w:sz w:val="16"/>
      <w:lang w:eastAsia="en-US"/>
    </w:rPr>
  </w:style>
  <w:style w:type="paragraph" w:styleId="List">
    <w:name w:val="List"/>
    <w:basedOn w:val="BodyText"/>
    <w:next w:val="BodyText"/>
    <w:rsid w:val="00A75025"/>
    <w:pPr>
      <w:tabs>
        <w:tab w:val="left" w:pos="340"/>
      </w:tabs>
      <w:spacing w:before="60" w:after="60"/>
      <w:ind w:left="340" w:hanging="340"/>
    </w:pPr>
  </w:style>
  <w:style w:type="character" w:customStyle="1" w:styleId="SpecialBold">
    <w:name w:val="Special Bold"/>
    <w:basedOn w:val="DefaultParagraphFont"/>
    <w:rsid w:val="00A75025"/>
    <w:rPr>
      <w:b/>
      <w:spacing w:val="0"/>
    </w:rPr>
  </w:style>
  <w:style w:type="paragraph" w:styleId="ListBullet2">
    <w:name w:val="List Bullet 2"/>
    <w:basedOn w:val="List2"/>
    <w:rsid w:val="00A75025"/>
    <w:pPr>
      <w:numPr>
        <w:numId w:val="14"/>
      </w:numPr>
      <w:tabs>
        <w:tab w:val="clear" w:pos="680"/>
      </w:tabs>
    </w:pPr>
  </w:style>
  <w:style w:type="character" w:styleId="Emphasis">
    <w:name w:val="Emphasis"/>
    <w:basedOn w:val="DefaultParagraphFont"/>
    <w:qFormat/>
    <w:rsid w:val="00A75025"/>
    <w:rPr>
      <w:i/>
    </w:rPr>
  </w:style>
  <w:style w:type="paragraph" w:customStyle="1" w:styleId="SuperHeading">
    <w:name w:val="SuperHeading"/>
    <w:basedOn w:val="Normal"/>
    <w:rsid w:val="00A75025"/>
    <w:pPr>
      <w:spacing w:before="240" w:after="120"/>
      <w:outlineLvl w:val="0"/>
    </w:pPr>
    <w:rPr>
      <w:rFonts w:ascii="Times New Roman" w:hAnsi="Times New Roman"/>
      <w:b/>
      <w:sz w:val="28"/>
    </w:rPr>
  </w:style>
  <w:style w:type="paragraph" w:customStyle="1" w:styleId="AllowPageBreak">
    <w:name w:val="AllowPageBreak"/>
    <w:rsid w:val="00A750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5025"/>
    <w:pPr>
      <w:numPr>
        <w:numId w:val="2"/>
      </w:numPr>
      <w:tabs>
        <w:tab w:val="clear" w:pos="1021"/>
      </w:tabs>
      <w:ind w:left="1037" w:hanging="357"/>
    </w:pPr>
  </w:style>
  <w:style w:type="character" w:customStyle="1" w:styleId="BoldandItalics">
    <w:name w:val="Bold and Italics"/>
    <w:qFormat/>
    <w:rsid w:val="00A75025"/>
    <w:rPr>
      <w:b/>
      <w:i/>
      <w:u w:val="none"/>
    </w:rPr>
  </w:style>
  <w:style w:type="character" w:customStyle="1" w:styleId="Heading2Char">
    <w:name w:val="Heading 2 Char"/>
    <w:basedOn w:val="DefaultParagraphFont"/>
    <w:link w:val="Heading2"/>
    <w:rsid w:val="00A750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0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0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0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0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0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0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025"/>
    <w:rPr>
      <w:rFonts w:ascii="Courier New" w:eastAsia="Times New Roman" w:hAnsi="Courier New" w:cs="Times New Roman"/>
      <w:i/>
      <w:szCs w:val="20"/>
      <w:lang w:eastAsia="en-US"/>
    </w:rPr>
  </w:style>
  <w:style w:type="paragraph" w:customStyle="1" w:styleId="HeadingBase">
    <w:name w:val="Heading Base"/>
    <w:rsid w:val="00A750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025"/>
    <w:pPr>
      <w:tabs>
        <w:tab w:val="right" w:leader="dot" w:pos="9072"/>
      </w:tabs>
      <w:ind w:left="567"/>
    </w:pPr>
    <w:rPr>
      <w:szCs w:val="22"/>
    </w:rPr>
  </w:style>
  <w:style w:type="paragraph" w:customStyle="1" w:styleId="TOCBase">
    <w:name w:val="TOC Base"/>
    <w:rsid w:val="00A750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025"/>
    <w:pPr>
      <w:tabs>
        <w:tab w:val="right" w:leader="dot" w:pos="9072"/>
      </w:tabs>
      <w:spacing w:before="40" w:after="40"/>
      <w:ind w:left="284"/>
    </w:pPr>
    <w:rPr>
      <w:rFonts w:ascii="Times New Roman" w:hAnsi="Times New Roman"/>
    </w:rPr>
  </w:style>
  <w:style w:type="paragraph" w:styleId="TOC1">
    <w:name w:val="toc 1"/>
    <w:basedOn w:val="TOCBase"/>
    <w:next w:val="Normal"/>
    <w:rsid w:val="00A750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5025"/>
    <w:pPr>
      <w:spacing w:before="5040"/>
      <w:jc w:val="center"/>
    </w:pPr>
    <w:rPr>
      <w:sz w:val="48"/>
      <w:szCs w:val="72"/>
      <w:lang w:val="en-US"/>
    </w:rPr>
  </w:style>
  <w:style w:type="character" w:customStyle="1" w:styleId="TitleChar">
    <w:name w:val="Title Char"/>
    <w:basedOn w:val="DefaultParagraphFont"/>
    <w:link w:val="Title"/>
    <w:rsid w:val="00A750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025"/>
    <w:pPr>
      <w:tabs>
        <w:tab w:val="left" w:pos="3600"/>
        <w:tab w:val="left" w:pos="3958"/>
      </w:tabs>
    </w:pPr>
  </w:style>
  <w:style w:type="paragraph" w:styleId="ListBullet">
    <w:name w:val="List Bullet"/>
    <w:basedOn w:val="List"/>
    <w:rsid w:val="00A75025"/>
    <w:pPr>
      <w:numPr>
        <w:numId w:val="13"/>
      </w:numPr>
      <w:tabs>
        <w:tab w:val="clear" w:pos="340"/>
      </w:tabs>
      <w:spacing w:before="40" w:after="40"/>
    </w:pPr>
  </w:style>
  <w:style w:type="paragraph" w:customStyle="1" w:styleId="Note">
    <w:name w:val="Note"/>
    <w:basedOn w:val="BodyText"/>
    <w:rsid w:val="00A750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025"/>
    <w:pPr>
      <w:framePr w:wrap="auto" w:hAnchor="text" w:y="6049"/>
    </w:pPr>
    <w:rPr>
      <w:color w:val="000000"/>
      <w:sz w:val="40"/>
    </w:rPr>
  </w:style>
  <w:style w:type="paragraph" w:customStyle="1" w:styleId="TOCTitle">
    <w:name w:val="TOCTitle"/>
    <w:basedOn w:val="Heading1"/>
    <w:rsid w:val="00A75025"/>
    <w:pPr>
      <w:spacing w:after="240"/>
      <w:jc w:val="center"/>
      <w:outlineLvl w:val="9"/>
    </w:pPr>
    <w:rPr>
      <w:caps/>
    </w:rPr>
  </w:style>
  <w:style w:type="paragraph" w:customStyle="1" w:styleId="Version">
    <w:name w:val="Version"/>
    <w:rsid w:val="00A750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5025"/>
    <w:pPr>
      <w:keepNext w:val="0"/>
      <w:tabs>
        <w:tab w:val="right" w:pos="4176"/>
      </w:tabs>
      <w:ind w:left="198" w:hanging="198"/>
    </w:pPr>
    <w:rPr>
      <w:rFonts w:ascii="Garamond" w:hAnsi="Garamond"/>
    </w:rPr>
  </w:style>
  <w:style w:type="paragraph" w:styleId="IndexHeading">
    <w:name w:val="index heading"/>
    <w:basedOn w:val="Normal"/>
    <w:next w:val="Index1"/>
    <w:semiHidden/>
    <w:rsid w:val="00A75025"/>
    <w:pPr>
      <w:spacing w:before="120" w:after="120"/>
    </w:pPr>
    <w:rPr>
      <w:rFonts w:ascii="Arial" w:hAnsi="Arial"/>
      <w:b/>
      <w:color w:val="918585"/>
      <w:sz w:val="24"/>
    </w:rPr>
  </w:style>
  <w:style w:type="paragraph" w:styleId="Header">
    <w:name w:val="header"/>
    <w:basedOn w:val="Normal"/>
    <w:link w:val="HeaderChar"/>
    <w:rsid w:val="00A750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025"/>
    <w:rPr>
      <w:rFonts w:ascii="Times New Roman" w:eastAsia="Times New Roman" w:hAnsi="Times New Roman" w:cs="Times New Roman"/>
      <w:sz w:val="16"/>
      <w:szCs w:val="20"/>
      <w:lang w:val="en-GB" w:eastAsia="en-US"/>
    </w:rPr>
  </w:style>
  <w:style w:type="paragraph" w:customStyle="1" w:styleId="Chapter">
    <w:name w:val="Chapter"/>
    <w:basedOn w:val="Normal"/>
    <w:rsid w:val="00A75025"/>
    <w:pPr>
      <w:spacing w:before="240"/>
    </w:pPr>
    <w:rPr>
      <w:rFonts w:ascii="Times New Roman" w:hAnsi="Times New Roman"/>
      <w:smallCaps/>
      <w:spacing w:val="80"/>
      <w:sz w:val="28"/>
    </w:rPr>
  </w:style>
  <w:style w:type="paragraph" w:customStyle="1" w:styleId="InChapter">
    <w:name w:val="InChapter"/>
    <w:basedOn w:val="Heading3"/>
    <w:rsid w:val="00A75025"/>
    <w:pPr>
      <w:spacing w:after="240"/>
      <w:outlineLvl w:val="9"/>
    </w:pPr>
    <w:rPr>
      <w:noProof/>
    </w:rPr>
  </w:style>
  <w:style w:type="paragraph" w:styleId="Index2">
    <w:name w:val="index 2"/>
    <w:basedOn w:val="Normal"/>
    <w:next w:val="Normal"/>
    <w:semiHidden/>
    <w:rsid w:val="00A75025"/>
    <w:pPr>
      <w:tabs>
        <w:tab w:val="right" w:pos="4176"/>
      </w:tabs>
      <w:ind w:left="568" w:hanging="284"/>
    </w:pPr>
    <w:rPr>
      <w:rFonts w:ascii="Garamond" w:hAnsi="Garamond"/>
    </w:rPr>
  </w:style>
  <w:style w:type="paragraph" w:customStyle="1" w:styleId="Byline">
    <w:name w:val="Byline"/>
    <w:rsid w:val="00A750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025"/>
    <w:pPr>
      <w:tabs>
        <w:tab w:val="clear" w:pos="3600"/>
        <w:tab w:val="clear" w:pos="3958"/>
      </w:tabs>
      <w:jc w:val="right"/>
    </w:pPr>
  </w:style>
  <w:style w:type="paragraph" w:styleId="Caption">
    <w:name w:val="caption"/>
    <w:basedOn w:val="BodyText"/>
    <w:next w:val="Normal"/>
    <w:qFormat/>
    <w:rsid w:val="00A75025"/>
    <w:pPr>
      <w:framePr w:w="2268" w:hSpace="181" w:vSpace="181" w:wrap="around" w:vAnchor="text" w:hAnchor="page" w:x="1135" w:y="285" w:anchorLock="1"/>
    </w:pPr>
    <w:rPr>
      <w:i/>
    </w:rPr>
  </w:style>
  <w:style w:type="paragraph" w:customStyle="1" w:styleId="MiniTOCTitle">
    <w:name w:val="MiniTOCTitle"/>
    <w:basedOn w:val="Heading4"/>
    <w:rsid w:val="00A75025"/>
    <w:pPr>
      <w:spacing w:before="240"/>
      <w:outlineLvl w:val="9"/>
    </w:pPr>
    <w:rPr>
      <w:noProof/>
      <w:sz w:val="24"/>
    </w:rPr>
  </w:style>
  <w:style w:type="paragraph" w:customStyle="1" w:styleId="MiniTOCItem">
    <w:name w:val="MiniTOCItem"/>
    <w:basedOn w:val="ListBullet"/>
    <w:rsid w:val="00A75025"/>
    <w:pPr>
      <w:numPr>
        <w:numId w:val="0"/>
      </w:numPr>
      <w:tabs>
        <w:tab w:val="right" w:leader="dot" w:pos="6521"/>
      </w:tabs>
      <w:spacing w:before="0" w:after="0"/>
    </w:pPr>
  </w:style>
  <w:style w:type="paragraph" w:customStyle="1" w:styleId="TOFTitle">
    <w:name w:val="TOFTitle"/>
    <w:basedOn w:val="TOCTitle"/>
    <w:rsid w:val="00A75025"/>
  </w:style>
  <w:style w:type="paragraph" w:styleId="TableofFigures">
    <w:name w:val="table of figures"/>
    <w:basedOn w:val="Normal"/>
    <w:next w:val="Normal"/>
    <w:semiHidden/>
    <w:rsid w:val="00A75025"/>
    <w:pPr>
      <w:tabs>
        <w:tab w:val="right" w:leader="dot" w:pos="9072"/>
      </w:tabs>
      <w:ind w:left="970" w:hanging="403"/>
    </w:pPr>
    <w:rPr>
      <w:rFonts w:ascii="Times New Roman" w:hAnsi="Times New Roman"/>
      <w:b/>
    </w:rPr>
  </w:style>
  <w:style w:type="paragraph" w:styleId="ListNumber">
    <w:name w:val="List Number"/>
    <w:basedOn w:val="List"/>
    <w:rsid w:val="00A75025"/>
    <w:pPr>
      <w:numPr>
        <w:numId w:val="11"/>
      </w:numPr>
    </w:pPr>
  </w:style>
  <w:style w:type="character" w:customStyle="1" w:styleId="WingdingSymbols">
    <w:name w:val="Wingding Symbols"/>
    <w:rsid w:val="00A75025"/>
    <w:rPr>
      <w:rFonts w:ascii="Wingdings" w:hAnsi="Wingdings"/>
    </w:rPr>
  </w:style>
  <w:style w:type="paragraph" w:customStyle="1" w:styleId="TableHeading">
    <w:name w:val="Table Heading"/>
    <w:basedOn w:val="HeadingBase"/>
    <w:rsid w:val="00A75025"/>
    <w:pPr>
      <w:keepLines/>
      <w:pBdr>
        <w:bottom w:val="single" w:sz="6" w:space="1" w:color="918585"/>
      </w:pBdr>
      <w:spacing w:before="240"/>
    </w:pPr>
  </w:style>
  <w:style w:type="character" w:customStyle="1" w:styleId="HotSpot">
    <w:name w:val="HotSpot"/>
    <w:rsid w:val="00A75025"/>
    <w:rPr>
      <w:color w:val="0033CC"/>
      <w:u w:val="none"/>
    </w:rPr>
  </w:style>
  <w:style w:type="paragraph" w:customStyle="1" w:styleId="BodyTextRight">
    <w:name w:val="Body Text Right"/>
    <w:basedOn w:val="BodyText"/>
    <w:rsid w:val="00A75025"/>
    <w:pPr>
      <w:spacing w:before="0" w:after="0"/>
      <w:jc w:val="right"/>
    </w:pPr>
  </w:style>
  <w:style w:type="paragraph" w:styleId="Index3">
    <w:name w:val="index 3"/>
    <w:basedOn w:val="ListNumber2"/>
    <w:next w:val="Normal"/>
    <w:semiHidden/>
    <w:rsid w:val="00A75025"/>
    <w:pPr>
      <w:numPr>
        <w:numId w:val="0"/>
      </w:numPr>
      <w:tabs>
        <w:tab w:val="right" w:leader="dot" w:pos="4176"/>
      </w:tabs>
    </w:pPr>
  </w:style>
  <w:style w:type="paragraph" w:styleId="ListNumber2">
    <w:name w:val="List Number 2"/>
    <w:basedOn w:val="List2"/>
    <w:rsid w:val="00A75025"/>
    <w:pPr>
      <w:numPr>
        <w:numId w:val="10"/>
      </w:numPr>
      <w:tabs>
        <w:tab w:val="clear" w:pos="1060"/>
      </w:tabs>
    </w:pPr>
  </w:style>
  <w:style w:type="paragraph" w:customStyle="1" w:styleId="MarginNote">
    <w:name w:val="Margin Note"/>
    <w:basedOn w:val="BodyText"/>
    <w:rsid w:val="00A750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0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0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025"/>
    <w:rPr>
      <w:sz w:val="32"/>
    </w:rPr>
  </w:style>
  <w:style w:type="paragraph" w:customStyle="1" w:styleId="HeadingProcedure">
    <w:name w:val="Heading Procedure"/>
    <w:basedOn w:val="HeadingBase"/>
    <w:next w:val="Normal"/>
    <w:rsid w:val="00A75025"/>
    <w:pPr>
      <w:tabs>
        <w:tab w:val="left" w:pos="0"/>
      </w:tabs>
      <w:spacing w:before="120" w:after="60"/>
    </w:pPr>
    <w:rPr>
      <w:i/>
      <w:color w:val="918585"/>
      <w:sz w:val="22"/>
    </w:rPr>
  </w:style>
  <w:style w:type="paragraph" w:customStyle="1" w:styleId="TableBodyText">
    <w:name w:val="Table Body Text"/>
    <w:basedOn w:val="BodyText"/>
    <w:rsid w:val="00A75025"/>
    <w:pPr>
      <w:spacing w:before="60" w:after="60"/>
    </w:pPr>
  </w:style>
  <w:style w:type="paragraph" w:styleId="ListContinue">
    <w:name w:val="List Continue"/>
    <w:basedOn w:val="List"/>
    <w:rsid w:val="00A75025"/>
    <w:pPr>
      <w:ind w:firstLine="0"/>
    </w:pPr>
  </w:style>
  <w:style w:type="paragraph" w:customStyle="1" w:styleId="ListNote">
    <w:name w:val="List Note"/>
    <w:basedOn w:val="List"/>
    <w:rsid w:val="00A75025"/>
    <w:pPr>
      <w:pBdr>
        <w:top w:val="single" w:sz="6" w:space="2" w:color="918585"/>
        <w:bottom w:val="single" w:sz="6" w:space="2" w:color="918585"/>
      </w:pBdr>
      <w:tabs>
        <w:tab w:val="left" w:pos="1021"/>
      </w:tabs>
      <w:ind w:firstLine="0"/>
    </w:pPr>
  </w:style>
  <w:style w:type="paragraph" w:customStyle="1" w:styleId="Warning">
    <w:name w:val="Warning"/>
    <w:basedOn w:val="BodyText"/>
    <w:rsid w:val="00A75025"/>
    <w:pPr>
      <w:shd w:val="clear" w:color="auto" w:fill="D9D9D9"/>
      <w:tabs>
        <w:tab w:val="left" w:pos="992"/>
      </w:tabs>
      <w:ind w:left="119" w:right="119"/>
    </w:pPr>
    <w:rPr>
      <w:sz w:val="20"/>
    </w:rPr>
  </w:style>
  <w:style w:type="paragraph" w:customStyle="1" w:styleId="MarginIcons">
    <w:name w:val="Margin Icons"/>
    <w:basedOn w:val="BodyText"/>
    <w:rsid w:val="00A750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025"/>
    <w:rPr>
      <w:rFonts w:ascii="Courier New" w:hAnsi="Courier New"/>
    </w:rPr>
  </w:style>
  <w:style w:type="paragraph" w:customStyle="1" w:styleId="NoteBullet">
    <w:name w:val="Note Bullet"/>
    <w:basedOn w:val="Note"/>
    <w:rsid w:val="00A75025"/>
    <w:pPr>
      <w:tabs>
        <w:tab w:val="clear" w:pos="680"/>
      </w:tabs>
      <w:spacing w:before="60" w:after="60"/>
    </w:pPr>
  </w:style>
  <w:style w:type="paragraph" w:customStyle="1" w:styleId="SubHeading2">
    <w:name w:val="SubHeading2"/>
    <w:basedOn w:val="HeadingBase"/>
    <w:rsid w:val="00A75025"/>
    <w:pPr>
      <w:spacing w:before="240" w:after="60"/>
    </w:pPr>
    <w:rPr>
      <w:sz w:val="20"/>
    </w:rPr>
  </w:style>
  <w:style w:type="paragraph" w:customStyle="1" w:styleId="SubHeading1">
    <w:name w:val="SubHeading1"/>
    <w:basedOn w:val="HeadingBase"/>
    <w:rsid w:val="00A75025"/>
    <w:pPr>
      <w:spacing w:before="240" w:after="60"/>
    </w:pPr>
    <w:rPr>
      <w:color w:val="918585"/>
      <w:sz w:val="22"/>
    </w:rPr>
  </w:style>
  <w:style w:type="paragraph" w:customStyle="1" w:styleId="SideHeading">
    <w:name w:val="Side Heading"/>
    <w:basedOn w:val="HeadingBase"/>
    <w:rsid w:val="00A750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025"/>
    <w:pPr>
      <w:numPr>
        <w:numId w:val="12"/>
      </w:numPr>
    </w:pPr>
  </w:style>
  <w:style w:type="paragraph" w:styleId="PlainText">
    <w:name w:val="Plain Text"/>
    <w:basedOn w:val="Normal"/>
    <w:link w:val="PlainTextChar"/>
    <w:rsid w:val="00A75025"/>
    <w:rPr>
      <w:sz w:val="20"/>
    </w:rPr>
  </w:style>
  <w:style w:type="character" w:customStyle="1" w:styleId="PlainTextChar">
    <w:name w:val="Plain Text Char"/>
    <w:basedOn w:val="DefaultParagraphFont"/>
    <w:link w:val="PlainText"/>
    <w:rsid w:val="00A75025"/>
    <w:rPr>
      <w:rFonts w:ascii="Courier New" w:eastAsia="Times New Roman" w:hAnsi="Courier New" w:cs="Times New Roman"/>
      <w:sz w:val="20"/>
      <w:szCs w:val="20"/>
      <w:lang w:eastAsia="en-US"/>
    </w:rPr>
  </w:style>
  <w:style w:type="character" w:customStyle="1" w:styleId="MenuOption">
    <w:name w:val="Menu Option"/>
    <w:basedOn w:val="DefaultParagraphFont"/>
    <w:rsid w:val="00A75025"/>
    <w:rPr>
      <w:b/>
      <w:smallCaps/>
    </w:rPr>
  </w:style>
  <w:style w:type="paragraph" w:customStyle="1" w:styleId="TableListNumber">
    <w:name w:val="Table List Number"/>
    <w:basedOn w:val="ListNumber"/>
    <w:rsid w:val="00A75025"/>
    <w:pPr>
      <w:numPr>
        <w:numId w:val="0"/>
      </w:numPr>
    </w:pPr>
  </w:style>
  <w:style w:type="paragraph" w:styleId="TOC4">
    <w:name w:val="toc 4"/>
    <w:basedOn w:val="TOCBase"/>
    <w:next w:val="Normal"/>
    <w:semiHidden/>
    <w:rsid w:val="00A75025"/>
    <w:pPr>
      <w:tabs>
        <w:tab w:val="right" w:leader="dot" w:pos="9071"/>
      </w:tabs>
      <w:ind w:left="1701"/>
    </w:pPr>
  </w:style>
  <w:style w:type="paragraph" w:customStyle="1" w:styleId="ListAlpha">
    <w:name w:val="List Alpha"/>
    <w:basedOn w:val="List"/>
    <w:rsid w:val="00A75025"/>
    <w:pPr>
      <w:numPr>
        <w:numId w:val="9"/>
      </w:numPr>
    </w:pPr>
  </w:style>
  <w:style w:type="paragraph" w:customStyle="1" w:styleId="ListAlpha2">
    <w:name w:val="List Alpha 2"/>
    <w:basedOn w:val="List2"/>
    <w:rsid w:val="00A75025"/>
    <w:pPr>
      <w:numPr>
        <w:numId w:val="8"/>
      </w:numPr>
    </w:pPr>
  </w:style>
  <w:style w:type="paragraph" w:styleId="List2">
    <w:name w:val="List 2"/>
    <w:basedOn w:val="BodyText"/>
    <w:rsid w:val="00A75025"/>
    <w:pPr>
      <w:tabs>
        <w:tab w:val="left" w:pos="680"/>
      </w:tabs>
      <w:spacing w:before="60" w:after="60"/>
      <w:ind w:left="680" w:hanging="340"/>
    </w:pPr>
  </w:style>
  <w:style w:type="paragraph" w:styleId="List3">
    <w:name w:val="List 3"/>
    <w:basedOn w:val="BodyText"/>
    <w:rsid w:val="00A75025"/>
    <w:pPr>
      <w:tabs>
        <w:tab w:val="left" w:pos="1021"/>
      </w:tabs>
      <w:spacing w:before="60" w:after="60"/>
      <w:ind w:left="1020" w:hanging="340"/>
    </w:pPr>
  </w:style>
  <w:style w:type="paragraph" w:styleId="List4">
    <w:name w:val="List 4"/>
    <w:basedOn w:val="BodyText"/>
    <w:rsid w:val="00A75025"/>
    <w:pPr>
      <w:tabs>
        <w:tab w:val="left" w:pos="1361"/>
      </w:tabs>
      <w:spacing w:before="60" w:after="60"/>
      <w:ind w:left="1361" w:hanging="340"/>
    </w:pPr>
  </w:style>
  <w:style w:type="paragraph" w:styleId="List5">
    <w:name w:val="List 5"/>
    <w:basedOn w:val="BodyText"/>
    <w:rsid w:val="00A75025"/>
    <w:pPr>
      <w:tabs>
        <w:tab w:val="left" w:pos="1701"/>
      </w:tabs>
      <w:spacing w:before="60" w:after="60"/>
      <w:ind w:left="1701" w:hanging="340"/>
    </w:pPr>
  </w:style>
  <w:style w:type="paragraph" w:styleId="ListBullet4">
    <w:name w:val="List Bullet 4"/>
    <w:basedOn w:val="List4"/>
    <w:rsid w:val="00A75025"/>
    <w:pPr>
      <w:numPr>
        <w:numId w:val="3"/>
      </w:numPr>
    </w:pPr>
  </w:style>
  <w:style w:type="paragraph" w:styleId="ListBullet5">
    <w:name w:val="List Bullet 5"/>
    <w:basedOn w:val="List5"/>
    <w:rsid w:val="00A75025"/>
    <w:pPr>
      <w:numPr>
        <w:numId w:val="4"/>
      </w:numPr>
    </w:pPr>
  </w:style>
  <w:style w:type="paragraph" w:styleId="ListContinue2">
    <w:name w:val="List Continue 2"/>
    <w:basedOn w:val="List2"/>
    <w:rsid w:val="00A75025"/>
    <w:pPr>
      <w:ind w:firstLine="0"/>
    </w:pPr>
  </w:style>
  <w:style w:type="paragraph" w:styleId="ListContinue3">
    <w:name w:val="List Continue 3"/>
    <w:basedOn w:val="List3"/>
    <w:rsid w:val="00A75025"/>
    <w:pPr>
      <w:ind w:left="1021" w:firstLine="0"/>
    </w:pPr>
  </w:style>
  <w:style w:type="paragraph" w:styleId="ListContinue4">
    <w:name w:val="List Continue 4"/>
    <w:basedOn w:val="List4"/>
    <w:rsid w:val="00A75025"/>
    <w:pPr>
      <w:ind w:firstLine="0"/>
    </w:pPr>
  </w:style>
  <w:style w:type="paragraph" w:styleId="ListContinue5">
    <w:name w:val="List Continue 5"/>
    <w:basedOn w:val="List5"/>
    <w:rsid w:val="00A75025"/>
    <w:pPr>
      <w:ind w:firstLine="0"/>
    </w:pPr>
  </w:style>
  <w:style w:type="paragraph" w:styleId="ListNumber3">
    <w:name w:val="List Number 3"/>
    <w:basedOn w:val="List3"/>
    <w:rsid w:val="00A75025"/>
    <w:pPr>
      <w:numPr>
        <w:numId w:val="5"/>
      </w:numPr>
    </w:pPr>
  </w:style>
  <w:style w:type="paragraph" w:styleId="ListNumber4">
    <w:name w:val="List Number 4"/>
    <w:basedOn w:val="List4"/>
    <w:rsid w:val="00A75025"/>
    <w:pPr>
      <w:numPr>
        <w:numId w:val="6"/>
      </w:numPr>
    </w:pPr>
  </w:style>
  <w:style w:type="paragraph" w:styleId="ListNumber5">
    <w:name w:val="List Number 5"/>
    <w:basedOn w:val="List5"/>
    <w:rsid w:val="00A75025"/>
    <w:pPr>
      <w:numPr>
        <w:numId w:val="7"/>
      </w:numPr>
    </w:pPr>
  </w:style>
  <w:style w:type="paragraph" w:styleId="BlockText">
    <w:name w:val="Block Text"/>
    <w:basedOn w:val="Normal"/>
    <w:rsid w:val="00A75025"/>
    <w:pPr>
      <w:spacing w:after="120"/>
      <w:ind w:left="1440" w:right="1440"/>
    </w:pPr>
  </w:style>
  <w:style w:type="character" w:customStyle="1" w:styleId="Subscript">
    <w:name w:val="Subscript"/>
    <w:basedOn w:val="DefaultParagraphFont"/>
    <w:rsid w:val="00A75025"/>
    <w:rPr>
      <w:sz w:val="16"/>
      <w:vertAlign w:val="subscript"/>
    </w:rPr>
  </w:style>
  <w:style w:type="character" w:customStyle="1" w:styleId="Superscript">
    <w:name w:val="Superscript"/>
    <w:basedOn w:val="DefaultParagraphFont"/>
    <w:rsid w:val="00A75025"/>
    <w:rPr>
      <w:sz w:val="16"/>
      <w:vertAlign w:val="superscript"/>
    </w:rPr>
  </w:style>
  <w:style w:type="character" w:customStyle="1" w:styleId="Symbols">
    <w:name w:val="Symbols"/>
    <w:basedOn w:val="DefaultParagraphFont"/>
    <w:rsid w:val="00A75025"/>
    <w:rPr>
      <w:rFonts w:ascii="Symbol" w:hAnsi="Symbol"/>
    </w:rPr>
  </w:style>
  <w:style w:type="character" w:customStyle="1" w:styleId="MenuOptions">
    <w:name w:val="Menu Options"/>
    <w:basedOn w:val="DefaultParagraphFont"/>
    <w:rsid w:val="00A75025"/>
    <w:rPr>
      <w:rFonts w:ascii="Arial Narrow" w:hAnsi="Arial Narrow"/>
      <w:smallCaps/>
    </w:rPr>
  </w:style>
  <w:style w:type="character" w:customStyle="1" w:styleId="Buttons">
    <w:name w:val="Buttons"/>
    <w:basedOn w:val="DefaultParagraphFont"/>
    <w:rsid w:val="00A75025"/>
    <w:rPr>
      <w:b/>
    </w:rPr>
  </w:style>
  <w:style w:type="character" w:customStyle="1" w:styleId="Underlined">
    <w:name w:val="Underlined"/>
    <w:basedOn w:val="DefaultParagraphFont"/>
    <w:rsid w:val="00A75025"/>
    <w:rPr>
      <w:u w:val="single"/>
    </w:rPr>
  </w:style>
  <w:style w:type="paragraph" w:customStyle="1" w:styleId="TableBodyTextRight">
    <w:name w:val="Table Body Text Right"/>
    <w:basedOn w:val="TableBodyText"/>
    <w:rsid w:val="00A75025"/>
    <w:pPr>
      <w:widowControl w:val="0"/>
      <w:autoSpaceDE w:val="0"/>
      <w:autoSpaceDN w:val="0"/>
      <w:adjustRightInd w:val="0"/>
      <w:jc w:val="right"/>
    </w:pPr>
    <w:rPr>
      <w:rFonts w:cs="Arial"/>
      <w:szCs w:val="18"/>
    </w:rPr>
  </w:style>
  <w:style w:type="paragraph" w:customStyle="1" w:styleId="CopyrightText">
    <w:name w:val="Copyright Text"/>
    <w:basedOn w:val="BodyText"/>
    <w:rsid w:val="00A75025"/>
    <w:rPr>
      <w:sz w:val="18"/>
    </w:rPr>
  </w:style>
  <w:style w:type="paragraph" w:customStyle="1" w:styleId="BodySmallRight">
    <w:name w:val="Body Small Right"/>
    <w:basedOn w:val="BodyTextRight"/>
    <w:rsid w:val="00A75025"/>
    <w:rPr>
      <w:sz w:val="18"/>
      <w:szCs w:val="18"/>
    </w:rPr>
  </w:style>
  <w:style w:type="paragraph" w:customStyle="1" w:styleId="MarginEdition">
    <w:name w:val="Margin Edition"/>
    <w:basedOn w:val="MarginNote"/>
    <w:rsid w:val="00A75025"/>
    <w:pPr>
      <w:spacing w:before="0" w:after="0"/>
    </w:pPr>
    <w:rPr>
      <w:rFonts w:ascii="Times New Roman" w:hAnsi="Times New Roman"/>
      <w:color w:val="999999"/>
    </w:rPr>
  </w:style>
  <w:style w:type="paragraph" w:customStyle="1" w:styleId="Spacer">
    <w:name w:val="Spacer"/>
    <w:basedOn w:val="Normal"/>
    <w:rsid w:val="00A75025"/>
    <w:rPr>
      <w:sz w:val="2"/>
      <w:szCs w:val="2"/>
    </w:rPr>
  </w:style>
  <w:style w:type="character" w:customStyle="1" w:styleId="Small">
    <w:name w:val="Small"/>
    <w:basedOn w:val="DefaultParagraphFont"/>
    <w:rsid w:val="00A75025"/>
    <w:rPr>
      <w:sz w:val="16"/>
    </w:rPr>
  </w:style>
  <w:style w:type="paragraph" w:customStyle="1" w:styleId="WideTable">
    <w:name w:val="Wide Table"/>
    <w:basedOn w:val="Normal"/>
    <w:rsid w:val="00A75025"/>
    <w:pPr>
      <w:ind w:left="-1418"/>
    </w:pPr>
    <w:rPr>
      <w:sz w:val="2"/>
      <w:szCs w:val="2"/>
    </w:rPr>
  </w:style>
  <w:style w:type="character" w:styleId="PageNumber">
    <w:name w:val="page number"/>
    <w:basedOn w:val="DefaultParagraphFont"/>
    <w:rsid w:val="00A75025"/>
  </w:style>
  <w:style w:type="paragraph" w:styleId="Quote">
    <w:name w:val="Quote"/>
    <w:basedOn w:val="Heading1"/>
    <w:link w:val="QuoteChar"/>
    <w:qFormat/>
    <w:rsid w:val="00A75025"/>
    <w:rPr>
      <w:b w:val="0"/>
      <w:sz w:val="72"/>
      <w:szCs w:val="72"/>
      <w:lang w:val="en-NZ"/>
    </w:rPr>
  </w:style>
  <w:style w:type="character" w:customStyle="1" w:styleId="QuoteChar">
    <w:name w:val="Quote Char"/>
    <w:basedOn w:val="DefaultParagraphFont"/>
    <w:link w:val="Quote"/>
    <w:rsid w:val="00A750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025"/>
    <w:pPr>
      <w:pageBreakBefore/>
    </w:pPr>
  </w:style>
  <w:style w:type="paragraph" w:customStyle="1" w:styleId="Border">
    <w:name w:val="Border"/>
    <w:basedOn w:val="Normal"/>
    <w:qFormat/>
    <w:rsid w:val="00A750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025"/>
    <w:rPr>
      <w:b/>
      <w:bCs/>
      <w:i/>
      <w:iCs/>
      <w:color w:val="auto"/>
    </w:rPr>
  </w:style>
  <w:style w:type="paragraph" w:styleId="IntenseQuote">
    <w:name w:val="Intense Quote"/>
    <w:basedOn w:val="Normal"/>
    <w:next w:val="Normal"/>
    <w:link w:val="IntenseQuoteChar"/>
    <w:uiPriority w:val="30"/>
    <w:qFormat/>
    <w:rsid w:val="00A750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0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025"/>
    <w:rPr>
      <w:smallCaps/>
      <w:color w:val="auto"/>
      <w:u w:val="single"/>
    </w:rPr>
  </w:style>
  <w:style w:type="character" w:styleId="IntenseReference">
    <w:name w:val="Intense Reference"/>
    <w:basedOn w:val="DefaultParagraphFont"/>
    <w:uiPriority w:val="32"/>
    <w:qFormat/>
    <w:rsid w:val="00A75025"/>
    <w:rPr>
      <w:b/>
      <w:bCs/>
      <w:smallCaps/>
      <w:color w:val="auto"/>
      <w:spacing w:val="5"/>
      <w:u w:val="single"/>
    </w:rPr>
  </w:style>
  <w:style w:type="paragraph" w:customStyle="1" w:styleId="2ColumnHeading">
    <w:name w:val="2Column Heading"/>
    <w:basedOn w:val="BodyText"/>
    <w:qFormat/>
    <w:rsid w:val="00A75025"/>
    <w:pPr>
      <w:spacing w:after="60"/>
      <w:ind w:left="-2268"/>
    </w:pPr>
    <w:rPr>
      <w:b/>
    </w:rPr>
  </w:style>
  <w:style w:type="paragraph" w:customStyle="1" w:styleId="Heading1TOC">
    <w:name w:val="Heading1 TOC"/>
    <w:basedOn w:val="Normal"/>
    <w:qFormat/>
    <w:rsid w:val="00A75025"/>
    <w:pPr>
      <w:spacing w:before="240" w:after="120"/>
    </w:pPr>
    <w:rPr>
      <w:rFonts w:ascii="Times New Roman" w:hAnsi="Times New Roman"/>
      <w:b/>
      <w:sz w:val="32"/>
    </w:rPr>
  </w:style>
  <w:style w:type="paragraph" w:customStyle="1" w:styleId="Heading2TOC">
    <w:name w:val="Heading2 TOC"/>
    <w:basedOn w:val="Normal"/>
    <w:qFormat/>
    <w:rsid w:val="00A75025"/>
    <w:pPr>
      <w:spacing w:before="240" w:after="60"/>
    </w:pPr>
    <w:rPr>
      <w:rFonts w:ascii="Times New Roman" w:hAnsi="Times New Roman"/>
      <w:b/>
      <w:sz w:val="28"/>
    </w:rPr>
  </w:style>
  <w:style w:type="character" w:customStyle="1" w:styleId="Underline">
    <w:name w:val="Underline"/>
    <w:basedOn w:val="DefaultParagraphFont"/>
    <w:qFormat/>
    <w:rsid w:val="00A75025"/>
    <w:rPr>
      <w:u w:val="single"/>
    </w:rPr>
  </w:style>
  <w:style w:type="paragraph" w:styleId="BalloonText">
    <w:name w:val="Balloon Text"/>
    <w:basedOn w:val="Normal"/>
    <w:link w:val="BalloonTextChar"/>
    <w:rsid w:val="00A75025"/>
    <w:rPr>
      <w:rFonts w:ascii="Tahoma" w:hAnsi="Tahoma" w:cs="Tahoma"/>
      <w:sz w:val="16"/>
      <w:szCs w:val="16"/>
    </w:rPr>
  </w:style>
  <w:style w:type="character" w:customStyle="1" w:styleId="BalloonTextChar">
    <w:name w:val="Balloon Text Char"/>
    <w:basedOn w:val="DefaultParagraphFont"/>
    <w:link w:val="BalloonText"/>
    <w:rsid w:val="00A750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0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50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025"/>
    <w:rPr>
      <w:b/>
      <w:color w:val="660033"/>
      <w:spacing w:val="0"/>
    </w:rPr>
  </w:style>
  <w:style w:type="paragraph" w:customStyle="1" w:styleId="Nameditemlist">
    <w:name w:val="Named item list"/>
    <w:basedOn w:val="BodyText"/>
    <w:qFormat/>
    <w:rsid w:val="00A750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1118</Words>
  <Characters>7283</Characters>
  <Application>Microsoft Office Word</Application>
  <DocSecurity>0</DocSecurity>
  <Lines>281</Lines>
  <Paragraphs>187</Paragraphs>
  <ScaleCrop>false</ScaleCrop>
  <Company>Author-it Software Corporation Ltd.</Company>
  <LinksUpToDate>false</LinksUpToDate>
  <CharactersWithSpaces>8327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PSPWPI603B Manage emerging issues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2012-11-01T16:44:00Z</dcterms:created>
  <dcterms:modified xsi:type="dcterms:W3CDTF">2012-11-01T16:44:00Z</dcterms:modified>
</cp:coreProperties>
</file>