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2BE" w:rsidP="00B942B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PSPWPI601B Improve compliance through industry partnerships</w:t>
      </w:r>
      <w:r>
        <w:fldChar w:fldCharType="end"/>
      </w:r>
    </w:p>
    <w:p w:rsidR="00B942BE" w:rsidP="00B942BE">
      <w:pPr>
        <w:pStyle w:val="Version"/>
        <w:sectPr w:rsidSect="00204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204A1F" w:rsidP="00204A1F">
      <w:pPr>
        <w:pStyle w:val="SuperHeading"/>
      </w:pPr>
      <w:r w:rsidRPr="00204A1F">
        <w:t>PSPWPI601B Improve compliance through industry partnerships</w:t>
      </w:r>
    </w:p>
    <w:p w:rsidR="00000000" w:rsidRPr="00204A1F" w:rsidP="00204A1F">
      <w:pPr>
        <w:pStyle w:val="SuperHeading"/>
      </w:pPr>
    </w:p>
    <w:p w:rsidR="00000000" w:rsidRPr="00204A1F" w:rsidP="00204A1F">
      <w:pPr>
        <w:pStyle w:val="Heading1"/>
      </w:pPr>
      <w:bookmarkStart w:id="1" w:name="O_500140"/>
      <w:bookmarkEnd w:id="1"/>
      <w:r w:rsidRPr="00204A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B94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SpecialBold"/>
              </w:rPr>
              <w:t>Comments</w:t>
            </w:r>
          </w:p>
        </w:tc>
      </w:tr>
      <w:tr w:rsidTr="00B94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 xml:space="preserve">Unit descriptor edited. </w:t>
            </w:r>
          </w:p>
        </w:tc>
      </w:tr>
      <w:tr w:rsidTr="00B94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>Layout adjusted. No changes to content.</w:t>
            </w:r>
          </w:p>
        </w:tc>
      </w:tr>
      <w:tr w:rsidTr="00B94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t>Primary release.</w:t>
            </w:r>
          </w:p>
        </w:tc>
      </w:tr>
    </w:tbl>
    <w:p w:rsidR="00000000" w:rsidRPr="00204A1F" w:rsidP="00204A1F">
      <w:pPr>
        <w:pStyle w:val="BodyText"/>
      </w:pPr>
    </w:p>
    <w:p w:rsidR="00000000" w:rsidRPr="00204A1F" w:rsidP="00204A1F">
      <w:pPr>
        <w:pStyle w:val="AllowPageBreak"/>
      </w:pPr>
    </w:p>
    <w:p w:rsidR="00000000" w:rsidRPr="00204A1F" w:rsidP="00204A1F">
      <w:pPr>
        <w:pStyle w:val="Heading1"/>
      </w:pPr>
      <w:bookmarkStart w:id="2" w:name="O_500138"/>
      <w:bookmarkEnd w:id="2"/>
      <w:r w:rsidRPr="00204A1F">
        <w:t>Unit Descriptor</w:t>
      </w:r>
    </w:p>
    <w:p w:rsidR="00000000" w:rsidRPr="00204A1F" w:rsidP="00204A1F">
      <w:pPr>
        <w:pStyle w:val="BodyText"/>
      </w:pPr>
      <w:r w:rsidRPr="00204A1F">
        <w:t>This unit covers the competency to establish and maintain effective industry partnerships to improve workplace occupational health and safet</w:t>
      </w:r>
      <w:r w:rsidRPr="00204A1F">
        <w:t>y and/or workers compensation and/or injury management and/or workplace relations performance, achieve legislative compliance and educate and assist stakeholders to improve workplaces. It includes identifying industry partners, undertaking partnership acti</w:t>
      </w:r>
      <w:r w:rsidRPr="00204A1F">
        <w:t>vities, and monitoring and reviewing partnering activities.</w:t>
      </w:r>
    </w:p>
    <w:p w:rsidR="00000000" w:rsidRPr="00204A1F" w:rsidP="00204A1F">
      <w:pPr>
        <w:pStyle w:val="BodyText"/>
      </w:pPr>
      <w:r w:rsidRPr="00204A1F">
        <w:t xml:space="preserve">In practice, improving compliance through industry partnerships may overlap with other generalist or specialist public sector work activities such as acting ethically, complying with legislation, </w:t>
      </w:r>
      <w:r w:rsidRPr="00204A1F">
        <w:t>applying government systems, managing change, managing diversity.</w:t>
      </w:r>
    </w:p>
    <w:p w:rsidR="00B942BE" w:rsidP="00204A1F">
      <w:pPr>
        <w:pStyle w:val="BodyText"/>
      </w:pPr>
      <w:r w:rsidRPr="00204A1F">
        <w:t>No licensing, legislative, regulatory or certification requirements apply to this unit at the time of endorsement.</w:t>
      </w:r>
    </w:p>
    <w:p w:rsidR="00B942BE" w:rsidP="00204A1F">
      <w:pPr>
        <w:pStyle w:val="BodyText"/>
      </w:pPr>
    </w:p>
    <w:p w:rsidR="00000000" w:rsidRPr="00204A1F" w:rsidP="00204A1F">
      <w:pPr>
        <w:pStyle w:val="Heading1"/>
      </w:pPr>
      <w:bookmarkStart w:id="3" w:name="O_500146"/>
      <w:bookmarkEnd w:id="3"/>
      <w:r w:rsidRPr="00204A1F">
        <w:t>Application of the Unit</w:t>
      </w:r>
    </w:p>
    <w:p w:rsidR="00000000" w:rsidRPr="00204A1F" w:rsidP="00204A1F">
      <w:pPr>
        <w:pStyle w:val="BodyText"/>
      </w:pPr>
      <w:r w:rsidRPr="00204A1F">
        <w:t>Not applicable.</w:t>
      </w:r>
    </w:p>
    <w:p w:rsidR="00000000" w:rsidRPr="00204A1F" w:rsidP="00204A1F">
      <w:pPr>
        <w:pStyle w:val="AllowPageBreak"/>
      </w:pPr>
    </w:p>
    <w:p w:rsidR="00000000" w:rsidRPr="00204A1F" w:rsidP="00204A1F">
      <w:pPr>
        <w:pStyle w:val="Heading1"/>
      </w:pPr>
      <w:bookmarkStart w:id="4" w:name="O_500135"/>
      <w:bookmarkEnd w:id="4"/>
      <w:r w:rsidRPr="00204A1F">
        <w:t>Licensing/Regulatory Information</w:t>
      </w:r>
    </w:p>
    <w:p w:rsidR="00000000" w:rsidRPr="00204A1F" w:rsidP="00204A1F">
      <w:pPr>
        <w:pStyle w:val="BodyText"/>
      </w:pPr>
      <w:r w:rsidRPr="00204A1F">
        <w:t>Not applicable.</w:t>
      </w:r>
    </w:p>
    <w:p w:rsidR="00000000" w:rsidRPr="00204A1F" w:rsidP="00204A1F">
      <w:pPr>
        <w:pStyle w:val="AllowPageBreak"/>
      </w:pPr>
    </w:p>
    <w:p w:rsidR="00000000" w:rsidRPr="00204A1F" w:rsidP="00204A1F">
      <w:pPr>
        <w:pStyle w:val="Heading1"/>
      </w:pPr>
      <w:bookmarkStart w:id="5" w:name="O_500139"/>
      <w:bookmarkEnd w:id="5"/>
      <w:r w:rsidRPr="00204A1F">
        <w:t>Pre-Requisites</w:t>
      </w:r>
    </w:p>
    <w:p w:rsidR="00000000" w:rsidRPr="00204A1F" w:rsidP="00204A1F">
      <w:pPr>
        <w:pStyle w:val="BodyText"/>
      </w:pPr>
      <w:r w:rsidRPr="00204A1F">
        <w:t>Not applicable.</w:t>
      </w:r>
    </w:p>
    <w:p w:rsidR="00000000" w:rsidRPr="00204A1F" w:rsidP="00204A1F">
      <w:pPr>
        <w:pStyle w:val="AllowPageBreak"/>
      </w:pPr>
    </w:p>
    <w:p w:rsidR="00000000" w:rsidRPr="00204A1F" w:rsidP="00204A1F">
      <w:pPr>
        <w:pStyle w:val="Heading1"/>
      </w:pPr>
      <w:bookmarkStart w:id="6" w:name="O_500142"/>
      <w:bookmarkEnd w:id="6"/>
      <w:r w:rsidRPr="00204A1F">
        <w:t>Employability Skills Information</w:t>
      </w:r>
    </w:p>
    <w:p w:rsidR="00000000" w:rsidRPr="00204A1F" w:rsidP="00204A1F">
      <w:pPr>
        <w:pStyle w:val="BodyText"/>
      </w:pPr>
      <w:r w:rsidRPr="00204A1F">
        <w:t>This unit contains employability skills.</w:t>
      </w:r>
    </w:p>
    <w:p w:rsidR="00000000" w:rsidRPr="00204A1F" w:rsidP="00204A1F">
      <w:pPr>
        <w:pStyle w:val="AllowPageBreak"/>
      </w:pPr>
    </w:p>
    <w:p w:rsidR="00000000" w:rsidRPr="00204A1F" w:rsidP="00204A1F">
      <w:pPr>
        <w:pStyle w:val="Heading1"/>
      </w:pPr>
      <w:bookmarkStart w:id="7" w:name="O_500143"/>
      <w:bookmarkEnd w:id="7"/>
      <w:r w:rsidRPr="00204A1F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t>Together, performance criteria specify the requirements for competent performance. Text in</w:t>
            </w:r>
            <w:r w:rsidRPr="00204A1F">
              <w:rPr>
                <w:rStyle w:val="BoldandItalics"/>
              </w:rPr>
              <w:t xml:space="preserve"> bold italics </w:t>
            </w:r>
            <w:r w:rsidRPr="00204A1F">
              <w:t xml:space="preserve"> is explained in the Range Statement following.</w:t>
            </w:r>
          </w:p>
        </w:tc>
      </w:tr>
    </w:tbl>
    <w:p w:rsidR="00000000" w:rsidRPr="00204A1F" w:rsidP="00204A1F">
      <w:pPr>
        <w:pStyle w:val="BodyText"/>
      </w:pPr>
    </w:p>
    <w:p w:rsidR="00000000" w:rsidRPr="00204A1F" w:rsidP="00204A1F">
      <w:pPr>
        <w:pStyle w:val="AllowPageBreak"/>
      </w:pPr>
    </w:p>
    <w:p w:rsidR="00000000" w:rsidRPr="00204A1F" w:rsidP="00204A1F">
      <w:pPr>
        <w:pStyle w:val="Heading1"/>
      </w:pPr>
      <w:bookmarkStart w:id="8" w:name="O_500144"/>
      <w:bookmarkEnd w:id="8"/>
      <w:r w:rsidRPr="00204A1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SpecialBold"/>
              </w:rPr>
              <w:t>PERFORMANCE CRITERIA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List"/>
              <w:rPr>
                <w:lang w:val="en-NZ"/>
              </w:rPr>
            </w:pPr>
            <w:r w:rsidRPr="00204A1F">
              <w:rPr>
                <w:rStyle w:val="SpecialBold"/>
              </w:rPr>
              <w:t>1</w:t>
            </w:r>
            <w:r w:rsidRPr="00204A1F">
              <w:t xml:space="preserve">.  </w:t>
            </w:r>
            <w:r w:rsidRPr="00204A1F">
              <w:tab/>
            </w:r>
            <w:r w:rsidRPr="00204A1F">
              <w:rPr>
                <w:rStyle w:val="SpecialBold"/>
              </w:rPr>
              <w:t>Identify industry partners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List"/>
            </w:pPr>
            <w:r w:rsidRPr="00204A1F">
              <w:t>1.1</w:t>
            </w:r>
            <w:r w:rsidRPr="00204A1F">
              <w:tab/>
              <w:t>Options for industry partnerships are evaluated in terms of likely effectiveness, and</w:t>
            </w:r>
            <w:r w:rsidRPr="00204A1F">
              <w:rPr>
                <w:rStyle w:val="BoldandItalics"/>
              </w:rPr>
              <w:t xml:space="preserve"> potential partners</w:t>
            </w:r>
            <w:r w:rsidRPr="00204A1F">
              <w:t xml:space="preserve"> are determined in accordance with organisational policy and procedures.</w:t>
            </w:r>
          </w:p>
          <w:p w:rsidR="00000000" w:rsidRPr="00204A1F" w:rsidP="00204A1F">
            <w:pPr>
              <w:pStyle w:val="List"/>
            </w:pPr>
            <w:r w:rsidRPr="00204A1F">
              <w:t>1.2</w:t>
            </w:r>
            <w:r w:rsidRPr="00204A1F">
              <w:tab/>
              <w:t>Communication is established with partner/s to explore viability of partnership.</w:t>
            </w:r>
          </w:p>
          <w:p w:rsidR="00000000" w:rsidRPr="00204A1F" w:rsidP="00204A1F">
            <w:pPr>
              <w:pStyle w:val="List"/>
            </w:pPr>
            <w:r w:rsidRPr="00204A1F">
              <w:t>1.3</w:t>
            </w:r>
            <w:r w:rsidRPr="00204A1F">
              <w:tab/>
              <w:t>Nature and duration of partnership is negotiated and established.</w:t>
            </w:r>
          </w:p>
          <w:p w:rsidR="00000000" w:rsidP="00204A1F">
            <w:pPr>
              <w:pStyle w:val="List"/>
              <w:rPr>
                <w:lang w:val="en-NZ"/>
              </w:rPr>
            </w:pPr>
            <w:r w:rsidRPr="00204A1F">
              <w:t>1.4</w:t>
            </w:r>
            <w:r w:rsidRPr="00204A1F">
              <w:tab/>
              <w:t>Respective</w:t>
            </w:r>
            <w:r w:rsidRPr="00204A1F">
              <w:rPr>
                <w:rStyle w:val="BoldandItalics"/>
              </w:rPr>
              <w:t xml:space="preserve"> roles and act</w:t>
            </w:r>
            <w:r w:rsidRPr="00204A1F">
              <w:rPr>
                <w:rStyle w:val="BoldandItalics"/>
              </w:rPr>
              <w:t xml:space="preserve">ivities of partnership </w:t>
            </w:r>
            <w:r w:rsidRPr="00204A1F">
              <w:t>are defined and agreed upon within organisational guidelines.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List"/>
              <w:rPr>
                <w:lang w:val="en-NZ"/>
              </w:rPr>
            </w:pPr>
            <w:r w:rsidRPr="00204A1F">
              <w:rPr>
                <w:rStyle w:val="SpecialBold"/>
              </w:rPr>
              <w:t>2</w:t>
            </w:r>
            <w:r w:rsidRPr="00204A1F">
              <w:t xml:space="preserve">.  </w:t>
            </w:r>
            <w:r w:rsidRPr="00204A1F">
              <w:tab/>
            </w:r>
            <w:r w:rsidRPr="00204A1F">
              <w:rPr>
                <w:rStyle w:val="SpecialBold"/>
              </w:rPr>
              <w:t>Undertake partnership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List"/>
            </w:pPr>
            <w:r w:rsidRPr="00204A1F">
              <w:t>2.1</w:t>
            </w:r>
            <w:r w:rsidRPr="00204A1F">
              <w:tab/>
              <w:t>Plan for cooperative partnering is developed and agreed.</w:t>
            </w:r>
          </w:p>
          <w:p w:rsidR="00000000" w:rsidRPr="00204A1F" w:rsidP="00204A1F">
            <w:pPr>
              <w:pStyle w:val="List"/>
            </w:pPr>
            <w:r w:rsidRPr="00204A1F">
              <w:t>2.2</w:t>
            </w:r>
            <w:r w:rsidRPr="00204A1F">
              <w:tab/>
              <w:t>Options and specific proposals for improving performance in workpla</w:t>
            </w:r>
            <w:r w:rsidRPr="00204A1F">
              <w:t>ce legislative compliance are developed and incorporated.</w:t>
            </w:r>
          </w:p>
          <w:p w:rsidR="00000000" w:rsidP="00204A1F">
            <w:pPr>
              <w:pStyle w:val="List"/>
              <w:rPr>
                <w:lang w:val="en-NZ"/>
              </w:rPr>
            </w:pPr>
            <w:r w:rsidRPr="00204A1F">
              <w:t>2.3</w:t>
            </w:r>
            <w:r w:rsidRPr="00204A1F">
              <w:tab/>
              <w:t>Options/proposals are implemented in accordance with partnering plan and organisational guidelines.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List"/>
              <w:rPr>
                <w:lang w:val="en-NZ"/>
              </w:rPr>
            </w:pPr>
            <w:r w:rsidRPr="00204A1F">
              <w:rPr>
                <w:rStyle w:val="SpecialBold"/>
              </w:rPr>
              <w:t>3</w:t>
            </w:r>
            <w:r w:rsidRPr="00204A1F">
              <w:t xml:space="preserve">.  </w:t>
            </w:r>
            <w:r w:rsidRPr="00204A1F">
              <w:tab/>
            </w:r>
            <w:r w:rsidRPr="00204A1F">
              <w:rPr>
                <w:rStyle w:val="SpecialBold"/>
              </w:rPr>
              <w:t>Monitor and review partnering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List"/>
            </w:pPr>
            <w:r w:rsidRPr="00204A1F">
              <w:t>3.1</w:t>
            </w:r>
            <w:r w:rsidRPr="00204A1F">
              <w:tab/>
              <w:t>Effectiveness of partnering activities is e</w:t>
            </w:r>
            <w:r w:rsidRPr="00204A1F">
              <w:t>valuated.</w:t>
            </w:r>
          </w:p>
          <w:p w:rsidR="00000000" w:rsidRPr="00204A1F" w:rsidP="00204A1F">
            <w:pPr>
              <w:pStyle w:val="List"/>
            </w:pPr>
            <w:r w:rsidRPr="00204A1F">
              <w:t>3.2</w:t>
            </w:r>
            <w:r w:rsidRPr="00204A1F">
              <w:tab/>
              <w:t>Evaluation results are used to modify outcomes of joint activities.</w:t>
            </w:r>
          </w:p>
          <w:p w:rsidR="00000000" w:rsidRPr="00204A1F" w:rsidP="00204A1F">
            <w:pPr>
              <w:pStyle w:val="List"/>
            </w:pPr>
            <w:r w:rsidRPr="00204A1F">
              <w:t>3.3</w:t>
            </w:r>
            <w:r w:rsidRPr="00204A1F">
              <w:tab/>
              <w:t xml:space="preserve">Value and effectiveness and outcomes of partnering arrangements are communicated to </w:t>
            </w:r>
            <w:r w:rsidRPr="00204A1F">
              <w:rPr>
                <w:rStyle w:val="BoldandItalics"/>
              </w:rPr>
              <w:t xml:space="preserve">internal </w:t>
            </w:r>
            <w:r w:rsidRPr="00204A1F">
              <w:t xml:space="preserve">and </w:t>
            </w:r>
            <w:r w:rsidRPr="00204A1F">
              <w:rPr>
                <w:rStyle w:val="BoldandItalics"/>
              </w:rPr>
              <w:t>external clients</w:t>
            </w:r>
            <w:r w:rsidRPr="00204A1F">
              <w:t>.</w:t>
            </w:r>
          </w:p>
        </w:tc>
      </w:tr>
    </w:tbl>
    <w:p w:rsidR="00000000" w:rsidRPr="00204A1F" w:rsidP="00204A1F">
      <w:pPr>
        <w:pStyle w:val="BodyText"/>
      </w:pPr>
    </w:p>
    <w:p w:rsidR="00000000" w:rsidRPr="00204A1F" w:rsidP="00204A1F">
      <w:pPr>
        <w:pStyle w:val="AllowPageBreak"/>
      </w:pPr>
    </w:p>
    <w:p w:rsidR="00000000" w:rsidRPr="00204A1F" w:rsidP="00204A1F">
      <w:pPr>
        <w:pStyle w:val="Heading1"/>
      </w:pPr>
      <w:bookmarkStart w:id="9" w:name="O_500133"/>
      <w:bookmarkEnd w:id="9"/>
      <w:r w:rsidRPr="00204A1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B94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>This section describes the essential skills and knowledge and their level, required for this unit.</w:t>
            </w:r>
          </w:p>
        </w:tc>
      </w:tr>
      <w:tr w:rsidTr="00B94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rPr>
                <w:rStyle w:val="SpecialBold"/>
              </w:rPr>
              <w:t>Skill requirements</w:t>
            </w:r>
          </w:p>
          <w:p w:rsidR="00000000" w:rsidRPr="00204A1F" w:rsidP="00204A1F">
            <w:pPr>
              <w:pStyle w:val="BodyText"/>
            </w:pPr>
            <w:r w:rsidRPr="00204A1F">
              <w:t>Look for evidence that confirms skills in:</w:t>
            </w:r>
          </w:p>
          <w:p w:rsidR="00000000" w:rsidRPr="00204A1F" w:rsidP="00204A1F">
            <w:pPr>
              <w:pStyle w:val="ListBullet2"/>
            </w:pPr>
            <w:r w:rsidRPr="00204A1F">
              <w:t>applying legislative requirements and organisational policies and procedures in all investiga</w:t>
            </w:r>
            <w:r w:rsidRPr="00204A1F">
              <w:t>tions</w:t>
            </w:r>
          </w:p>
          <w:p w:rsidR="00000000" w:rsidRPr="00204A1F" w:rsidP="00204A1F">
            <w:pPr>
              <w:pStyle w:val="ListBullet2"/>
            </w:pPr>
            <w:r w:rsidRPr="00204A1F">
              <w:t>applying risk management principles</w:t>
            </w:r>
          </w:p>
          <w:p w:rsidR="00000000" w:rsidRPr="00204A1F" w:rsidP="00204A1F">
            <w:pPr>
              <w:pStyle w:val="ListBullet2"/>
            </w:pPr>
            <w:r w:rsidRPr="00204A1F">
              <w:t>using a range of communication methods and strategies, including negotiation, dealing with conflicting information</w:t>
            </w:r>
          </w:p>
          <w:p w:rsidR="00000000" w:rsidRPr="00204A1F" w:rsidP="00204A1F">
            <w:pPr>
              <w:pStyle w:val="ListBullet2"/>
            </w:pPr>
            <w:r w:rsidRPr="00204A1F">
              <w:t>applying observation and analysis</w:t>
            </w:r>
          </w:p>
          <w:p w:rsidR="00000000" w:rsidRPr="00204A1F" w:rsidP="00204A1F">
            <w:pPr>
              <w:pStyle w:val="ListBullet2"/>
            </w:pPr>
            <w:r w:rsidRPr="00204A1F">
              <w:t>engaging in team work</w:t>
            </w:r>
          </w:p>
          <w:p w:rsidR="00000000" w:rsidRPr="00204A1F" w:rsidP="00204A1F">
            <w:pPr>
              <w:pStyle w:val="ListBullet2"/>
            </w:pPr>
            <w:r w:rsidRPr="00204A1F">
              <w:t>planning and organising</w:t>
            </w:r>
          </w:p>
          <w:p w:rsidR="00000000" w:rsidRPr="00204A1F" w:rsidP="00204A1F">
            <w:pPr>
              <w:pStyle w:val="ListBullet2"/>
            </w:pPr>
            <w:r w:rsidRPr="00204A1F">
              <w:t>interviewing and questioning</w:t>
            </w:r>
          </w:p>
          <w:p w:rsidR="00000000" w:rsidP="00204A1F">
            <w:pPr>
              <w:pStyle w:val="ListBullet2"/>
              <w:rPr>
                <w:lang w:val="en-NZ"/>
              </w:rPr>
            </w:pPr>
            <w:r w:rsidRPr="00204A1F">
              <w:t>recording statements</w:t>
            </w:r>
          </w:p>
        </w:tc>
      </w:tr>
      <w:tr w:rsidTr="00B94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rPr>
                <w:rStyle w:val="SpecialBold"/>
              </w:rPr>
              <w:t>Knowledge requirements</w:t>
            </w:r>
          </w:p>
          <w:p w:rsidR="00000000" w:rsidRPr="00204A1F" w:rsidP="00204A1F">
            <w:pPr>
              <w:pStyle w:val="BodyText"/>
            </w:pPr>
            <w:r w:rsidRPr="00204A1F">
              <w:t>Look for evidence that confirms knowledge and understanding of:</w:t>
            </w:r>
          </w:p>
          <w:p w:rsidR="00000000" w:rsidRPr="00204A1F" w:rsidP="00204A1F">
            <w:pPr>
              <w:pStyle w:val="ListBullet2"/>
            </w:pPr>
            <w:r w:rsidRPr="00204A1F">
              <w:t>risk management principles</w:t>
            </w:r>
          </w:p>
          <w:p w:rsidR="00000000" w:rsidRPr="00204A1F" w:rsidP="00204A1F">
            <w:pPr>
              <w:pStyle w:val="ListBullet2"/>
            </w:pPr>
            <w:r w:rsidRPr="00204A1F">
              <w:t>powers of inspectors under jurisdictional legislation</w:t>
            </w:r>
          </w:p>
          <w:p w:rsidR="00000000" w:rsidRPr="00204A1F" w:rsidP="00204A1F">
            <w:pPr>
              <w:pStyle w:val="ListBullet2"/>
            </w:pPr>
            <w:r w:rsidRPr="00204A1F">
              <w:t>functions and roles of other profess</w:t>
            </w:r>
            <w:r w:rsidRPr="00204A1F">
              <w:t>ionals and experts</w:t>
            </w:r>
          </w:p>
          <w:p w:rsidR="00000000" w:rsidRPr="00204A1F" w:rsidP="00204A1F">
            <w:pPr>
              <w:pStyle w:val="ListBullet2"/>
            </w:pPr>
            <w:r w:rsidRPr="00204A1F">
              <w:t>legislative requirements</w:t>
            </w:r>
          </w:p>
          <w:p w:rsidR="00000000" w:rsidRPr="00204A1F" w:rsidP="00204A1F">
            <w:pPr>
              <w:pStyle w:val="ListBullet2"/>
            </w:pPr>
            <w:r w:rsidRPr="00204A1F">
              <w:t>organisational investigations procedures</w:t>
            </w:r>
          </w:p>
        </w:tc>
      </w:tr>
    </w:tbl>
    <w:p w:rsidR="00000000" w:rsidRPr="00204A1F" w:rsidP="00204A1F">
      <w:pPr>
        <w:pStyle w:val="BodyText"/>
      </w:pPr>
    </w:p>
    <w:p w:rsidR="00000000" w:rsidRPr="00204A1F" w:rsidP="00204A1F">
      <w:pPr>
        <w:pStyle w:val="AllowPageBreak"/>
      </w:pPr>
    </w:p>
    <w:p w:rsidR="00000000" w:rsidRPr="00204A1F" w:rsidP="00204A1F">
      <w:pPr>
        <w:pStyle w:val="Heading1"/>
      </w:pPr>
      <w:bookmarkStart w:id="10" w:name="O_500136"/>
      <w:bookmarkEnd w:id="10"/>
      <w:r w:rsidRPr="00204A1F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 xml:space="preserve">The Evidence Guide specifies the evidence required to demonstrate achievement in the unit of competency as a whole. It must be read in </w:t>
            </w:r>
            <w:r w:rsidRPr="00204A1F">
              <w:t>conjunction with the Unit descriptor, Performance Criteria, the Range Statement and the Assessment Guidelines for the Public Sector Training Package.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rPr>
                <w:rStyle w:val="SpecialBold"/>
              </w:rPr>
              <w:t>Units to be assessed together</w:t>
            </w:r>
            <w:r w:rsidRPr="00204A1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ListBullet2"/>
            </w:pPr>
            <w:r w:rsidRPr="00204A1F">
              <w:rPr>
                <w:rStyle w:val="Emphasis"/>
              </w:rPr>
              <w:t>Pre</w:t>
            </w:r>
            <w:r w:rsidRPr="00204A1F">
              <w:t>-</w:t>
            </w:r>
            <w:r w:rsidRPr="00204A1F">
              <w:rPr>
                <w:rStyle w:val="Emphasis"/>
              </w:rPr>
              <w:t>requisite</w:t>
            </w:r>
            <w:r w:rsidRPr="00204A1F">
              <w:t xml:space="preserve"> units that must be achieved prior to this unit:</w:t>
            </w:r>
            <w:r w:rsidRPr="00204A1F">
              <w:rPr>
                <w:rStyle w:val="Emphasis"/>
              </w:rPr>
              <w:t>Nil</w:t>
            </w:r>
          </w:p>
          <w:p w:rsidR="00000000" w:rsidRPr="00204A1F" w:rsidP="00204A1F">
            <w:pPr>
              <w:pStyle w:val="ListBullet2"/>
            </w:pPr>
            <w:r w:rsidRPr="00204A1F">
              <w:rPr>
                <w:rStyle w:val="Emphasis"/>
              </w:rPr>
              <w:t>Co</w:t>
            </w:r>
            <w:r w:rsidRPr="00204A1F">
              <w:t>-</w:t>
            </w:r>
            <w:r w:rsidRPr="00204A1F">
              <w:rPr>
                <w:rStyle w:val="Emphasis"/>
              </w:rPr>
              <w:t>requisite</w:t>
            </w:r>
            <w:r w:rsidRPr="00204A1F">
              <w:t xml:space="preserve"> units that must be assessed with this unit:</w:t>
            </w:r>
            <w:r w:rsidRPr="00204A1F">
              <w:rPr>
                <w:rStyle w:val="Emphasis"/>
              </w:rPr>
              <w:t>Nil</w:t>
            </w:r>
          </w:p>
          <w:p w:rsidR="00000000" w:rsidRPr="00204A1F" w:rsidP="00204A1F">
            <w:pPr>
              <w:pStyle w:val="ListBullet2"/>
            </w:pPr>
            <w:r w:rsidRPr="00204A1F">
              <w:rPr>
                <w:rStyle w:val="Emphasis"/>
              </w:rPr>
              <w:t>Co</w:t>
            </w:r>
            <w:r w:rsidRPr="00204A1F">
              <w:t>-</w:t>
            </w:r>
            <w:r w:rsidRPr="00204A1F">
              <w:rPr>
                <w:rStyle w:val="Emphasis"/>
              </w:rPr>
              <w:t>assessed units</w:t>
            </w:r>
            <w:r w:rsidRPr="00204A1F">
              <w:t xml:space="preserve"> that may be assessed with this unit to increase the efficiency and realism of the assessment process include, but are not limited to:</w:t>
            </w:r>
          </w:p>
          <w:p w:rsidR="00000000" w:rsidRPr="00204A1F" w:rsidP="00204A1F">
            <w:pPr>
              <w:pStyle w:val="ListBullet3"/>
            </w:pPr>
            <w:r w:rsidRPr="00204A1F">
              <w:t>PSPETHC601B Maintain and enhance confidence in</w:t>
            </w:r>
            <w:r w:rsidRPr="00204A1F">
              <w:t xml:space="preserve"> public service</w:t>
            </w:r>
          </w:p>
          <w:p w:rsidR="00000000" w:rsidRPr="00204A1F" w:rsidP="00204A1F">
            <w:pPr>
              <w:pStyle w:val="ListBullet3"/>
            </w:pPr>
            <w:r w:rsidRPr="00204A1F">
              <w:t>PSPGOV602B Establish and maintain strategic networks</w:t>
            </w:r>
          </w:p>
          <w:p w:rsidR="00000000" w:rsidRPr="00204A1F" w:rsidP="00204A1F">
            <w:pPr>
              <w:pStyle w:val="ListBullet3"/>
            </w:pPr>
            <w:r w:rsidRPr="00204A1F">
              <w:t>PSPGOV604A Foster leadership and innovation</w:t>
            </w:r>
          </w:p>
          <w:p w:rsidR="00000000" w:rsidRPr="00204A1F" w:rsidP="00204A1F">
            <w:pPr>
              <w:pStyle w:val="ListBullet3"/>
            </w:pPr>
            <w:r w:rsidRPr="00204A1F">
              <w:t>PSPGOV605A Persuade and influence opinion</w:t>
            </w:r>
          </w:p>
          <w:p w:rsidR="00000000" w:rsidRPr="00204A1F" w:rsidP="00204A1F">
            <w:pPr>
              <w:pStyle w:val="ListBullet3"/>
            </w:pPr>
            <w:r w:rsidRPr="00204A1F">
              <w:t>PSPMNGT604B Manage change</w:t>
            </w:r>
          </w:p>
          <w:p w:rsidR="00000000" w:rsidRPr="00204A1F" w:rsidP="00204A1F">
            <w:pPr>
              <w:pStyle w:val="ListBullet3"/>
            </w:pPr>
            <w:r w:rsidRPr="00204A1F">
              <w:t xml:space="preserve">PSPMNGT608B Manage risk </w:t>
            </w:r>
          </w:p>
          <w:p w:rsidR="00000000" w:rsidRPr="00204A1F" w:rsidP="00204A1F">
            <w:pPr>
              <w:pStyle w:val="ListBullet3"/>
            </w:pPr>
            <w:r w:rsidRPr="00204A1F">
              <w:t>PSPMNGT609B Formulate business strategies</w:t>
            </w:r>
          </w:p>
          <w:p w:rsidR="00000000" w:rsidRPr="00204A1F" w:rsidP="00204A1F">
            <w:pPr>
              <w:pStyle w:val="ListBullet3"/>
            </w:pPr>
            <w:r w:rsidRPr="00204A1F">
              <w:t>PSPMNGT613A Develop partnering arrangements</w:t>
            </w:r>
          </w:p>
          <w:p w:rsidR="00000000" w:rsidP="00204A1F">
            <w:pPr>
              <w:pStyle w:val="ListBullet3"/>
              <w:rPr>
                <w:lang w:val="en-NZ"/>
              </w:rPr>
            </w:pPr>
            <w:r w:rsidRPr="00204A1F">
              <w:t>PSPWPI604B Represent and promote the organisation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t>In addition to integrated demonstration of the elements and their related performance criteria, look for evidence that confirms:</w:t>
            </w:r>
          </w:p>
          <w:p w:rsidR="00000000" w:rsidRPr="00204A1F" w:rsidP="00204A1F">
            <w:pPr>
              <w:pStyle w:val="ListBullet2"/>
            </w:pPr>
            <w:r w:rsidRPr="00204A1F">
              <w:t xml:space="preserve">the knowledge requirements of this unit </w:t>
            </w:r>
          </w:p>
          <w:p w:rsidR="00000000" w:rsidRPr="00204A1F" w:rsidP="00204A1F">
            <w:pPr>
              <w:pStyle w:val="ListBullet2"/>
            </w:pPr>
            <w:r w:rsidRPr="00204A1F">
              <w:t>the skill requirements of this unit</w:t>
            </w:r>
          </w:p>
          <w:p w:rsidR="00000000" w:rsidRPr="00204A1F" w:rsidP="00204A1F">
            <w:pPr>
              <w:pStyle w:val="ListBullet2"/>
            </w:pPr>
            <w:r w:rsidRPr="00204A1F">
              <w:t>application of the Employability Skills as they relate to this unit (see Employability Summaries in Qualifications Framework)</w:t>
            </w:r>
          </w:p>
          <w:p w:rsidR="00000000" w:rsidP="00204A1F">
            <w:pPr>
              <w:pStyle w:val="ListBullet2"/>
              <w:rPr>
                <w:lang w:val="en-NZ"/>
              </w:rPr>
            </w:pPr>
            <w:r w:rsidRPr="00204A1F">
              <w:t>development of industry partnerships to improve compliance in a range of (3 or more) contexts (or occasions, over time)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SpecialBold"/>
              </w:rPr>
              <w:t>Resources</w:t>
            </w:r>
            <w:r w:rsidRPr="00204A1F">
              <w:rPr>
                <w:rStyle w:val="SpecialBold"/>
              </w:rPr>
              <w:t xml:space="preserve">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t>These resources include:</w:t>
            </w:r>
          </w:p>
          <w:p w:rsidR="00000000" w:rsidRPr="00204A1F" w:rsidP="00204A1F">
            <w:pPr>
              <w:pStyle w:val="ListBullet2"/>
            </w:pPr>
            <w:r w:rsidRPr="00204A1F">
              <w:t>legislation, policy, procedures and protocols relating to workplace legislative compliance</w:t>
            </w:r>
          </w:p>
          <w:p w:rsidR="00000000" w:rsidP="00204A1F">
            <w:pPr>
              <w:pStyle w:val="ListBullet2"/>
              <w:rPr>
                <w:lang w:val="en-NZ"/>
              </w:rPr>
            </w:pPr>
            <w:r w:rsidRPr="00204A1F">
              <w:t>case studies and workplace scenarios to capture the range of situations likely to be encountered when imp</w:t>
            </w:r>
            <w:r w:rsidRPr="00204A1F">
              <w:t>roving compliance through industry partnerships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t xml:space="preserve">Valid assessment of this unit requires: </w:t>
            </w:r>
          </w:p>
          <w:p w:rsidR="00000000" w:rsidRPr="00204A1F" w:rsidP="00204A1F">
            <w:pPr>
              <w:pStyle w:val="ListBullet2"/>
            </w:pPr>
            <w:r w:rsidRPr="00204A1F">
              <w:t>a workplace environment or one that closely resembles normal work practice and replicates the range of conditions likely to be encou</w:t>
            </w:r>
            <w:r w:rsidRPr="00204A1F">
              <w:t>ntered when improving compliance through industry partnerships, including coping with difficulties, irregularities and breakdowns in routine</w:t>
            </w:r>
          </w:p>
          <w:p w:rsidR="00000000" w:rsidRPr="00204A1F" w:rsidP="00204A1F">
            <w:pPr>
              <w:pStyle w:val="ListBullet2"/>
            </w:pPr>
            <w:r w:rsidRPr="00204A1F">
              <w:t>development of industry partnerships to improve compliance in a range of (3 or more) contexts (or occasions, over t</w:t>
            </w:r>
            <w:r w:rsidRPr="00204A1F">
              <w:t>ime)</w:t>
            </w:r>
          </w:p>
          <w:p w:rsidR="00000000" w:rsidRPr="00204A1F" w:rsidP="00204A1F">
            <w:pPr>
              <w:pStyle w:val="BodyText"/>
            </w:pPr>
            <w:r w:rsidRPr="00204A1F">
              <w:t>Assessment methods should reflect workplace demands, such as literacy, and the needs of particular groups, such as:</w:t>
            </w:r>
          </w:p>
          <w:p w:rsidR="00000000" w:rsidRPr="00204A1F" w:rsidP="00204A1F">
            <w:pPr>
              <w:pStyle w:val="ListBullet2"/>
            </w:pPr>
            <w:r w:rsidRPr="00204A1F">
              <w:t>people with disabilities</w:t>
            </w:r>
          </w:p>
          <w:p w:rsidR="00000000" w:rsidRPr="00204A1F" w:rsidP="00204A1F">
            <w:pPr>
              <w:pStyle w:val="ListBullet2"/>
            </w:pPr>
            <w:r w:rsidRPr="00204A1F">
              <w:t>people from culturally and linguistically diverse backgrounds</w:t>
            </w:r>
          </w:p>
          <w:p w:rsidR="00000000" w:rsidRPr="00204A1F" w:rsidP="00204A1F">
            <w:pPr>
              <w:pStyle w:val="ListBullet2"/>
            </w:pPr>
            <w:r w:rsidRPr="00204A1F">
              <w:t>Aboriginal and Torres Strait Islander people</w:t>
            </w:r>
          </w:p>
          <w:p w:rsidR="00000000" w:rsidRPr="00204A1F" w:rsidP="00204A1F">
            <w:pPr>
              <w:pStyle w:val="ListBullet2"/>
            </w:pPr>
            <w:r w:rsidRPr="00204A1F">
              <w:t>women</w:t>
            </w:r>
          </w:p>
          <w:p w:rsidR="00000000" w:rsidRPr="00204A1F" w:rsidP="00204A1F">
            <w:pPr>
              <w:pStyle w:val="ListBullet2"/>
            </w:pPr>
            <w:r w:rsidRPr="00204A1F">
              <w:t>young people</w:t>
            </w:r>
          </w:p>
          <w:p w:rsidR="00000000" w:rsidRPr="00204A1F" w:rsidP="00204A1F">
            <w:pPr>
              <w:pStyle w:val="ListBullet2"/>
            </w:pPr>
            <w:r w:rsidRPr="00204A1F">
              <w:t>older people</w:t>
            </w:r>
          </w:p>
          <w:p w:rsidR="00000000" w:rsidRPr="00204A1F" w:rsidP="00204A1F">
            <w:pPr>
              <w:pStyle w:val="ListBullet2"/>
            </w:pPr>
            <w:r w:rsidRPr="00204A1F">
              <w:t>people in rural and remote locations</w:t>
            </w:r>
          </w:p>
          <w:p w:rsidR="00000000" w:rsidRPr="00204A1F" w:rsidP="00204A1F">
            <w:pPr>
              <w:pStyle w:val="BodyText"/>
            </w:pPr>
            <w:r w:rsidRPr="00204A1F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204A1F" w:rsidP="00204A1F">
            <w:pPr>
              <w:pStyle w:val="ListBullet2"/>
            </w:pPr>
            <w:r w:rsidRPr="00204A1F">
              <w:t>case studies</w:t>
            </w:r>
          </w:p>
          <w:p w:rsidR="00000000" w:rsidRPr="00204A1F" w:rsidP="00204A1F">
            <w:pPr>
              <w:pStyle w:val="ListBullet2"/>
            </w:pPr>
            <w:r w:rsidRPr="00204A1F">
              <w:t xml:space="preserve">portfolios </w:t>
            </w:r>
          </w:p>
          <w:p w:rsidR="00000000" w:rsidRPr="00204A1F" w:rsidP="00204A1F">
            <w:pPr>
              <w:pStyle w:val="ListBullet2"/>
            </w:pPr>
            <w:r w:rsidRPr="00204A1F">
              <w:t>projects</w:t>
            </w:r>
          </w:p>
          <w:p w:rsidR="00000000" w:rsidRPr="00204A1F" w:rsidP="00204A1F">
            <w:pPr>
              <w:pStyle w:val="ListBullet2"/>
            </w:pPr>
            <w:r w:rsidRPr="00204A1F">
              <w:t>qu</w:t>
            </w:r>
            <w:r w:rsidRPr="00204A1F">
              <w:t>estioning</w:t>
            </w:r>
          </w:p>
          <w:p w:rsidR="00000000" w:rsidRPr="00204A1F" w:rsidP="00204A1F">
            <w:pPr>
              <w:pStyle w:val="ListBullet2"/>
            </w:pPr>
            <w:r w:rsidRPr="00204A1F">
              <w:t>scenarios</w:t>
            </w:r>
          </w:p>
          <w:p w:rsidR="00000000" w:rsidP="00204A1F">
            <w:pPr>
              <w:pStyle w:val="ListBullet2"/>
              <w:rPr>
                <w:lang w:val="en-NZ"/>
              </w:rPr>
            </w:pPr>
            <w:r w:rsidRPr="00204A1F">
              <w:t xml:space="preserve">authenticated evidence from the workplace and/or training courses  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BodyText"/>
            </w:pPr>
            <w:r w:rsidRPr="00204A1F">
              <w:t xml:space="preserve">Evidence must be gathered over time in a range of contexts to ensure the person can achieve the unit outcome and apply the competency in </w:t>
            </w:r>
            <w:r w:rsidRPr="00204A1F">
              <w:t>different situations or environments</w:t>
            </w:r>
          </w:p>
        </w:tc>
      </w:tr>
    </w:tbl>
    <w:p w:rsidR="00000000" w:rsidRPr="00204A1F" w:rsidP="00204A1F">
      <w:pPr>
        <w:pStyle w:val="BodyText"/>
      </w:pPr>
    </w:p>
    <w:p w:rsidR="00000000" w:rsidRPr="00204A1F" w:rsidP="00204A1F">
      <w:pPr>
        <w:pStyle w:val="AllowPageBreak"/>
      </w:pPr>
    </w:p>
    <w:p w:rsidR="00000000" w:rsidRPr="00204A1F" w:rsidP="00204A1F">
      <w:pPr>
        <w:pStyle w:val="Heading1"/>
      </w:pPr>
      <w:bookmarkStart w:id="11" w:name="O_500137"/>
      <w:bookmarkEnd w:id="11"/>
      <w:r w:rsidRPr="00204A1F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t>The Range Statement provides information about the context in which the unit of competency is carried out. The variables cater for differences between States and Territories and the Co</w:t>
            </w:r>
            <w:r w:rsidRPr="00204A1F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204A1F">
              <w:rPr>
                <w:rStyle w:val="BoldandItalics"/>
              </w:rPr>
              <w:t>bold italics</w:t>
            </w:r>
            <w:r w:rsidRPr="00204A1F">
              <w:t xml:space="preserve"> in the Perform</w:t>
            </w:r>
            <w:r w:rsidRPr="00204A1F">
              <w:t>ance Criteria is explained here.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BoldandItalics"/>
              </w:rPr>
              <w:t>Potential partners</w:t>
            </w:r>
            <w:r w:rsidRPr="00204A1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ListBullet2"/>
            </w:pPr>
            <w:r w:rsidRPr="00204A1F">
              <w:t>industry reference groups</w:t>
            </w:r>
          </w:p>
          <w:p w:rsidR="00000000" w:rsidRPr="00204A1F" w:rsidP="00204A1F">
            <w:pPr>
              <w:pStyle w:val="ListBullet2"/>
            </w:pPr>
            <w:r w:rsidRPr="00204A1F">
              <w:t>industry peak bodies and associations</w:t>
            </w:r>
          </w:p>
          <w:p w:rsidR="00000000" w:rsidRPr="00204A1F" w:rsidP="00204A1F">
            <w:pPr>
              <w:pStyle w:val="ListBullet2"/>
            </w:pPr>
            <w:r w:rsidRPr="00204A1F">
              <w:t>employer groups and associations</w:t>
            </w:r>
          </w:p>
          <w:p w:rsidR="00000000" w:rsidRPr="00204A1F" w:rsidP="00204A1F">
            <w:pPr>
              <w:pStyle w:val="ListBullet2"/>
            </w:pPr>
            <w:r w:rsidRPr="00204A1F">
              <w:t>employee groups and associations</w:t>
            </w:r>
          </w:p>
          <w:p w:rsidR="00000000" w:rsidRPr="00204A1F" w:rsidP="00204A1F">
            <w:pPr>
              <w:pStyle w:val="ListBullet2"/>
            </w:pPr>
            <w:r w:rsidRPr="00204A1F">
              <w:t>other government organisations</w:t>
            </w:r>
          </w:p>
          <w:p w:rsidR="00000000" w:rsidRPr="00204A1F" w:rsidP="00204A1F">
            <w:pPr>
              <w:pStyle w:val="ListBullet2"/>
            </w:pPr>
            <w:r w:rsidRPr="00204A1F">
              <w:t>individual organisations</w:t>
            </w:r>
          </w:p>
          <w:p w:rsidR="00000000" w:rsidRPr="00204A1F" w:rsidP="00204A1F">
            <w:pPr>
              <w:pStyle w:val="ListBullet2"/>
            </w:pPr>
            <w:r w:rsidRPr="00204A1F">
              <w:t>community groups</w:t>
            </w:r>
          </w:p>
          <w:p w:rsidR="00000000" w:rsidP="00204A1F">
            <w:pPr>
              <w:pStyle w:val="ListBullet2"/>
              <w:rPr>
                <w:lang w:val="en-NZ"/>
              </w:rPr>
            </w:pPr>
            <w:r w:rsidRPr="00204A1F">
              <w:t>individual workplaces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BoldandItalics"/>
              </w:rPr>
              <w:t>Roles and activities of partnership</w:t>
            </w:r>
            <w:r w:rsidRPr="00204A1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ListBullet2"/>
            </w:pPr>
            <w:r w:rsidRPr="00204A1F">
              <w:t>enforcement activities</w:t>
            </w:r>
          </w:p>
          <w:p w:rsidR="00000000" w:rsidRPr="00204A1F" w:rsidP="00204A1F">
            <w:pPr>
              <w:pStyle w:val="ListBullet2"/>
            </w:pPr>
            <w:r w:rsidRPr="00204A1F">
              <w:t>establishment and implementation of occupational health and safety and/or workers compensation and/or injury management and/or workplace relati</w:t>
            </w:r>
            <w:r w:rsidRPr="00204A1F">
              <w:t>ons policy and procedures</w:t>
            </w:r>
          </w:p>
          <w:p w:rsidR="00000000" w:rsidRPr="00204A1F" w:rsidP="00204A1F">
            <w:pPr>
              <w:pStyle w:val="ListBullet2"/>
            </w:pPr>
            <w:r w:rsidRPr="00204A1F">
              <w:t>safety management systems</w:t>
            </w:r>
          </w:p>
          <w:p w:rsidR="00000000" w:rsidRPr="00204A1F" w:rsidP="00204A1F">
            <w:pPr>
              <w:pStyle w:val="ListBullet2"/>
            </w:pPr>
            <w:r w:rsidRPr="00204A1F">
              <w:t>case management</w:t>
            </w:r>
          </w:p>
          <w:p w:rsidR="00000000" w:rsidRPr="00204A1F" w:rsidP="00204A1F">
            <w:pPr>
              <w:pStyle w:val="ListBullet2"/>
            </w:pPr>
            <w:r w:rsidRPr="00204A1F">
              <w:t>auditing</w:t>
            </w:r>
          </w:p>
          <w:p w:rsidR="00000000" w:rsidRPr="00204A1F" w:rsidP="00204A1F">
            <w:pPr>
              <w:pStyle w:val="ListBullet2"/>
            </w:pPr>
            <w:r w:rsidRPr="00204A1F">
              <w:t>education/training</w:t>
            </w:r>
          </w:p>
          <w:p w:rsidR="00000000" w:rsidRPr="00204A1F" w:rsidP="00204A1F">
            <w:pPr>
              <w:pStyle w:val="ListBullet2"/>
            </w:pPr>
            <w:r w:rsidRPr="00204A1F">
              <w:t>promotion/marketing</w:t>
            </w:r>
          </w:p>
          <w:p w:rsidR="00000000" w:rsidRPr="00204A1F" w:rsidP="00204A1F">
            <w:pPr>
              <w:pStyle w:val="ListBullet2"/>
            </w:pPr>
            <w:r w:rsidRPr="00204A1F">
              <w:t>awareness raising</w:t>
            </w:r>
          </w:p>
          <w:p w:rsidR="00000000" w:rsidRPr="00204A1F" w:rsidP="00204A1F">
            <w:pPr>
              <w:pStyle w:val="ListBullet2"/>
            </w:pPr>
            <w:r w:rsidRPr="00204A1F">
              <w:t>joint targeted compliance campaigns</w:t>
            </w:r>
          </w:p>
          <w:p w:rsidR="00000000" w:rsidP="00204A1F">
            <w:pPr>
              <w:pStyle w:val="ListBullet2"/>
              <w:rPr>
                <w:lang w:val="en-NZ"/>
              </w:rPr>
            </w:pPr>
            <w:r w:rsidRPr="00204A1F">
              <w:t>development of codes of practice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BoldandItalics"/>
              </w:rPr>
              <w:t>Options and specific proposals for improving workplace legislative compliance</w:t>
            </w:r>
            <w:r w:rsidRPr="00204A1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ListBullet2"/>
            </w:pPr>
            <w:r w:rsidRPr="00204A1F">
              <w:t>industry codes or practice</w:t>
            </w:r>
          </w:p>
          <w:p w:rsidR="00000000" w:rsidRPr="00204A1F" w:rsidP="00204A1F">
            <w:pPr>
              <w:pStyle w:val="ListBullet2"/>
            </w:pPr>
            <w:r w:rsidRPr="00204A1F">
              <w:t>agreed industry strategies</w:t>
            </w:r>
          </w:p>
          <w:p w:rsidR="00000000" w:rsidRPr="00204A1F" w:rsidP="00204A1F">
            <w:pPr>
              <w:pStyle w:val="ListBullet2"/>
            </w:pPr>
            <w:r w:rsidRPr="00204A1F">
              <w:t>guidance materials</w:t>
            </w:r>
          </w:p>
          <w:p w:rsidR="00000000" w:rsidRPr="00204A1F" w:rsidP="00204A1F">
            <w:pPr>
              <w:pStyle w:val="ListBullet2"/>
            </w:pPr>
            <w:r w:rsidRPr="00204A1F">
              <w:t>task force</w:t>
            </w:r>
          </w:p>
          <w:p w:rsidR="00000000" w:rsidRPr="00204A1F" w:rsidP="00204A1F">
            <w:pPr>
              <w:pStyle w:val="ListBullet2"/>
            </w:pPr>
            <w:r w:rsidRPr="00204A1F">
              <w:t>memoranda of understanding</w:t>
            </w:r>
          </w:p>
          <w:p w:rsidR="00000000" w:rsidRPr="00204A1F" w:rsidP="00204A1F">
            <w:pPr>
              <w:pStyle w:val="ListBullet2"/>
            </w:pPr>
            <w:r w:rsidRPr="00204A1F">
              <w:t>joint learning/training initiatives</w:t>
            </w:r>
          </w:p>
          <w:p w:rsidR="00000000" w:rsidP="00204A1F">
            <w:pPr>
              <w:pStyle w:val="ListBullet2"/>
              <w:rPr>
                <w:lang w:val="en-NZ"/>
              </w:rPr>
            </w:pPr>
            <w:r w:rsidRPr="00204A1F">
              <w:t>community partner</w:t>
            </w:r>
            <w:r w:rsidRPr="00204A1F">
              <w:t>ships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BoldandItalics"/>
              </w:rPr>
              <w:t>Workplace legislative compliance</w:t>
            </w:r>
            <w:r w:rsidRPr="00204A1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ListBullet2"/>
              <w:rPr>
                <w:lang w:val="en-NZ"/>
              </w:rPr>
            </w:pPr>
            <w:r w:rsidRPr="00204A1F">
              <w:t>occupational health and safety and/or workers compensation and/or injury management and/or workplace relations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BoldandItalics"/>
              </w:rPr>
              <w:t>Internal clients</w:t>
            </w:r>
            <w:r w:rsidRPr="00204A1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ListBullet2"/>
            </w:pPr>
            <w:r w:rsidRPr="00204A1F">
              <w:t>team members</w:t>
            </w:r>
          </w:p>
          <w:p w:rsidR="00000000" w:rsidRPr="00204A1F" w:rsidP="00204A1F">
            <w:pPr>
              <w:pStyle w:val="ListBullet2"/>
            </w:pPr>
            <w:r w:rsidRPr="00204A1F">
              <w:t>industry teams</w:t>
            </w:r>
          </w:p>
          <w:p w:rsidR="00000000" w:rsidRPr="00204A1F" w:rsidP="00204A1F">
            <w:pPr>
              <w:pStyle w:val="ListBullet2"/>
            </w:pPr>
            <w:r w:rsidRPr="00204A1F">
              <w:t>management</w:t>
            </w:r>
          </w:p>
          <w:p w:rsidR="00000000" w:rsidRPr="00204A1F" w:rsidP="00204A1F">
            <w:pPr>
              <w:pStyle w:val="ListBullet2"/>
            </w:pPr>
            <w:r w:rsidRPr="00204A1F">
              <w:t>executive management</w:t>
            </w:r>
          </w:p>
          <w:p w:rsidR="00000000" w:rsidRPr="00204A1F" w:rsidP="00204A1F">
            <w:pPr>
              <w:pStyle w:val="ListBullet2"/>
            </w:pPr>
            <w:r w:rsidRPr="00204A1F">
              <w:t>industry reference groups</w:t>
            </w:r>
          </w:p>
          <w:p w:rsidR="00000000" w:rsidRPr="00204A1F" w:rsidP="00204A1F">
            <w:pPr>
              <w:pStyle w:val="ListBullet2"/>
            </w:pPr>
            <w:r w:rsidRPr="00204A1F">
              <w:t>advisory council</w:t>
            </w:r>
          </w:p>
          <w:p w:rsidR="00000000" w:rsidRPr="00204A1F" w:rsidP="00204A1F">
            <w:pPr>
              <w:pStyle w:val="ListBullet2"/>
            </w:pPr>
            <w:r w:rsidRPr="00204A1F">
              <w:t>occupational health and safety council</w:t>
            </w:r>
          </w:p>
          <w:p w:rsidR="00000000" w:rsidRPr="00204A1F" w:rsidP="00204A1F">
            <w:pPr>
              <w:pStyle w:val="ListBullet2"/>
            </w:pPr>
            <w:r w:rsidRPr="00204A1F">
              <w:t>the organisation's board</w:t>
            </w:r>
          </w:p>
          <w:p w:rsidR="00000000" w:rsidRPr="00204A1F" w:rsidP="00204A1F">
            <w:pPr>
              <w:pStyle w:val="ListBullet2"/>
            </w:pPr>
            <w:r w:rsidRPr="00204A1F">
              <w:t>organisation staff</w:t>
            </w:r>
          </w:p>
          <w:p w:rsidR="00000000" w:rsidP="00204A1F">
            <w:pPr>
              <w:pStyle w:val="ListBullet2"/>
              <w:rPr>
                <w:lang w:val="en-NZ"/>
              </w:rPr>
            </w:pPr>
            <w:r w:rsidRPr="00204A1F">
              <w:t>commission</w:t>
            </w:r>
          </w:p>
        </w:tc>
      </w:tr>
      <w:tr w:rsidTr="00B942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1F">
            <w:pPr>
              <w:pStyle w:val="BodyText"/>
              <w:rPr>
                <w:lang w:val="en-NZ"/>
              </w:rPr>
            </w:pPr>
            <w:r w:rsidRPr="00204A1F">
              <w:rPr>
                <w:rStyle w:val="BoldandItalics"/>
              </w:rPr>
              <w:t>External clients</w:t>
            </w:r>
            <w:r w:rsidRPr="00204A1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1F" w:rsidP="00204A1F">
            <w:pPr>
              <w:pStyle w:val="ListBullet2"/>
            </w:pPr>
            <w:r w:rsidRPr="00204A1F">
              <w:t>Minister</w:t>
            </w:r>
          </w:p>
          <w:p w:rsidR="00000000" w:rsidRPr="00204A1F" w:rsidP="00204A1F">
            <w:pPr>
              <w:pStyle w:val="ListBullet2"/>
            </w:pPr>
            <w:r w:rsidRPr="00204A1F">
              <w:t>employer groups</w:t>
            </w:r>
          </w:p>
          <w:p w:rsidR="00000000" w:rsidRPr="00204A1F" w:rsidP="00204A1F">
            <w:pPr>
              <w:pStyle w:val="ListBullet2"/>
            </w:pPr>
            <w:r w:rsidRPr="00204A1F">
              <w:t>employee groups</w:t>
            </w:r>
          </w:p>
          <w:p w:rsidR="00000000" w:rsidRPr="00204A1F" w:rsidP="00204A1F">
            <w:pPr>
              <w:pStyle w:val="ListBullet2"/>
            </w:pPr>
            <w:r w:rsidRPr="00204A1F">
              <w:t>peak industry bodies</w:t>
            </w:r>
          </w:p>
          <w:p w:rsidR="00000000" w:rsidRPr="00204A1F" w:rsidP="00204A1F">
            <w:pPr>
              <w:pStyle w:val="ListBullet2"/>
            </w:pPr>
            <w:r w:rsidRPr="00204A1F">
              <w:t>other government organ</w:t>
            </w:r>
            <w:r w:rsidRPr="00204A1F">
              <w:t>isations</w:t>
            </w:r>
          </w:p>
          <w:p w:rsidR="00000000" w:rsidRPr="00204A1F" w:rsidP="00204A1F">
            <w:pPr>
              <w:pStyle w:val="ListBullet2"/>
            </w:pPr>
            <w:r w:rsidRPr="00204A1F">
              <w:t>members of parliament</w:t>
            </w:r>
          </w:p>
          <w:p w:rsidR="00000000" w:rsidRPr="00204A1F" w:rsidP="00204A1F">
            <w:pPr>
              <w:pStyle w:val="ListBullet2"/>
            </w:pPr>
            <w:r w:rsidRPr="00204A1F">
              <w:t>community</w:t>
            </w:r>
          </w:p>
          <w:p w:rsidR="00000000" w:rsidRPr="00204A1F" w:rsidP="00204A1F">
            <w:pPr>
              <w:pStyle w:val="ListBullet2"/>
            </w:pPr>
            <w:r w:rsidRPr="00204A1F">
              <w:t>media</w:t>
            </w:r>
          </w:p>
          <w:p w:rsidR="00000000" w:rsidRPr="00204A1F" w:rsidP="00204A1F">
            <w:pPr>
              <w:pStyle w:val="ListBullet2"/>
            </w:pPr>
            <w:r w:rsidRPr="00204A1F">
              <w:t>insurers</w:t>
            </w:r>
          </w:p>
          <w:p w:rsidR="00000000" w:rsidRPr="00204A1F" w:rsidP="00204A1F">
            <w:pPr>
              <w:pStyle w:val="ListBullet2"/>
            </w:pPr>
            <w:r w:rsidRPr="00204A1F">
              <w:t>self-insurers</w:t>
            </w:r>
          </w:p>
          <w:p w:rsidR="00000000" w:rsidRPr="00204A1F" w:rsidP="00204A1F">
            <w:pPr>
              <w:pStyle w:val="ListBullet2"/>
            </w:pPr>
            <w:r w:rsidRPr="00204A1F">
              <w:t>rehabilitation providers</w:t>
            </w:r>
          </w:p>
          <w:p w:rsidR="00000000" w:rsidRPr="00204A1F" w:rsidP="00204A1F">
            <w:pPr>
              <w:pStyle w:val="ListBullet2"/>
            </w:pPr>
            <w:r w:rsidRPr="00204A1F">
              <w:t>labour relations bodies</w:t>
            </w:r>
          </w:p>
        </w:tc>
      </w:tr>
    </w:tbl>
    <w:p w:rsidR="00B942BE" w:rsidP="00204A1F">
      <w:pPr>
        <w:pStyle w:val="BodyText"/>
      </w:pPr>
    </w:p>
    <w:p w:rsidR="00B942BE" w:rsidP="00204A1F">
      <w:pPr>
        <w:pStyle w:val="BodyText"/>
      </w:pPr>
    </w:p>
    <w:p w:rsidR="00000000" w:rsidRPr="00204A1F" w:rsidP="00204A1F">
      <w:pPr>
        <w:pStyle w:val="Heading1"/>
      </w:pPr>
      <w:bookmarkStart w:id="12" w:name="O_500141"/>
      <w:bookmarkEnd w:id="12"/>
      <w:r w:rsidRPr="00204A1F">
        <w:t>Unit Sector(s)</w:t>
      </w:r>
    </w:p>
    <w:p w:rsidR="00000000" w:rsidRPr="00204A1F" w:rsidP="00204A1F">
      <w:pPr>
        <w:pStyle w:val="BodyText"/>
      </w:pPr>
      <w:r w:rsidRPr="00204A1F">
        <w:t>Not applicable.</w:t>
      </w:r>
    </w:p>
    <w:p w:rsidR="00000000" w:rsidRPr="00204A1F" w:rsidP="00204A1F">
      <w:pPr>
        <w:pStyle w:val="AllowPageBreak"/>
      </w:pPr>
    </w:p>
    <w:p w:rsidR="00000000" w:rsidRPr="00204A1F" w:rsidP="00204A1F">
      <w:pPr>
        <w:pStyle w:val="Heading1"/>
      </w:pPr>
      <w:bookmarkStart w:id="13" w:name="O_500145"/>
      <w:bookmarkEnd w:id="13"/>
      <w:r w:rsidRPr="00204A1F">
        <w:t>Competency field</w:t>
      </w:r>
    </w:p>
    <w:p w:rsidR="00000000" w:rsidRPr="00204A1F" w:rsidP="00204A1F">
      <w:pPr>
        <w:pStyle w:val="BodyText"/>
      </w:pPr>
      <w:r w:rsidRPr="00204A1F">
        <w:t>Workplace Inspection.</w:t>
      </w:r>
    </w:p>
    <w:p w:rsidR="00000000" w:rsidRPr="00204A1F" w:rsidP="00204A1F"/>
    <w:sectPr w:rsidSect="00204A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942BE" w:rsidP="00B942B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BE" w:rsidP="00204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942BE" w:rsidP="00204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942BE" w:rsidP="00204A1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1F" w:rsidRPr="00B942BE" w:rsidP="00B942B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BE" w:rsidRPr="002D2AF8" w:rsidP="00204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PSPWPI601B Improve compliance through industry partnerships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B942BE" w:rsidP="00204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AA6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D4B3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A1F"/>
  </w:style>
  <w:style w:type="character" w:customStyle="1" w:styleId="Heading1Char">
    <w:name w:val="Heading 1 Char"/>
    <w:basedOn w:val="DefaultParagraphFont"/>
    <w:link w:val="Heading1"/>
    <w:rsid w:val="00204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A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A1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04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A1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04A1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04A1F"/>
    <w:rPr>
      <w:b/>
      <w:spacing w:val="0"/>
    </w:rPr>
  </w:style>
  <w:style w:type="paragraph" w:styleId="ListBullet2">
    <w:name w:val="List Bullet 2"/>
    <w:basedOn w:val="List2"/>
    <w:rsid w:val="00204A1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4A1F"/>
    <w:rPr>
      <w:i/>
    </w:rPr>
  </w:style>
  <w:style w:type="paragraph" w:customStyle="1" w:styleId="SuperHeading">
    <w:name w:val="SuperHeading"/>
    <w:basedOn w:val="Normal"/>
    <w:rsid w:val="00204A1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04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4A1F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204A1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04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4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A1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04A1F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4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A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4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A1F"/>
  </w:style>
  <w:style w:type="paragraph" w:styleId="TableofFigures">
    <w:name w:val="table of figures"/>
    <w:basedOn w:val="Normal"/>
    <w:next w:val="Normal"/>
    <w:semiHidden/>
    <w:rsid w:val="00204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A1F"/>
    <w:pPr>
      <w:numPr>
        <w:numId w:val="11"/>
      </w:numPr>
    </w:pPr>
  </w:style>
  <w:style w:type="character" w:customStyle="1" w:styleId="WingdingSymbols">
    <w:name w:val="Wingding Symbols"/>
    <w:rsid w:val="00204A1F"/>
    <w:rPr>
      <w:rFonts w:ascii="Wingdings" w:hAnsi="Wingdings"/>
    </w:rPr>
  </w:style>
  <w:style w:type="paragraph" w:customStyle="1" w:styleId="TableHeading">
    <w:name w:val="Table Heading"/>
    <w:basedOn w:val="HeadingBase"/>
    <w:rsid w:val="00204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A1F"/>
    <w:rPr>
      <w:color w:val="0033CC"/>
      <w:u w:val="none"/>
    </w:rPr>
  </w:style>
  <w:style w:type="paragraph" w:customStyle="1" w:styleId="BodyTextRight">
    <w:name w:val="Body Text Right"/>
    <w:basedOn w:val="BodyText"/>
    <w:rsid w:val="00204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A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A1F"/>
    <w:rPr>
      <w:sz w:val="32"/>
    </w:rPr>
  </w:style>
  <w:style w:type="paragraph" w:customStyle="1" w:styleId="HeadingProcedure">
    <w:name w:val="Heading Procedure"/>
    <w:basedOn w:val="HeadingBase"/>
    <w:next w:val="Normal"/>
    <w:rsid w:val="00204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A1F"/>
    <w:pPr>
      <w:spacing w:before="60" w:after="60"/>
    </w:pPr>
  </w:style>
  <w:style w:type="paragraph" w:styleId="ListContinue">
    <w:name w:val="List Continue"/>
    <w:basedOn w:val="List"/>
    <w:rsid w:val="00204A1F"/>
    <w:pPr>
      <w:ind w:firstLine="0"/>
    </w:pPr>
  </w:style>
  <w:style w:type="paragraph" w:customStyle="1" w:styleId="ListNote">
    <w:name w:val="List Note"/>
    <w:basedOn w:val="List"/>
    <w:rsid w:val="00204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A1F"/>
    <w:rPr>
      <w:rFonts w:ascii="Courier New" w:hAnsi="Courier New"/>
    </w:rPr>
  </w:style>
  <w:style w:type="paragraph" w:customStyle="1" w:styleId="NoteBullet">
    <w:name w:val="Note Bullet"/>
    <w:basedOn w:val="Note"/>
    <w:rsid w:val="00204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A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4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A1F"/>
    <w:rPr>
      <w:b/>
      <w:smallCaps/>
    </w:rPr>
  </w:style>
  <w:style w:type="paragraph" w:customStyle="1" w:styleId="TableListNumber">
    <w:name w:val="Table List Number"/>
    <w:basedOn w:val="ListNumber"/>
    <w:rsid w:val="00204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A1F"/>
    <w:pPr>
      <w:numPr>
        <w:numId w:val="9"/>
      </w:numPr>
    </w:pPr>
  </w:style>
  <w:style w:type="paragraph" w:customStyle="1" w:styleId="ListAlpha2">
    <w:name w:val="List Alpha 2"/>
    <w:basedOn w:val="List2"/>
    <w:rsid w:val="00204A1F"/>
    <w:pPr>
      <w:numPr>
        <w:numId w:val="8"/>
      </w:numPr>
    </w:pPr>
  </w:style>
  <w:style w:type="paragraph" w:styleId="List2">
    <w:name w:val="List 2"/>
    <w:basedOn w:val="BodyText"/>
    <w:rsid w:val="00204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A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4A1F"/>
    <w:pPr>
      <w:numPr>
        <w:numId w:val="3"/>
      </w:numPr>
    </w:pPr>
  </w:style>
  <w:style w:type="paragraph" w:styleId="ListBullet5">
    <w:name w:val="List Bullet 5"/>
    <w:basedOn w:val="List5"/>
    <w:rsid w:val="00204A1F"/>
    <w:pPr>
      <w:numPr>
        <w:numId w:val="4"/>
      </w:numPr>
    </w:pPr>
  </w:style>
  <w:style w:type="paragraph" w:styleId="ListContinue2">
    <w:name w:val="List Continue 2"/>
    <w:basedOn w:val="List2"/>
    <w:rsid w:val="00204A1F"/>
    <w:pPr>
      <w:ind w:firstLine="0"/>
    </w:pPr>
  </w:style>
  <w:style w:type="paragraph" w:styleId="ListContinue3">
    <w:name w:val="List Continue 3"/>
    <w:basedOn w:val="List3"/>
    <w:rsid w:val="00204A1F"/>
    <w:pPr>
      <w:ind w:left="1021" w:firstLine="0"/>
    </w:pPr>
  </w:style>
  <w:style w:type="paragraph" w:styleId="ListContinue4">
    <w:name w:val="List Continue 4"/>
    <w:basedOn w:val="List4"/>
    <w:rsid w:val="00204A1F"/>
    <w:pPr>
      <w:ind w:firstLine="0"/>
    </w:pPr>
  </w:style>
  <w:style w:type="paragraph" w:styleId="ListContinue5">
    <w:name w:val="List Continue 5"/>
    <w:basedOn w:val="List5"/>
    <w:rsid w:val="00204A1F"/>
    <w:pPr>
      <w:ind w:firstLine="0"/>
    </w:pPr>
  </w:style>
  <w:style w:type="paragraph" w:styleId="ListNumber3">
    <w:name w:val="List Number 3"/>
    <w:basedOn w:val="List3"/>
    <w:rsid w:val="00204A1F"/>
    <w:pPr>
      <w:numPr>
        <w:numId w:val="5"/>
      </w:numPr>
    </w:pPr>
  </w:style>
  <w:style w:type="paragraph" w:styleId="ListNumber4">
    <w:name w:val="List Number 4"/>
    <w:basedOn w:val="List4"/>
    <w:rsid w:val="00204A1F"/>
    <w:pPr>
      <w:numPr>
        <w:numId w:val="6"/>
      </w:numPr>
    </w:pPr>
  </w:style>
  <w:style w:type="paragraph" w:styleId="ListNumber5">
    <w:name w:val="List Number 5"/>
    <w:basedOn w:val="List5"/>
    <w:rsid w:val="00204A1F"/>
    <w:pPr>
      <w:numPr>
        <w:numId w:val="7"/>
      </w:numPr>
    </w:pPr>
  </w:style>
  <w:style w:type="paragraph" w:styleId="BlockText">
    <w:name w:val="Block Text"/>
    <w:basedOn w:val="Normal"/>
    <w:rsid w:val="00204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A1F"/>
    <w:rPr>
      <w:sz w:val="16"/>
      <w:vertAlign w:val="superscript"/>
    </w:rPr>
  </w:style>
  <w:style w:type="character" w:customStyle="1" w:styleId="Symbols">
    <w:name w:val="Symbols"/>
    <w:basedOn w:val="DefaultParagraphFont"/>
    <w:rsid w:val="00204A1F"/>
    <w:rPr>
      <w:rFonts w:ascii="Symbol" w:hAnsi="Symbol"/>
    </w:rPr>
  </w:style>
  <w:style w:type="character" w:customStyle="1" w:styleId="MenuOptions">
    <w:name w:val="Menu Options"/>
    <w:basedOn w:val="DefaultParagraphFont"/>
    <w:rsid w:val="00204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A1F"/>
    <w:rPr>
      <w:b/>
    </w:rPr>
  </w:style>
  <w:style w:type="character" w:customStyle="1" w:styleId="Underlined">
    <w:name w:val="Underlined"/>
    <w:basedOn w:val="DefaultParagraphFont"/>
    <w:rsid w:val="00204A1F"/>
    <w:rPr>
      <w:u w:val="single"/>
    </w:rPr>
  </w:style>
  <w:style w:type="paragraph" w:customStyle="1" w:styleId="TableBodyTextRight">
    <w:name w:val="Table Body Text Right"/>
    <w:basedOn w:val="TableBodyText"/>
    <w:rsid w:val="00204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A1F"/>
    <w:rPr>
      <w:sz w:val="18"/>
    </w:rPr>
  </w:style>
  <w:style w:type="paragraph" w:customStyle="1" w:styleId="BodySmallRight">
    <w:name w:val="Body Small Right"/>
    <w:basedOn w:val="BodyTextRight"/>
    <w:rsid w:val="00204A1F"/>
    <w:rPr>
      <w:sz w:val="18"/>
      <w:szCs w:val="18"/>
    </w:rPr>
  </w:style>
  <w:style w:type="paragraph" w:customStyle="1" w:styleId="MarginEdition">
    <w:name w:val="Margin Edition"/>
    <w:basedOn w:val="MarginNote"/>
    <w:rsid w:val="00204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A1F"/>
    <w:rPr>
      <w:sz w:val="2"/>
      <w:szCs w:val="2"/>
    </w:rPr>
  </w:style>
  <w:style w:type="character" w:customStyle="1" w:styleId="Small">
    <w:name w:val="Small"/>
    <w:basedOn w:val="DefaultParagraphFont"/>
    <w:rsid w:val="00204A1F"/>
    <w:rPr>
      <w:sz w:val="16"/>
    </w:rPr>
  </w:style>
  <w:style w:type="paragraph" w:customStyle="1" w:styleId="WideTable">
    <w:name w:val="Wide Table"/>
    <w:basedOn w:val="Normal"/>
    <w:rsid w:val="00204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A1F"/>
  </w:style>
  <w:style w:type="paragraph" w:styleId="Quote">
    <w:name w:val="Quote"/>
    <w:basedOn w:val="Heading1"/>
    <w:link w:val="QuoteChar"/>
    <w:qFormat/>
    <w:rsid w:val="00204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A1F"/>
    <w:pPr>
      <w:pageBreakBefore/>
    </w:pPr>
  </w:style>
  <w:style w:type="paragraph" w:customStyle="1" w:styleId="Border">
    <w:name w:val="Border"/>
    <w:basedOn w:val="Normal"/>
    <w:qFormat/>
    <w:rsid w:val="00204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A1F"/>
    <w:rPr>
      <w:u w:val="single"/>
    </w:rPr>
  </w:style>
  <w:style w:type="paragraph" w:styleId="BalloonText">
    <w:name w:val="Balloon Text"/>
    <w:basedOn w:val="Normal"/>
    <w:link w:val="BalloonTextChar"/>
    <w:rsid w:val="00204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A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A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1148</Words>
  <Characters>7737</Characters>
  <Application>Microsoft Office Word</Application>
  <DocSecurity>0</DocSecurity>
  <Lines>273</Lines>
  <Paragraphs>172</Paragraphs>
  <ScaleCrop>false</ScaleCrop>
  <Company>Author-it Software Corporation Ltd.</Company>
  <LinksUpToDate>false</LinksUpToDate>
  <CharactersWithSpaces>8822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PSPWPI601B Improve compliance through industry partnerships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2012-11-01T18:45:00Z</dcterms:created>
  <dcterms:modified xsi:type="dcterms:W3CDTF">2012-11-01T18:45:00Z</dcterms:modified>
</cp:coreProperties>
</file>