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E1695" w:rsidP="00AE1695">
      <w:pPr>
        <w:pStyle w:val="Title"/>
      </w:pPr>
      <w:bookmarkStart w:id="0" w:name="_GoBack"/>
      <w:bookmarkEnd w:id="0"/>
      <w:r>
        <w:fldChar w:fldCharType="begin"/>
      </w:r>
      <w:r>
        <w:instrText xml:space="preserve"> TITLE   \* MERGEFORMAT </w:instrText>
      </w:r>
      <w:r>
        <w:fldChar w:fldCharType="separate"/>
      </w:r>
      <w:r>
        <w:t>PSPTIS508A Analyse texts to be translated (LOTE)</w:t>
      </w:r>
      <w:r>
        <w:fldChar w:fldCharType="end"/>
      </w:r>
    </w:p>
    <w:p w:rsidR="00AE1695" w:rsidP="00AE1695">
      <w:pPr>
        <w:pStyle w:val="Version"/>
        <w:sectPr w:rsidSect="007F2E1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3</w:t>
      </w:r>
      <w:r>
        <w:fldChar w:fldCharType="end"/>
      </w:r>
    </w:p>
    <w:p w:rsidR="00000000" w:rsidRPr="007F2E1A" w:rsidP="007F2E1A">
      <w:pPr>
        <w:pStyle w:val="SuperHeading"/>
      </w:pPr>
      <w:r w:rsidRPr="007F2E1A">
        <w:t>PSPTIS508A Analyse texts to be translated (LOTE)</w:t>
      </w:r>
    </w:p>
    <w:p w:rsidR="00000000" w:rsidRPr="007F2E1A" w:rsidP="007F2E1A">
      <w:pPr>
        <w:pStyle w:val="SuperHeading"/>
      </w:pPr>
    </w:p>
    <w:p w:rsidR="00000000" w:rsidRPr="007F2E1A" w:rsidP="007F2E1A">
      <w:pPr>
        <w:pStyle w:val="Heading1"/>
      </w:pPr>
      <w:bookmarkStart w:id="1" w:name="O_495571"/>
      <w:bookmarkEnd w:id="1"/>
      <w:r w:rsidRPr="007F2E1A">
        <w:t>Modification History</w:t>
      </w:r>
    </w:p>
    <w:tbl>
      <w:tblPr>
        <w:tblW w:w="0" w:type="auto"/>
        <w:tblLayout w:type="fixed"/>
        <w:tblCellMar>
          <w:left w:w="62" w:type="dxa"/>
          <w:right w:w="62" w:type="dxa"/>
        </w:tblCellMar>
        <w:tblLook w:val="0000"/>
      </w:tblPr>
      <w:tblGrid>
        <w:gridCol w:w="3052"/>
        <w:gridCol w:w="3052"/>
        <w:gridCol w:w="3052"/>
      </w:tblGrid>
      <w:tr w:rsidTr="00AE1695">
        <w:tblPrEx>
          <w:tblW w:w="0" w:type="auto"/>
          <w:tblLayout w:type="fixed"/>
          <w:tblCellMar>
            <w:left w:w="62" w:type="dxa"/>
            <w:right w:w="62" w:type="dxa"/>
          </w:tblCellMar>
          <w:tblLook w:val="0000"/>
        </w:tblPrEx>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F2E1A" w:rsidP="007F2E1A">
            <w:pPr>
              <w:pStyle w:val="BodyText"/>
            </w:pPr>
            <w:r w:rsidRPr="007F2E1A">
              <w:rPr>
                <w:rStyle w:val="SpecialBold"/>
              </w:rPr>
              <w:t>Release</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F2E1A" w:rsidP="007F2E1A">
            <w:pPr>
              <w:pStyle w:val="BodyText"/>
            </w:pPr>
            <w:r w:rsidRPr="007F2E1A">
              <w:rPr>
                <w:rStyle w:val="SpecialBold"/>
              </w:rPr>
              <w:t>TP Version</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2E1A">
            <w:pPr>
              <w:pStyle w:val="BodyText"/>
              <w:rPr>
                <w:lang w:val="en-NZ"/>
              </w:rPr>
            </w:pPr>
            <w:r w:rsidRPr="007F2E1A">
              <w:rPr>
                <w:rStyle w:val="SpecialBold"/>
              </w:rPr>
              <w:t>Comments</w:t>
            </w:r>
          </w:p>
        </w:tc>
      </w:tr>
      <w:tr w:rsidTr="00AE1695">
        <w:tblPrEx>
          <w:tblW w:w="0" w:type="auto"/>
          <w:tblLayout w:type="fixed"/>
          <w:tblCellMar>
            <w:left w:w="62" w:type="dxa"/>
            <w:right w:w="62" w:type="dxa"/>
          </w:tblCellMar>
          <w:tblLook w:val="0000"/>
        </w:tblPrEx>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2E1A">
            <w:pPr>
              <w:pStyle w:val="BodyText"/>
              <w:rPr>
                <w:lang w:val="en-NZ"/>
              </w:rPr>
            </w:pPr>
            <w:r w:rsidRPr="007F2E1A">
              <w:t>3</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2E1A">
            <w:pPr>
              <w:pStyle w:val="BodyText"/>
              <w:rPr>
                <w:lang w:val="en-NZ"/>
              </w:rPr>
            </w:pPr>
            <w:r w:rsidRPr="007F2E1A">
              <w:t>PSP12V1</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2E1A">
            <w:pPr>
              <w:pStyle w:val="BodyText"/>
              <w:rPr>
                <w:lang w:val="en-NZ"/>
              </w:rPr>
            </w:pPr>
            <w:r w:rsidRPr="007F2E1A">
              <w:t>Unit descriptor edited.</w:t>
            </w:r>
          </w:p>
        </w:tc>
      </w:tr>
      <w:tr w:rsidTr="00AE1695">
        <w:tblPrEx>
          <w:tblW w:w="0" w:type="auto"/>
          <w:tblLayout w:type="fixed"/>
          <w:tblCellMar>
            <w:left w:w="62" w:type="dxa"/>
            <w:right w:w="62" w:type="dxa"/>
          </w:tblCellMar>
          <w:tblLook w:val="0000"/>
        </w:tblPrEx>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2E1A">
            <w:pPr>
              <w:pStyle w:val="BodyText"/>
              <w:rPr>
                <w:lang w:val="en-NZ"/>
              </w:rPr>
            </w:pPr>
            <w:r w:rsidRPr="007F2E1A">
              <w:t>2</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2E1A">
            <w:pPr>
              <w:pStyle w:val="BodyText"/>
              <w:rPr>
                <w:lang w:val="en-NZ"/>
              </w:rPr>
            </w:pPr>
            <w:r w:rsidRPr="007F2E1A">
              <w:t>PSP04V4.2</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2E1A">
            <w:pPr>
              <w:pStyle w:val="BodyText"/>
              <w:rPr>
                <w:lang w:val="en-NZ"/>
              </w:rPr>
            </w:pPr>
            <w:r w:rsidRPr="007F2E1A">
              <w:t>Layout adjusted. No changes to content.</w:t>
            </w:r>
          </w:p>
        </w:tc>
      </w:tr>
      <w:tr w:rsidTr="00AE1695">
        <w:tblPrEx>
          <w:tblW w:w="0" w:type="auto"/>
          <w:tblLayout w:type="fixed"/>
          <w:tblCellMar>
            <w:left w:w="62" w:type="dxa"/>
            <w:right w:w="62" w:type="dxa"/>
          </w:tblCellMar>
          <w:tblLook w:val="0000"/>
        </w:tblPrEx>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2E1A">
            <w:pPr>
              <w:pStyle w:val="BodyText"/>
              <w:rPr>
                <w:lang w:val="en-NZ"/>
              </w:rPr>
            </w:pPr>
            <w:r w:rsidRPr="007F2E1A">
              <w:t>1</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2E1A">
            <w:pPr>
              <w:pStyle w:val="BodyText"/>
              <w:rPr>
                <w:lang w:val="en-NZ"/>
              </w:rPr>
            </w:pPr>
            <w:r w:rsidRPr="007F2E1A">
              <w:t>PSP04V4.1</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F2E1A" w:rsidP="007F2E1A">
            <w:pPr>
              <w:pStyle w:val="BodyText"/>
            </w:pPr>
            <w:r w:rsidRPr="007F2E1A">
              <w:t>Primary release.</w:t>
            </w:r>
          </w:p>
        </w:tc>
      </w:tr>
    </w:tbl>
    <w:p w:rsidR="00AE1695" w:rsidP="007F2E1A">
      <w:pPr>
        <w:pStyle w:val="BodyText"/>
      </w:pPr>
    </w:p>
    <w:p w:rsidR="00AE1695" w:rsidP="007F2E1A">
      <w:pPr>
        <w:pStyle w:val="BodyText"/>
      </w:pPr>
    </w:p>
    <w:p w:rsidR="00000000" w:rsidRPr="007F2E1A" w:rsidP="007F2E1A">
      <w:pPr>
        <w:pStyle w:val="Heading1"/>
      </w:pPr>
      <w:bookmarkStart w:id="2" w:name="O_495566"/>
      <w:bookmarkEnd w:id="2"/>
      <w:r w:rsidRPr="007F2E1A">
        <w:t>Unit Descriptor</w:t>
      </w:r>
    </w:p>
    <w:p w:rsidR="00000000" w:rsidRPr="007F2E1A" w:rsidP="007F2E1A">
      <w:pPr>
        <w:pStyle w:val="BodyText"/>
      </w:pPr>
      <w:r w:rsidRPr="007F2E1A">
        <w:t>This unit describes the outcomes required to read and analyse a written message in a source language for the purpose of later transfer to a target lan</w:t>
      </w:r>
      <w:r w:rsidRPr="007F2E1A">
        <w:t>guage, identifying the context, purpose and intent of the author and key linguistic, cultural, societal and situational elements to be conveyed in the future language transfer process.</w:t>
      </w:r>
    </w:p>
    <w:p w:rsidR="00000000" w:rsidRPr="007F2E1A" w:rsidP="007F2E1A">
      <w:pPr>
        <w:pStyle w:val="BodyText"/>
      </w:pPr>
      <w:r w:rsidRPr="007F2E1A">
        <w:t>No licensing, legislative, regulatory or certification requirements app</w:t>
      </w:r>
      <w:r w:rsidRPr="007F2E1A">
        <w:t>ly to this unit at the time of publication</w:t>
      </w:r>
    </w:p>
    <w:p w:rsidR="00000000" w:rsidRPr="007F2E1A" w:rsidP="007F2E1A">
      <w:pPr>
        <w:pStyle w:val="AllowPageBreak"/>
      </w:pPr>
    </w:p>
    <w:p w:rsidR="00000000" w:rsidRPr="007F2E1A" w:rsidP="007F2E1A">
      <w:pPr>
        <w:pStyle w:val="Heading1"/>
      </w:pPr>
      <w:bookmarkStart w:id="3" w:name="O_495579"/>
      <w:bookmarkEnd w:id="3"/>
      <w:r w:rsidRPr="007F2E1A">
        <w:t>Application of the Unit</w:t>
      </w:r>
    </w:p>
    <w:p w:rsidR="00000000" w:rsidRPr="007F2E1A" w:rsidP="007F2E1A">
      <w:pPr>
        <w:pStyle w:val="BodyText"/>
      </w:pPr>
      <w:r w:rsidRPr="007F2E1A">
        <w:t>This unit applies to all translating assignments.</w:t>
      </w:r>
    </w:p>
    <w:p w:rsidR="00000000" w:rsidRPr="007F2E1A" w:rsidP="007F2E1A">
      <w:pPr>
        <w:pStyle w:val="AllowPageBreak"/>
      </w:pPr>
    </w:p>
    <w:p w:rsidR="00000000" w:rsidRPr="007F2E1A" w:rsidP="007F2E1A">
      <w:pPr>
        <w:pStyle w:val="Heading1"/>
      </w:pPr>
      <w:bookmarkStart w:id="4" w:name="O_495573"/>
      <w:bookmarkEnd w:id="4"/>
      <w:r w:rsidRPr="007F2E1A">
        <w:t>Licensing/Regulatory Information</w:t>
      </w:r>
    </w:p>
    <w:p w:rsidR="00000000" w:rsidRPr="007F2E1A" w:rsidP="007F2E1A">
      <w:pPr>
        <w:pStyle w:val="BodyText"/>
      </w:pPr>
      <w:r w:rsidRPr="007F2E1A">
        <w:t>Not applicable.</w:t>
      </w:r>
    </w:p>
    <w:p w:rsidR="00000000" w:rsidRPr="007F2E1A" w:rsidP="007F2E1A">
      <w:pPr>
        <w:pStyle w:val="AllowPageBreak"/>
      </w:pPr>
    </w:p>
    <w:p w:rsidR="00000000" w:rsidRPr="007F2E1A" w:rsidP="007F2E1A">
      <w:pPr>
        <w:pStyle w:val="Heading1"/>
      </w:pPr>
      <w:bookmarkStart w:id="5" w:name="O_495574"/>
      <w:bookmarkEnd w:id="5"/>
      <w:r w:rsidRPr="007F2E1A">
        <w:t>Pre-Requisites</w:t>
      </w:r>
    </w:p>
    <w:p w:rsidR="00000000" w:rsidRPr="007F2E1A" w:rsidP="007F2E1A">
      <w:pPr>
        <w:pStyle w:val="BodyText"/>
      </w:pPr>
      <w:r w:rsidRPr="007F2E1A">
        <w:t>Not applicable.</w:t>
      </w:r>
    </w:p>
    <w:p w:rsidR="00000000" w:rsidRPr="007F2E1A" w:rsidP="007F2E1A">
      <w:pPr>
        <w:pStyle w:val="AllowPageBreak"/>
      </w:pPr>
    </w:p>
    <w:p w:rsidR="00000000" w:rsidRPr="007F2E1A" w:rsidP="007F2E1A">
      <w:pPr>
        <w:pStyle w:val="Heading1"/>
      </w:pPr>
      <w:bookmarkStart w:id="6" w:name="O_495575"/>
      <w:bookmarkEnd w:id="6"/>
      <w:r w:rsidRPr="007F2E1A">
        <w:t>Employability Skills Information</w:t>
      </w:r>
    </w:p>
    <w:p w:rsidR="00000000" w:rsidRPr="007F2E1A" w:rsidP="007F2E1A">
      <w:pPr>
        <w:pStyle w:val="BodyText"/>
      </w:pPr>
      <w:r w:rsidRPr="007F2E1A">
        <w:t>This unit contains employability skills.</w:t>
      </w:r>
    </w:p>
    <w:p w:rsidR="00000000" w:rsidRPr="007F2E1A" w:rsidP="007F2E1A">
      <w:pPr>
        <w:pStyle w:val="AllowPageBreak"/>
      </w:pPr>
    </w:p>
    <w:p w:rsidR="00000000" w:rsidRPr="007F2E1A" w:rsidP="007F2E1A">
      <w:pPr>
        <w:pStyle w:val="Heading1"/>
      </w:pPr>
      <w:bookmarkStart w:id="7" w:name="O_495576"/>
      <w:bookmarkEnd w:id="7"/>
      <w:r w:rsidRPr="007F2E1A">
        <w:t>Elements and Performance Criteria Pre-Content</w:t>
      </w:r>
    </w:p>
    <w:tbl>
      <w:tblPr>
        <w:tblW w:w="0" w:type="auto"/>
        <w:tblLayout w:type="fixed"/>
        <w:tblCellMar>
          <w:left w:w="62" w:type="dxa"/>
          <w:right w:w="62" w:type="dxa"/>
        </w:tblCellMar>
        <w:tblLook w:val="0000"/>
      </w:tblPr>
      <w:tblGrid>
        <w:gridCol w:w="2579"/>
        <w:gridCol w:w="5943"/>
      </w:tblGrid>
      <w:tr w:rsidTr="00AE1695">
        <w:tblPrEx>
          <w:tblW w:w="0" w:type="auto"/>
          <w:tblLayout w:type="fixed"/>
          <w:tblCellMar>
            <w:left w:w="62" w:type="dxa"/>
            <w:right w:w="62" w:type="dxa"/>
          </w:tblCellMar>
          <w:tblLook w:val="0000"/>
        </w:tblPrEx>
        <w:tc>
          <w:tcPr>
            <w:tcW w:w="2579" w:type="dxa"/>
            <w:tcBorders>
              <w:top w:val="nil"/>
              <w:left w:val="nil"/>
              <w:bottom w:val="nil"/>
              <w:right w:val="nil"/>
            </w:tcBorders>
            <w:tcMar>
              <w:top w:w="0" w:type="dxa"/>
              <w:left w:w="62" w:type="dxa"/>
              <w:bottom w:w="0" w:type="dxa"/>
              <w:right w:w="62" w:type="dxa"/>
            </w:tcMar>
          </w:tcPr>
          <w:p w:rsidR="00000000" w:rsidP="007F2E1A">
            <w:pPr>
              <w:pStyle w:val="BodyText"/>
              <w:rPr>
                <w:lang w:val="en-NZ"/>
              </w:rPr>
            </w:pPr>
            <w:r w:rsidRPr="007F2E1A">
              <w:t>Elements describe the essential outcomes of a unit of competency.</w:t>
            </w:r>
          </w:p>
        </w:tc>
        <w:tc>
          <w:tcPr>
            <w:tcW w:w="5943" w:type="dxa"/>
            <w:tcBorders>
              <w:top w:val="nil"/>
              <w:left w:val="nil"/>
              <w:bottom w:val="nil"/>
              <w:right w:val="nil"/>
            </w:tcBorders>
            <w:tcMar>
              <w:top w:w="0" w:type="dxa"/>
              <w:left w:w="62" w:type="dxa"/>
              <w:bottom w:w="0" w:type="dxa"/>
              <w:right w:w="62" w:type="dxa"/>
            </w:tcMar>
          </w:tcPr>
          <w:p w:rsidR="00000000" w:rsidRPr="007F2E1A" w:rsidP="007F2E1A">
            <w:pPr>
              <w:pStyle w:val="BodyText"/>
            </w:pPr>
            <w:r w:rsidRPr="007F2E1A">
              <w:t>Performance criteria describe the per</w:t>
            </w:r>
            <w:r w:rsidRPr="007F2E1A">
              <w:t>formance needed to demonstrate achievement of the element. Where</w:t>
            </w:r>
            <w:r w:rsidRPr="007F2E1A">
              <w:rPr>
                <w:rStyle w:val="BoldandItalics"/>
              </w:rPr>
              <w:t xml:space="preserve"> bold italicised</w:t>
            </w:r>
            <w:r w:rsidRPr="007F2E1A">
              <w:t xml:space="preserve"> text is used, further information is detailed in the range statement. Assessment of performance is to be consistent with the evidence guide.</w:t>
            </w:r>
          </w:p>
        </w:tc>
      </w:tr>
    </w:tbl>
    <w:p w:rsidR="00000000" w:rsidRPr="007F2E1A" w:rsidP="007F2E1A">
      <w:pPr>
        <w:pStyle w:val="BodyText"/>
      </w:pPr>
    </w:p>
    <w:p w:rsidR="00000000" w:rsidRPr="007F2E1A" w:rsidP="007F2E1A">
      <w:pPr>
        <w:pStyle w:val="AllowPageBreak"/>
      </w:pPr>
    </w:p>
    <w:p w:rsidR="00000000" w:rsidRPr="007F2E1A" w:rsidP="007F2E1A">
      <w:pPr>
        <w:pStyle w:val="Heading1"/>
      </w:pPr>
      <w:bookmarkStart w:id="8" w:name="O_495577"/>
      <w:bookmarkEnd w:id="8"/>
      <w:r w:rsidRPr="007F2E1A">
        <w:t>Elements and Performance Criteria</w:t>
      </w:r>
    </w:p>
    <w:tbl>
      <w:tblPr>
        <w:tblW w:w="0" w:type="auto"/>
        <w:tblLayout w:type="fixed"/>
        <w:tblCellMar>
          <w:left w:w="62" w:type="dxa"/>
          <w:right w:w="62" w:type="dxa"/>
        </w:tblCellMar>
        <w:tblLook w:val="0000"/>
      </w:tblPr>
      <w:tblGrid>
        <w:gridCol w:w="2579"/>
        <w:gridCol w:w="5943"/>
      </w:tblGrid>
      <w:tr w:rsidTr="00AE1695">
        <w:tblPrEx>
          <w:tblW w:w="0" w:type="auto"/>
          <w:tblLayout w:type="fixed"/>
          <w:tblCellMar>
            <w:left w:w="62" w:type="dxa"/>
            <w:right w:w="62" w:type="dxa"/>
          </w:tblCellMar>
          <w:tblLook w:val="0000"/>
        </w:tblPrEx>
        <w:trPr>
          <w:tblHeader/>
        </w:trPr>
        <w:tc>
          <w:tcPr>
            <w:tcW w:w="2579" w:type="dxa"/>
            <w:tcBorders>
              <w:top w:val="nil"/>
              <w:left w:val="nil"/>
              <w:bottom w:val="nil"/>
              <w:right w:val="nil"/>
            </w:tcBorders>
            <w:tcMar>
              <w:top w:w="0" w:type="dxa"/>
              <w:left w:w="62" w:type="dxa"/>
              <w:bottom w:w="0" w:type="dxa"/>
              <w:right w:w="62" w:type="dxa"/>
            </w:tcMar>
          </w:tcPr>
          <w:p w:rsidR="00000000" w:rsidRPr="007F2E1A" w:rsidP="007F2E1A">
            <w:pPr>
              <w:pStyle w:val="BodyText"/>
            </w:pPr>
            <w:r w:rsidRPr="007F2E1A">
              <w:rPr>
                <w:rStyle w:val="SpecialBold"/>
              </w:rPr>
              <w:t>ELEMENT</w:t>
            </w:r>
          </w:p>
        </w:tc>
        <w:tc>
          <w:tcPr>
            <w:tcW w:w="5943" w:type="dxa"/>
            <w:tcBorders>
              <w:top w:val="nil"/>
              <w:left w:val="nil"/>
              <w:bottom w:val="nil"/>
              <w:right w:val="nil"/>
            </w:tcBorders>
            <w:tcMar>
              <w:top w:w="0" w:type="dxa"/>
              <w:left w:w="62" w:type="dxa"/>
              <w:bottom w:w="0" w:type="dxa"/>
              <w:right w:w="62" w:type="dxa"/>
            </w:tcMar>
          </w:tcPr>
          <w:p w:rsidR="00000000" w:rsidP="007F2E1A">
            <w:pPr>
              <w:pStyle w:val="BodyText"/>
              <w:rPr>
                <w:lang w:val="en-NZ"/>
              </w:rPr>
            </w:pPr>
            <w:r w:rsidRPr="007F2E1A">
              <w:rPr>
                <w:rStyle w:val="SpecialBold"/>
              </w:rPr>
              <w:t>PERFORMANCE CRITERIA</w:t>
            </w:r>
          </w:p>
        </w:tc>
      </w:tr>
      <w:tr w:rsidTr="00AE1695">
        <w:tblPrEx>
          <w:tblW w:w="0" w:type="auto"/>
          <w:tblLayout w:type="fixed"/>
          <w:tblCellMar>
            <w:left w:w="62" w:type="dxa"/>
            <w:right w:w="62" w:type="dxa"/>
          </w:tblCellMar>
          <w:tblLook w:val="0000"/>
        </w:tblPrEx>
        <w:tc>
          <w:tcPr>
            <w:tcW w:w="2579" w:type="dxa"/>
            <w:tcBorders>
              <w:top w:val="nil"/>
              <w:left w:val="nil"/>
              <w:bottom w:val="nil"/>
              <w:right w:val="nil"/>
            </w:tcBorders>
            <w:tcMar>
              <w:top w:w="0" w:type="dxa"/>
              <w:left w:w="62" w:type="dxa"/>
              <w:bottom w:w="0" w:type="dxa"/>
              <w:right w:w="62" w:type="dxa"/>
            </w:tcMar>
          </w:tcPr>
          <w:p w:rsidR="00000000" w:rsidP="007F2E1A">
            <w:pPr>
              <w:pStyle w:val="List"/>
              <w:rPr>
                <w:lang w:val="en-NZ"/>
              </w:rPr>
            </w:pPr>
            <w:r w:rsidRPr="007F2E1A">
              <w:rPr>
                <w:rStyle w:val="SpecialBold"/>
              </w:rPr>
              <w:t>1.</w:t>
            </w:r>
            <w:r w:rsidRPr="007F2E1A">
              <w:rPr>
                <w:rStyle w:val="SpecialBold"/>
              </w:rPr>
              <w:tab/>
              <w:t>Identify translating requirements and expectations of audience.</w:t>
            </w:r>
          </w:p>
        </w:tc>
        <w:tc>
          <w:tcPr>
            <w:tcW w:w="5943" w:type="dxa"/>
            <w:tcBorders>
              <w:top w:val="nil"/>
              <w:left w:val="nil"/>
              <w:bottom w:val="nil"/>
              <w:right w:val="nil"/>
            </w:tcBorders>
            <w:tcMar>
              <w:top w:w="0" w:type="dxa"/>
              <w:left w:w="62" w:type="dxa"/>
              <w:bottom w:w="0" w:type="dxa"/>
              <w:right w:w="62" w:type="dxa"/>
            </w:tcMar>
          </w:tcPr>
          <w:p w:rsidR="00000000" w:rsidRPr="007F2E1A" w:rsidP="007F2E1A">
            <w:pPr>
              <w:pStyle w:val="List"/>
            </w:pPr>
            <w:r w:rsidRPr="007F2E1A">
              <w:t>1.1</w:t>
            </w:r>
            <w:r w:rsidRPr="007F2E1A">
              <w:tab/>
              <w:t>Identify source language, including register and style.</w:t>
            </w:r>
          </w:p>
          <w:p w:rsidR="00000000" w:rsidRPr="007F2E1A" w:rsidP="007F2E1A">
            <w:pPr>
              <w:pStyle w:val="List"/>
            </w:pPr>
            <w:r w:rsidRPr="007F2E1A">
              <w:t>1.2</w:t>
            </w:r>
            <w:r w:rsidRPr="007F2E1A">
              <w:tab/>
              <w:t xml:space="preserve">Identify source, context and purpose of </w:t>
            </w:r>
            <w:r w:rsidRPr="007F2E1A">
              <w:rPr>
                <w:rStyle w:val="BoldandItalics"/>
              </w:rPr>
              <w:t>text</w:t>
            </w:r>
            <w:r w:rsidRPr="007F2E1A">
              <w:t>, determining specific requirements and regional or specialist aspects.</w:t>
            </w:r>
          </w:p>
          <w:p w:rsidR="00000000" w:rsidRPr="007F2E1A" w:rsidP="007F2E1A">
            <w:pPr>
              <w:pStyle w:val="List"/>
            </w:pPr>
            <w:r w:rsidRPr="007F2E1A">
              <w:t>1.3</w:t>
            </w:r>
            <w:r w:rsidRPr="007F2E1A">
              <w:tab/>
              <w:t>Identify audience for translated text and confirm that translation requirements and expectations match those of client.</w:t>
            </w:r>
          </w:p>
          <w:p w:rsidR="00000000" w:rsidRPr="007F2E1A" w:rsidP="007F2E1A">
            <w:pPr>
              <w:pStyle w:val="List"/>
            </w:pPr>
            <w:r w:rsidRPr="007F2E1A">
              <w:t>1.4</w:t>
            </w:r>
            <w:r w:rsidRPr="007F2E1A">
              <w:tab/>
              <w:t>Identify salutations and other source language conventio</w:t>
            </w:r>
            <w:r w:rsidRPr="007F2E1A">
              <w:t>ns not to be translated literally.</w:t>
            </w:r>
          </w:p>
          <w:p w:rsidR="00000000" w:rsidP="007F2E1A">
            <w:pPr>
              <w:pStyle w:val="List"/>
              <w:rPr>
                <w:lang w:val="en-NZ"/>
              </w:rPr>
            </w:pPr>
            <w:r w:rsidRPr="007F2E1A">
              <w:t>1.5</w:t>
            </w:r>
            <w:r w:rsidRPr="007F2E1A">
              <w:tab/>
              <w:t xml:space="preserve">Confirm and review </w:t>
            </w:r>
            <w:r w:rsidRPr="007F2E1A">
              <w:rPr>
                <w:rStyle w:val="BoldandItalics"/>
              </w:rPr>
              <w:t>resources</w:t>
            </w:r>
            <w:r w:rsidRPr="007F2E1A">
              <w:t xml:space="preserve"> to aid in understanding specialist or technical language.</w:t>
            </w:r>
          </w:p>
        </w:tc>
      </w:tr>
      <w:tr w:rsidTr="00AE1695">
        <w:tblPrEx>
          <w:tblW w:w="0" w:type="auto"/>
          <w:tblLayout w:type="fixed"/>
          <w:tblCellMar>
            <w:left w:w="62" w:type="dxa"/>
            <w:right w:w="62" w:type="dxa"/>
          </w:tblCellMar>
          <w:tblLook w:val="0000"/>
        </w:tblPrEx>
        <w:tc>
          <w:tcPr>
            <w:tcW w:w="2579" w:type="dxa"/>
            <w:tcBorders>
              <w:top w:val="nil"/>
              <w:left w:val="nil"/>
              <w:bottom w:val="nil"/>
              <w:right w:val="nil"/>
            </w:tcBorders>
            <w:tcMar>
              <w:top w:w="0" w:type="dxa"/>
              <w:left w:w="62" w:type="dxa"/>
              <w:bottom w:w="0" w:type="dxa"/>
              <w:right w:w="62" w:type="dxa"/>
            </w:tcMar>
          </w:tcPr>
          <w:p w:rsidR="00000000" w:rsidP="007F2E1A">
            <w:pPr>
              <w:pStyle w:val="List"/>
              <w:rPr>
                <w:lang w:val="en-NZ"/>
              </w:rPr>
            </w:pPr>
            <w:r w:rsidRPr="007F2E1A">
              <w:rPr>
                <w:rStyle w:val="SpecialBold"/>
              </w:rPr>
              <w:t>2</w:t>
            </w:r>
            <w:r w:rsidRPr="007F2E1A">
              <w:rPr>
                <w:rStyle w:val="SpecialBold"/>
              </w:rPr>
              <w:tab/>
              <w:t>Analyse language of source text.</w:t>
            </w:r>
          </w:p>
        </w:tc>
        <w:tc>
          <w:tcPr>
            <w:tcW w:w="5943" w:type="dxa"/>
            <w:tcBorders>
              <w:top w:val="nil"/>
              <w:left w:val="nil"/>
              <w:bottom w:val="nil"/>
              <w:right w:val="nil"/>
            </w:tcBorders>
            <w:tcMar>
              <w:top w:w="0" w:type="dxa"/>
              <w:left w:w="62" w:type="dxa"/>
              <w:bottom w:w="0" w:type="dxa"/>
              <w:right w:w="62" w:type="dxa"/>
            </w:tcMar>
          </w:tcPr>
          <w:p w:rsidR="00000000" w:rsidRPr="007F2E1A" w:rsidP="007F2E1A">
            <w:pPr>
              <w:pStyle w:val="List"/>
            </w:pPr>
            <w:r w:rsidRPr="007F2E1A">
              <w:t>2.1</w:t>
            </w:r>
            <w:r w:rsidRPr="007F2E1A">
              <w:tab/>
              <w:t>Apply subject and context knowledge to translation task, sourcing further assistance where</w:t>
            </w:r>
            <w:r w:rsidRPr="007F2E1A">
              <w:t xml:space="preserve"> required.</w:t>
            </w:r>
          </w:p>
          <w:p w:rsidR="00000000" w:rsidRPr="007F2E1A" w:rsidP="007F2E1A">
            <w:pPr>
              <w:pStyle w:val="List"/>
            </w:pPr>
            <w:r w:rsidRPr="007F2E1A">
              <w:t>2.2</w:t>
            </w:r>
            <w:r w:rsidRPr="007F2E1A">
              <w:tab/>
              <w:t xml:space="preserve">Analyse </w:t>
            </w:r>
            <w:r w:rsidRPr="007F2E1A">
              <w:rPr>
                <w:rStyle w:val="BoldandItalics"/>
              </w:rPr>
              <w:t>language</w:t>
            </w:r>
            <w:r w:rsidRPr="007F2E1A">
              <w:t xml:space="preserve"> and </w:t>
            </w:r>
            <w:r w:rsidRPr="007F2E1A">
              <w:rPr>
                <w:rStyle w:val="BoldandItalics"/>
              </w:rPr>
              <w:t>writing conventions</w:t>
            </w:r>
            <w:r w:rsidRPr="007F2E1A">
              <w:t xml:space="preserve">, determining use of terminology and language and using </w:t>
            </w:r>
            <w:r w:rsidRPr="007F2E1A">
              <w:rPr>
                <w:rStyle w:val="BoldandItalics"/>
              </w:rPr>
              <w:t>techniques</w:t>
            </w:r>
            <w:r w:rsidRPr="007F2E1A">
              <w:t xml:space="preserve"> to address </w:t>
            </w:r>
            <w:r w:rsidRPr="007F2E1A">
              <w:rPr>
                <w:rStyle w:val="BoldandItalics"/>
              </w:rPr>
              <w:t>difficulties identified</w:t>
            </w:r>
            <w:r w:rsidRPr="007F2E1A">
              <w:t>.</w:t>
            </w:r>
          </w:p>
          <w:p w:rsidR="00000000" w:rsidRPr="007F2E1A" w:rsidP="007F2E1A">
            <w:pPr>
              <w:pStyle w:val="List"/>
            </w:pPr>
            <w:r w:rsidRPr="007F2E1A">
              <w:t>2.3</w:t>
            </w:r>
            <w:r w:rsidRPr="007F2E1A">
              <w:tab/>
              <w:t>Identify social and cultural issues and plan solutions relevant to translation task.</w:t>
            </w:r>
          </w:p>
          <w:p w:rsidR="00000000" w:rsidRPr="007F2E1A" w:rsidP="007F2E1A">
            <w:pPr>
              <w:pStyle w:val="List"/>
            </w:pPr>
            <w:r w:rsidRPr="007F2E1A">
              <w:t>2.4</w:t>
            </w:r>
            <w:r w:rsidRPr="007F2E1A">
              <w:tab/>
              <w:t>Recog</w:t>
            </w:r>
            <w:r w:rsidRPr="007F2E1A">
              <w:t>nise idiomatic and metaphorical expressions and foreign loan words in source language.</w:t>
            </w:r>
          </w:p>
          <w:p w:rsidR="00000000" w:rsidP="007F2E1A">
            <w:pPr>
              <w:pStyle w:val="List"/>
              <w:rPr>
                <w:lang w:val="en-NZ"/>
              </w:rPr>
            </w:pPr>
            <w:r w:rsidRPr="007F2E1A">
              <w:t>2.5</w:t>
            </w:r>
            <w:r w:rsidRPr="007F2E1A">
              <w:tab/>
              <w:t xml:space="preserve">Build, use and maintain assignment-specific </w:t>
            </w:r>
            <w:r w:rsidRPr="007F2E1A">
              <w:rPr>
                <w:rStyle w:val="BoldandItalics"/>
              </w:rPr>
              <w:t>glossary</w:t>
            </w:r>
            <w:r w:rsidRPr="007F2E1A">
              <w:t>.</w:t>
            </w:r>
          </w:p>
        </w:tc>
      </w:tr>
      <w:tr w:rsidTr="00AE1695">
        <w:tblPrEx>
          <w:tblW w:w="0" w:type="auto"/>
          <w:tblLayout w:type="fixed"/>
          <w:tblCellMar>
            <w:left w:w="62" w:type="dxa"/>
            <w:right w:w="62" w:type="dxa"/>
          </w:tblCellMar>
          <w:tblLook w:val="0000"/>
        </w:tblPrEx>
        <w:tc>
          <w:tcPr>
            <w:tcW w:w="2579" w:type="dxa"/>
            <w:tcBorders>
              <w:top w:val="nil"/>
              <w:left w:val="nil"/>
              <w:bottom w:val="nil"/>
              <w:right w:val="nil"/>
            </w:tcBorders>
            <w:tcMar>
              <w:top w:w="0" w:type="dxa"/>
              <w:left w:w="62" w:type="dxa"/>
              <w:bottom w:w="0" w:type="dxa"/>
              <w:right w:w="62" w:type="dxa"/>
            </w:tcMar>
          </w:tcPr>
          <w:p w:rsidR="00000000" w:rsidP="007F2E1A">
            <w:pPr>
              <w:pStyle w:val="List"/>
              <w:rPr>
                <w:lang w:val="en-NZ"/>
              </w:rPr>
            </w:pPr>
            <w:r w:rsidRPr="007F2E1A">
              <w:rPr>
                <w:rStyle w:val="SpecialBold"/>
              </w:rPr>
              <w:t>3</w:t>
            </w:r>
            <w:r w:rsidRPr="007F2E1A">
              <w:rPr>
                <w:rStyle w:val="SpecialBold"/>
              </w:rPr>
              <w:tab/>
              <w:t>Analyse grammar and cohesion of source text.</w:t>
            </w:r>
          </w:p>
        </w:tc>
        <w:tc>
          <w:tcPr>
            <w:tcW w:w="5943" w:type="dxa"/>
            <w:tcBorders>
              <w:top w:val="nil"/>
              <w:left w:val="nil"/>
              <w:bottom w:val="nil"/>
              <w:right w:val="nil"/>
            </w:tcBorders>
            <w:tcMar>
              <w:top w:w="0" w:type="dxa"/>
              <w:left w:w="62" w:type="dxa"/>
              <w:bottom w:w="0" w:type="dxa"/>
              <w:right w:w="62" w:type="dxa"/>
            </w:tcMar>
          </w:tcPr>
          <w:p w:rsidR="00000000" w:rsidRPr="007F2E1A" w:rsidP="007F2E1A">
            <w:pPr>
              <w:pStyle w:val="List"/>
            </w:pPr>
            <w:r w:rsidRPr="007F2E1A">
              <w:t>3.1</w:t>
            </w:r>
            <w:r w:rsidRPr="007F2E1A">
              <w:tab/>
              <w:t>Analyse function of source language punctuation.</w:t>
            </w:r>
          </w:p>
          <w:p w:rsidR="00000000" w:rsidRPr="007F2E1A" w:rsidP="007F2E1A">
            <w:pPr>
              <w:pStyle w:val="List"/>
            </w:pPr>
            <w:r w:rsidRPr="007F2E1A">
              <w:t>3.2</w:t>
            </w:r>
            <w:r w:rsidRPr="007F2E1A">
              <w:tab/>
            </w:r>
            <w:r w:rsidRPr="007F2E1A">
              <w:t>Determine semantic and syntactic structure.</w:t>
            </w:r>
          </w:p>
          <w:p w:rsidR="00000000" w:rsidP="007F2E1A">
            <w:pPr>
              <w:pStyle w:val="List"/>
              <w:rPr>
                <w:lang w:val="en-NZ"/>
              </w:rPr>
            </w:pPr>
            <w:r w:rsidRPr="007F2E1A">
              <w:t>3.3</w:t>
            </w:r>
            <w:r w:rsidRPr="007F2E1A">
              <w:tab/>
              <w:t>Paraphrase text to check plausibility of comprehension.</w:t>
            </w:r>
          </w:p>
        </w:tc>
      </w:tr>
      <w:tr w:rsidTr="00AE1695">
        <w:tblPrEx>
          <w:tblW w:w="0" w:type="auto"/>
          <w:tblLayout w:type="fixed"/>
          <w:tblCellMar>
            <w:left w:w="62" w:type="dxa"/>
            <w:right w:w="62" w:type="dxa"/>
          </w:tblCellMar>
          <w:tblLook w:val="0000"/>
        </w:tblPrEx>
        <w:tc>
          <w:tcPr>
            <w:tcW w:w="2579" w:type="dxa"/>
            <w:tcBorders>
              <w:top w:val="nil"/>
              <w:left w:val="nil"/>
              <w:bottom w:val="nil"/>
              <w:right w:val="nil"/>
            </w:tcBorders>
            <w:tcMar>
              <w:top w:w="0" w:type="dxa"/>
              <w:left w:w="62" w:type="dxa"/>
              <w:bottom w:w="0" w:type="dxa"/>
              <w:right w:w="62" w:type="dxa"/>
            </w:tcMar>
          </w:tcPr>
          <w:p w:rsidR="00000000" w:rsidP="007F2E1A">
            <w:pPr>
              <w:pStyle w:val="List"/>
              <w:rPr>
                <w:lang w:val="en-NZ"/>
              </w:rPr>
            </w:pPr>
            <w:r w:rsidRPr="007F2E1A">
              <w:rPr>
                <w:rStyle w:val="SpecialBold"/>
              </w:rPr>
              <w:t>4</w:t>
            </w:r>
            <w:r w:rsidRPr="007F2E1A">
              <w:rPr>
                <w:rStyle w:val="SpecialBold"/>
              </w:rPr>
              <w:tab/>
              <w:t>Resolve difficulties.</w:t>
            </w:r>
          </w:p>
        </w:tc>
        <w:tc>
          <w:tcPr>
            <w:tcW w:w="5943" w:type="dxa"/>
            <w:tcBorders>
              <w:top w:val="nil"/>
              <w:left w:val="nil"/>
              <w:bottom w:val="nil"/>
              <w:right w:val="nil"/>
            </w:tcBorders>
            <w:tcMar>
              <w:top w:w="0" w:type="dxa"/>
              <w:left w:w="62" w:type="dxa"/>
              <w:bottom w:w="0" w:type="dxa"/>
              <w:right w:w="62" w:type="dxa"/>
            </w:tcMar>
          </w:tcPr>
          <w:p w:rsidR="00000000" w:rsidRPr="007F2E1A" w:rsidP="007F2E1A">
            <w:pPr>
              <w:pStyle w:val="List"/>
            </w:pPr>
            <w:r w:rsidRPr="007F2E1A">
              <w:t>4.1</w:t>
            </w:r>
            <w:r w:rsidRPr="007F2E1A">
              <w:tab/>
              <w:t>Identify deficient source language text and discuss with client.</w:t>
            </w:r>
          </w:p>
          <w:p w:rsidR="00000000" w:rsidRPr="007F2E1A" w:rsidP="007F2E1A">
            <w:pPr>
              <w:pStyle w:val="List"/>
            </w:pPr>
            <w:r w:rsidRPr="007F2E1A">
              <w:t>4.2</w:t>
            </w:r>
            <w:r w:rsidRPr="007F2E1A">
              <w:tab/>
              <w:t>Suggest solutions and reformulate text as agreed for e</w:t>
            </w:r>
            <w:r w:rsidRPr="007F2E1A">
              <w:t xml:space="preserve">ffective translation. </w:t>
            </w:r>
          </w:p>
        </w:tc>
      </w:tr>
    </w:tbl>
    <w:p w:rsidR="00000000" w:rsidRPr="007F2E1A" w:rsidP="007F2E1A">
      <w:pPr>
        <w:pStyle w:val="BodyText"/>
      </w:pPr>
    </w:p>
    <w:p w:rsidR="00000000" w:rsidRPr="007F2E1A" w:rsidP="007F2E1A">
      <w:pPr>
        <w:pStyle w:val="AllowPageBreak"/>
      </w:pPr>
    </w:p>
    <w:p w:rsidR="00000000" w:rsidRPr="007F2E1A" w:rsidP="007F2E1A">
      <w:pPr>
        <w:pStyle w:val="Heading1"/>
      </w:pPr>
      <w:bookmarkStart w:id="9" w:name="O_495570"/>
      <w:bookmarkEnd w:id="9"/>
      <w:r w:rsidRPr="007F2E1A">
        <w:t>Required Skills and Knowledge</w:t>
      </w:r>
    </w:p>
    <w:tbl>
      <w:tblPr>
        <w:tblW w:w="0" w:type="auto"/>
        <w:tblLayout w:type="fixed"/>
        <w:tblCellMar>
          <w:left w:w="62" w:type="dxa"/>
          <w:right w:w="62" w:type="dxa"/>
        </w:tblCellMar>
        <w:tblLook w:val="0000"/>
      </w:tblPr>
      <w:tblGrid>
        <w:gridCol w:w="8522"/>
      </w:tblGrid>
      <w:tr w:rsidTr="00AE1695">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7F2E1A">
            <w:pPr>
              <w:pStyle w:val="BodyText"/>
              <w:rPr>
                <w:lang w:val="en-NZ"/>
              </w:rPr>
            </w:pPr>
            <w:r w:rsidRPr="007F2E1A">
              <w:t>This section describes the skills and knowledge required for this unit.</w:t>
            </w:r>
          </w:p>
        </w:tc>
      </w:tr>
      <w:tr w:rsidTr="00AE1695">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7F2E1A">
            <w:pPr>
              <w:pStyle w:val="BodyText"/>
              <w:rPr>
                <w:lang w:val="en-NZ"/>
              </w:rPr>
            </w:pPr>
            <w:r w:rsidRPr="007F2E1A">
              <w:rPr>
                <w:rStyle w:val="SpecialBold"/>
              </w:rPr>
              <w:t>Required skills</w:t>
            </w:r>
          </w:p>
        </w:tc>
      </w:tr>
      <w:tr w:rsidTr="00AE1695">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7F2E1A" w:rsidP="007F2E1A">
            <w:pPr>
              <w:pStyle w:val="ListBullet2"/>
            </w:pPr>
            <w:r w:rsidRPr="007F2E1A">
              <w:t>language skills analyse source text for meaning, including:</w:t>
            </w:r>
          </w:p>
          <w:p w:rsidR="00000000" w:rsidRPr="007F2E1A" w:rsidP="007F2E1A">
            <w:pPr>
              <w:pStyle w:val="ListBullet3"/>
            </w:pPr>
            <w:r w:rsidRPr="007F2E1A">
              <w:t>cause and effect relationships</w:t>
            </w:r>
          </w:p>
          <w:p w:rsidR="00000000" w:rsidRPr="007F2E1A" w:rsidP="007F2E1A">
            <w:pPr>
              <w:pStyle w:val="ListBullet3"/>
            </w:pPr>
            <w:r w:rsidRPr="007F2E1A">
              <w:t>cohesive and substitution devices</w:t>
            </w:r>
          </w:p>
          <w:p w:rsidR="00000000" w:rsidRPr="007F2E1A" w:rsidP="007F2E1A">
            <w:pPr>
              <w:pStyle w:val="ListBullet3"/>
            </w:pPr>
            <w:r w:rsidRPr="007F2E1A">
              <w:t>function of words and grammatical elements</w:t>
            </w:r>
          </w:p>
          <w:p w:rsidR="00000000" w:rsidRPr="007F2E1A" w:rsidP="007F2E1A">
            <w:pPr>
              <w:pStyle w:val="ListBullet3"/>
            </w:pPr>
            <w:r w:rsidRPr="007F2E1A">
              <w:t>idioms and idiomatic expressions</w:t>
            </w:r>
          </w:p>
          <w:p w:rsidR="00000000" w:rsidRPr="007F2E1A" w:rsidP="007F2E1A">
            <w:pPr>
              <w:pStyle w:val="ListBullet3"/>
            </w:pPr>
            <w:r w:rsidRPr="007F2E1A">
              <w:t>metaphor and simile</w:t>
            </w:r>
          </w:p>
          <w:p w:rsidR="00000000" w:rsidRPr="007F2E1A" w:rsidP="007F2E1A">
            <w:pPr>
              <w:pStyle w:val="ListBullet3"/>
            </w:pPr>
            <w:r w:rsidRPr="007F2E1A">
              <w:t>parsing sentences</w:t>
            </w:r>
          </w:p>
          <w:p w:rsidR="00000000" w:rsidRPr="007F2E1A" w:rsidP="007F2E1A">
            <w:pPr>
              <w:pStyle w:val="ListBullet3"/>
            </w:pPr>
            <w:r w:rsidRPr="007F2E1A">
              <w:t>punctuation</w:t>
            </w:r>
          </w:p>
          <w:p w:rsidR="00000000" w:rsidRPr="007F2E1A" w:rsidP="007F2E1A">
            <w:pPr>
              <w:pStyle w:val="ListBullet3"/>
            </w:pPr>
            <w:r w:rsidRPr="007F2E1A">
              <w:t>register and style</w:t>
            </w:r>
          </w:p>
          <w:p w:rsidR="00000000" w:rsidRPr="007F2E1A" w:rsidP="007F2E1A">
            <w:pPr>
              <w:pStyle w:val="ListBullet2"/>
            </w:pPr>
            <w:r w:rsidRPr="007F2E1A">
              <w:t>literacy skills to:</w:t>
            </w:r>
          </w:p>
          <w:p w:rsidR="00000000" w:rsidRPr="007F2E1A" w:rsidP="007F2E1A">
            <w:pPr>
              <w:pStyle w:val="ListBullet3"/>
            </w:pPr>
            <w:r w:rsidRPr="007F2E1A">
              <w:t>assess and use information</w:t>
            </w:r>
          </w:p>
          <w:p w:rsidR="00000000" w:rsidRPr="007F2E1A" w:rsidP="007F2E1A">
            <w:pPr>
              <w:pStyle w:val="ListBullet3"/>
            </w:pPr>
            <w:r w:rsidRPr="007F2E1A">
              <w:t>interpret terminology and jargon</w:t>
            </w:r>
          </w:p>
          <w:p w:rsidR="00000000" w:rsidRPr="007F2E1A" w:rsidP="007F2E1A">
            <w:pPr>
              <w:pStyle w:val="ListBullet3"/>
            </w:pPr>
            <w:r w:rsidRPr="007F2E1A">
              <w:t>read and record information</w:t>
            </w:r>
          </w:p>
          <w:p w:rsidR="00000000" w:rsidRPr="007F2E1A" w:rsidP="007F2E1A">
            <w:pPr>
              <w:pStyle w:val="ListBullet2"/>
            </w:pPr>
            <w:r w:rsidRPr="007F2E1A">
              <w:t>problem-solving skills to:</w:t>
            </w:r>
          </w:p>
          <w:p w:rsidR="00000000" w:rsidRPr="007F2E1A" w:rsidP="007F2E1A">
            <w:pPr>
              <w:pStyle w:val="ListBullet3"/>
            </w:pPr>
            <w:r w:rsidRPr="007F2E1A">
              <w:t>address problems in source text</w:t>
            </w:r>
          </w:p>
          <w:p w:rsidR="00000000" w:rsidRPr="007F2E1A" w:rsidP="007F2E1A">
            <w:pPr>
              <w:pStyle w:val="ListBullet2"/>
            </w:pPr>
            <w:r w:rsidRPr="007F2E1A">
              <w:t>research skills to:</w:t>
            </w:r>
          </w:p>
          <w:p w:rsidR="00000000" w:rsidRPr="007F2E1A" w:rsidP="007F2E1A">
            <w:pPr>
              <w:pStyle w:val="ListBullet3"/>
            </w:pPr>
            <w:r w:rsidRPr="007F2E1A">
              <w:t>identify background information relevant to assignment</w:t>
            </w:r>
          </w:p>
          <w:p w:rsidR="00000000" w:rsidRPr="007F2E1A" w:rsidP="007F2E1A">
            <w:pPr>
              <w:pStyle w:val="ListBullet3"/>
            </w:pPr>
            <w:r w:rsidRPr="007F2E1A">
              <w:t>make preparations to ensure effective and efficient trans</w:t>
            </w:r>
            <w:r w:rsidRPr="007F2E1A">
              <w:t xml:space="preserve">lations </w:t>
            </w:r>
          </w:p>
          <w:p w:rsidR="00000000" w:rsidRPr="007F2E1A" w:rsidP="007F2E1A">
            <w:pPr>
              <w:pStyle w:val="ListBullet2"/>
            </w:pPr>
            <w:r w:rsidRPr="007F2E1A">
              <w:t>technical skills to:</w:t>
            </w:r>
          </w:p>
          <w:p w:rsidR="00000000" w:rsidRPr="007F2E1A" w:rsidP="007F2E1A">
            <w:pPr>
              <w:pStyle w:val="ListBullet3"/>
            </w:pPr>
            <w:r w:rsidRPr="007F2E1A">
              <w:t>select and apply appropriate resources, techniques and equipment</w:t>
            </w:r>
          </w:p>
          <w:p w:rsidR="00000000" w:rsidP="007F2E1A">
            <w:pPr>
              <w:pStyle w:val="ListBullet3"/>
              <w:rPr>
                <w:lang w:val="en-NZ"/>
              </w:rPr>
            </w:pPr>
            <w:r w:rsidRPr="007F2E1A">
              <w:t>technological skills to use office equipment and information and communications technology (ICT) for translating purposes</w:t>
            </w:r>
          </w:p>
        </w:tc>
      </w:tr>
      <w:tr w:rsidTr="00AE1695">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7F2E1A">
            <w:pPr>
              <w:pStyle w:val="BodyText"/>
              <w:rPr>
                <w:lang w:val="en-NZ"/>
              </w:rPr>
            </w:pPr>
            <w:r w:rsidRPr="007F2E1A">
              <w:rPr>
                <w:rStyle w:val="SpecialBold"/>
              </w:rPr>
              <w:t>Required knowledge</w:t>
            </w:r>
          </w:p>
        </w:tc>
      </w:tr>
      <w:tr w:rsidTr="00AE1695">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7F2E1A" w:rsidP="007F2E1A">
            <w:pPr>
              <w:pStyle w:val="ListBullet2"/>
            </w:pPr>
            <w:r w:rsidRPr="007F2E1A">
              <w:t>cultural knowledge, including cross-cultural perspective to:</w:t>
            </w:r>
          </w:p>
          <w:p w:rsidR="00000000" w:rsidRPr="007F2E1A" w:rsidP="007F2E1A">
            <w:pPr>
              <w:pStyle w:val="ListBullet3"/>
            </w:pPr>
            <w:r w:rsidRPr="007F2E1A">
              <w:t>determine cultural concepts embedded in language</w:t>
            </w:r>
          </w:p>
          <w:p w:rsidR="00000000" w:rsidRPr="007F2E1A" w:rsidP="007F2E1A">
            <w:pPr>
              <w:pStyle w:val="ListBullet3"/>
            </w:pPr>
            <w:r w:rsidRPr="007F2E1A">
              <w:t>identify inherent cultural and socio-cultural concepts</w:t>
            </w:r>
          </w:p>
          <w:p w:rsidR="00000000" w:rsidRPr="007F2E1A" w:rsidP="007F2E1A">
            <w:pPr>
              <w:pStyle w:val="ListBullet2"/>
            </w:pPr>
            <w:r w:rsidRPr="007F2E1A">
              <w:t>file and information management techniques</w:t>
            </w:r>
          </w:p>
          <w:p w:rsidR="00000000" w:rsidRPr="007F2E1A" w:rsidP="007F2E1A">
            <w:pPr>
              <w:pStyle w:val="ListBullet2"/>
            </w:pPr>
            <w:r w:rsidRPr="007F2E1A">
              <w:t>language structure, dialects and idioms in sou</w:t>
            </w:r>
            <w:r w:rsidRPr="007F2E1A">
              <w:t>rce language</w:t>
            </w:r>
          </w:p>
          <w:p w:rsidR="00000000" w:rsidRPr="007F2E1A" w:rsidP="007F2E1A">
            <w:pPr>
              <w:pStyle w:val="ListBullet2"/>
            </w:pPr>
            <w:r w:rsidRPr="007F2E1A">
              <w:t>professional procedures, ethical practices and business standards</w:t>
            </w:r>
          </w:p>
          <w:p w:rsidR="00000000" w:rsidRPr="007F2E1A" w:rsidP="007F2E1A">
            <w:pPr>
              <w:pStyle w:val="ListBullet2"/>
            </w:pPr>
            <w:r w:rsidRPr="007F2E1A">
              <w:t>subject specialist area and culture-specific knowledge relevant to topic of translation</w:t>
            </w:r>
          </w:p>
        </w:tc>
      </w:tr>
    </w:tbl>
    <w:p w:rsidR="00000000" w:rsidRPr="007F2E1A" w:rsidP="007F2E1A">
      <w:pPr>
        <w:pStyle w:val="BodyText"/>
      </w:pPr>
    </w:p>
    <w:p w:rsidR="00000000" w:rsidRPr="007F2E1A" w:rsidP="007F2E1A">
      <w:pPr>
        <w:pStyle w:val="AllowPageBreak"/>
      </w:pPr>
    </w:p>
    <w:p w:rsidR="00000000" w:rsidRPr="007F2E1A" w:rsidP="007F2E1A">
      <w:pPr>
        <w:pStyle w:val="Heading1"/>
      </w:pPr>
      <w:bookmarkStart w:id="10" w:name="O_495568"/>
      <w:bookmarkEnd w:id="10"/>
      <w:r w:rsidRPr="007F2E1A">
        <w:t>Evidence Guide</w:t>
      </w:r>
    </w:p>
    <w:tbl>
      <w:tblPr>
        <w:tblW w:w="0" w:type="auto"/>
        <w:tblLayout w:type="fixed"/>
        <w:tblCellMar>
          <w:left w:w="62" w:type="dxa"/>
          <w:right w:w="62" w:type="dxa"/>
        </w:tblCellMar>
        <w:tblLook w:val="0000"/>
      </w:tblPr>
      <w:tblGrid>
        <w:gridCol w:w="2644"/>
        <w:gridCol w:w="6032"/>
      </w:tblGrid>
      <w:tr w:rsidTr="00AE1695">
        <w:tblPrEx>
          <w:tblW w:w="0" w:type="auto"/>
          <w:tblLayout w:type="fixed"/>
          <w:tblCellMar>
            <w:left w:w="62" w:type="dxa"/>
            <w:right w:w="62" w:type="dxa"/>
          </w:tblCellMar>
          <w:tblLook w:val="0000"/>
        </w:tblPrEx>
        <w:tc>
          <w:tcPr>
            <w:tcW w:w="8676" w:type="dxa"/>
            <w:gridSpan w:val="2"/>
            <w:tcBorders>
              <w:top w:val="nil"/>
              <w:left w:val="nil"/>
              <w:bottom w:val="nil"/>
              <w:right w:val="nil"/>
            </w:tcBorders>
            <w:tcMar>
              <w:top w:w="0" w:type="dxa"/>
              <w:left w:w="62" w:type="dxa"/>
              <w:bottom w:w="0" w:type="dxa"/>
              <w:right w:w="62" w:type="dxa"/>
            </w:tcMar>
          </w:tcPr>
          <w:p w:rsidR="00000000" w:rsidP="007F2E1A">
            <w:pPr>
              <w:pStyle w:val="BodyText"/>
              <w:rPr>
                <w:lang w:val="en-NZ"/>
              </w:rPr>
            </w:pPr>
            <w:r w:rsidRPr="007F2E1A">
              <w:t>The Evidence Guide provides advice on assessment and must be read in conjunction with the performance criteria, required skills and knowledge, range statement and the Assessment Guidelines for the Training Package.</w:t>
            </w:r>
          </w:p>
        </w:tc>
      </w:tr>
      <w:tr w:rsidTr="00AE1695">
        <w:tblPrEx>
          <w:tblW w:w="0" w:type="auto"/>
          <w:tblLayout w:type="fixed"/>
          <w:tblCellMar>
            <w:left w:w="62" w:type="dxa"/>
            <w:right w:w="62" w:type="dxa"/>
          </w:tblCellMar>
          <w:tblLook w:val="0000"/>
        </w:tblPrEx>
        <w:tc>
          <w:tcPr>
            <w:tcW w:w="2644" w:type="dxa"/>
            <w:tcBorders>
              <w:top w:val="nil"/>
              <w:left w:val="nil"/>
              <w:bottom w:val="nil"/>
              <w:right w:val="nil"/>
            </w:tcBorders>
            <w:tcMar>
              <w:top w:w="0" w:type="dxa"/>
              <w:left w:w="62" w:type="dxa"/>
              <w:bottom w:w="0" w:type="dxa"/>
              <w:right w:w="62" w:type="dxa"/>
            </w:tcMar>
          </w:tcPr>
          <w:p w:rsidR="00000000" w:rsidP="007F2E1A">
            <w:pPr>
              <w:pStyle w:val="BodyText"/>
              <w:rPr>
                <w:lang w:val="en-NZ"/>
              </w:rPr>
            </w:pPr>
            <w:r w:rsidRPr="007F2E1A">
              <w:rPr>
                <w:rStyle w:val="SpecialBold"/>
              </w:rPr>
              <w:t>Critical aspects for assessment and evidence required to demonstrate competency in this unit</w:t>
            </w:r>
          </w:p>
        </w:tc>
        <w:tc>
          <w:tcPr>
            <w:tcW w:w="6032" w:type="dxa"/>
            <w:tcBorders>
              <w:top w:val="nil"/>
              <w:left w:val="nil"/>
              <w:bottom w:val="nil"/>
              <w:right w:val="nil"/>
            </w:tcBorders>
            <w:tcMar>
              <w:top w:w="0" w:type="dxa"/>
              <w:left w:w="62" w:type="dxa"/>
              <w:bottom w:w="0" w:type="dxa"/>
              <w:right w:w="62" w:type="dxa"/>
            </w:tcMar>
          </w:tcPr>
          <w:p w:rsidR="00000000" w:rsidRPr="007F2E1A" w:rsidP="007F2E1A">
            <w:pPr>
              <w:pStyle w:val="BodyText"/>
            </w:pPr>
            <w:r w:rsidRPr="007F2E1A">
              <w:t>In addition to integrated demonstration of the elements and their related performance criteria, look for evidence that confirms the ability to read and analyse a w</w:t>
            </w:r>
            <w:r w:rsidRPr="007F2E1A">
              <w:t>ritten message in a source language for the purpose of later transfer to a target language including:</w:t>
            </w:r>
          </w:p>
          <w:p w:rsidR="00000000" w:rsidRPr="007F2E1A" w:rsidP="007F2E1A">
            <w:pPr>
              <w:pStyle w:val="ListBullet2"/>
            </w:pPr>
            <w:r w:rsidRPr="007F2E1A">
              <w:t>building, using and maintaining an assignment-specific glossary</w:t>
            </w:r>
          </w:p>
          <w:p w:rsidR="00000000" w:rsidRPr="007F2E1A" w:rsidP="007F2E1A">
            <w:pPr>
              <w:pStyle w:val="ListBullet2"/>
            </w:pPr>
            <w:r w:rsidRPr="007F2E1A">
              <w:t>identifying the context, purpose and intent of the author</w:t>
            </w:r>
          </w:p>
          <w:p w:rsidR="00000000" w:rsidRPr="007F2E1A" w:rsidP="007F2E1A">
            <w:pPr>
              <w:pStyle w:val="ListBullet2"/>
            </w:pPr>
            <w:r w:rsidRPr="007F2E1A">
              <w:t>identifying the key linguistic,</w:t>
            </w:r>
            <w:r w:rsidRPr="007F2E1A">
              <w:t xml:space="preserve"> cultural, societal and situational elements to be conveyed</w:t>
            </w:r>
          </w:p>
          <w:p w:rsidR="00000000" w:rsidRPr="007F2E1A" w:rsidP="007F2E1A">
            <w:pPr>
              <w:pStyle w:val="ListBullet2"/>
            </w:pPr>
            <w:r w:rsidRPr="007F2E1A">
              <w:t>analysing language and writing conventions</w:t>
            </w:r>
          </w:p>
          <w:p w:rsidR="00000000" w:rsidRPr="007F2E1A" w:rsidP="007F2E1A">
            <w:pPr>
              <w:pStyle w:val="ListBullet2"/>
            </w:pPr>
            <w:r w:rsidRPr="007F2E1A">
              <w:t>using a range of techniques and resources to address and resolve difficulties identified</w:t>
            </w:r>
          </w:p>
          <w:p w:rsidR="00000000" w:rsidRPr="007F2E1A" w:rsidP="007F2E1A">
            <w:pPr>
              <w:pStyle w:val="ListBullet2"/>
            </w:pPr>
            <w:r w:rsidRPr="007F2E1A">
              <w:t>paraphrasing text to check plausibility of comprehension</w:t>
            </w:r>
          </w:p>
          <w:p w:rsidR="00000000" w:rsidP="007F2E1A">
            <w:pPr>
              <w:pStyle w:val="ListBullet2"/>
              <w:rPr>
                <w:lang w:val="en-NZ"/>
              </w:rPr>
            </w:pPr>
            <w:r w:rsidRPr="007F2E1A">
              <w:t>using t</w:t>
            </w:r>
            <w:r w:rsidRPr="007F2E1A">
              <w:t>echnology to source and review appropriate information and reference material</w:t>
            </w:r>
          </w:p>
        </w:tc>
      </w:tr>
      <w:tr w:rsidTr="00AE1695">
        <w:tblPrEx>
          <w:tblW w:w="0" w:type="auto"/>
          <w:tblLayout w:type="fixed"/>
          <w:tblCellMar>
            <w:left w:w="62" w:type="dxa"/>
            <w:right w:w="62" w:type="dxa"/>
          </w:tblCellMar>
          <w:tblLook w:val="0000"/>
        </w:tblPrEx>
        <w:tc>
          <w:tcPr>
            <w:tcW w:w="2644" w:type="dxa"/>
            <w:tcBorders>
              <w:top w:val="nil"/>
              <w:left w:val="nil"/>
              <w:bottom w:val="nil"/>
              <w:right w:val="nil"/>
            </w:tcBorders>
            <w:tcMar>
              <w:top w:w="0" w:type="dxa"/>
              <w:left w:w="62" w:type="dxa"/>
              <w:bottom w:w="0" w:type="dxa"/>
              <w:right w:w="62" w:type="dxa"/>
            </w:tcMar>
          </w:tcPr>
          <w:p w:rsidR="00000000" w:rsidP="007F2E1A">
            <w:pPr>
              <w:pStyle w:val="BodyText"/>
              <w:rPr>
                <w:lang w:val="en-NZ"/>
              </w:rPr>
            </w:pPr>
            <w:r w:rsidRPr="007F2E1A">
              <w:rPr>
                <w:rStyle w:val="SpecialBold"/>
              </w:rPr>
              <w:t>Context of and specific resources for assessment</w:t>
            </w:r>
          </w:p>
        </w:tc>
        <w:tc>
          <w:tcPr>
            <w:tcW w:w="6032" w:type="dxa"/>
            <w:tcBorders>
              <w:top w:val="nil"/>
              <w:left w:val="nil"/>
              <w:bottom w:val="nil"/>
              <w:right w:val="nil"/>
            </w:tcBorders>
            <w:tcMar>
              <w:top w:w="0" w:type="dxa"/>
              <w:left w:w="62" w:type="dxa"/>
              <w:bottom w:w="0" w:type="dxa"/>
              <w:right w:w="62" w:type="dxa"/>
            </w:tcMar>
          </w:tcPr>
          <w:p w:rsidR="00000000" w:rsidRPr="007F2E1A" w:rsidP="007F2E1A">
            <w:pPr>
              <w:pStyle w:val="BodyText"/>
            </w:pPr>
            <w:r w:rsidRPr="007F2E1A">
              <w:t xml:space="preserve">Evidence for assessment of this unit of </w:t>
            </w:r>
            <w:r w:rsidRPr="007F2E1A">
              <w:t>competency will make use of scenarios, case studies, experiences and, where possible, examples of interactions with colleagues and clients which illustrate a range of skills and strategies for analysing texts for translation.</w:t>
            </w:r>
          </w:p>
          <w:p w:rsidR="00000000" w:rsidRPr="007F2E1A" w:rsidP="007F2E1A">
            <w:pPr>
              <w:pStyle w:val="BodyText"/>
            </w:pPr>
            <w:r w:rsidRPr="007F2E1A">
              <w:t>Resources for assessment inclu</w:t>
            </w:r>
            <w:r w:rsidRPr="007F2E1A">
              <w:t>de:</w:t>
            </w:r>
          </w:p>
          <w:p w:rsidR="00000000" w:rsidRPr="007F2E1A" w:rsidP="007F2E1A">
            <w:pPr>
              <w:pStyle w:val="ListBullet2"/>
            </w:pPr>
            <w:r w:rsidRPr="007F2E1A">
              <w:t xml:space="preserve">a range of source texts and their paraphrased target texts </w:t>
            </w:r>
          </w:p>
          <w:p w:rsidR="00000000" w:rsidRPr="007F2E1A" w:rsidP="007F2E1A">
            <w:pPr>
              <w:pStyle w:val="ListBullet2"/>
            </w:pPr>
            <w:r w:rsidRPr="007F2E1A">
              <w:t>individual language resources such as glossaries and dictionaries, written and in memory.</w:t>
            </w:r>
          </w:p>
          <w:p w:rsidR="00000000" w:rsidRPr="007F2E1A" w:rsidP="007F2E1A">
            <w:pPr>
              <w:pStyle w:val="ListBullet2"/>
            </w:pPr>
            <w:r w:rsidRPr="007F2E1A">
              <w:t>sources of content information and research.</w:t>
            </w:r>
          </w:p>
          <w:p w:rsidR="00000000" w:rsidRPr="007F2E1A" w:rsidP="007F2E1A">
            <w:pPr>
              <w:pStyle w:val="ListBullet2"/>
            </w:pPr>
            <w:r w:rsidRPr="007F2E1A">
              <w:t>examples of part and fully completed translated texts</w:t>
            </w:r>
          </w:p>
          <w:p w:rsidR="00000000" w:rsidRPr="007F2E1A" w:rsidP="007F2E1A">
            <w:pPr>
              <w:pStyle w:val="ListBullet2"/>
            </w:pPr>
            <w:r w:rsidRPr="007F2E1A">
              <w:t>ex</w:t>
            </w:r>
            <w:r w:rsidRPr="007F2E1A">
              <w:t>amples of complex texts in a limited range of content and subject areas</w:t>
            </w:r>
          </w:p>
          <w:p w:rsidR="00000000" w:rsidRPr="007F2E1A" w:rsidP="007F2E1A">
            <w:pPr>
              <w:pStyle w:val="ListBullet2"/>
            </w:pPr>
            <w:r w:rsidRPr="007F2E1A">
              <w:t>examples of simple texts in a range of content and subject areas</w:t>
            </w:r>
          </w:p>
          <w:p w:rsidR="00000000" w:rsidRPr="007F2E1A" w:rsidP="007F2E1A">
            <w:pPr>
              <w:pStyle w:val="ListBullet2"/>
            </w:pPr>
            <w:r w:rsidRPr="007F2E1A">
              <w:t>examples of source texts which present a range of cultural and equivalence issues.</w:t>
            </w:r>
          </w:p>
          <w:p w:rsidR="00000000" w:rsidP="007F2E1A">
            <w:pPr>
              <w:pStyle w:val="ListBullet2"/>
              <w:rPr>
                <w:lang w:val="en-NZ"/>
              </w:rPr>
            </w:pPr>
            <w:r w:rsidRPr="007F2E1A">
              <w:t>examples of source texts which requi</w:t>
            </w:r>
            <w:r w:rsidRPr="007F2E1A">
              <w:t>re further research on content, language and presentation</w:t>
            </w:r>
          </w:p>
        </w:tc>
      </w:tr>
      <w:tr w:rsidTr="00AE1695">
        <w:tblPrEx>
          <w:tblW w:w="0" w:type="auto"/>
          <w:tblLayout w:type="fixed"/>
          <w:tblCellMar>
            <w:left w:w="62" w:type="dxa"/>
            <w:right w:w="62" w:type="dxa"/>
          </w:tblCellMar>
          <w:tblLook w:val="0000"/>
        </w:tblPrEx>
        <w:tc>
          <w:tcPr>
            <w:tcW w:w="26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032" w:type="dxa"/>
            <w:tcBorders>
              <w:top w:val="nil"/>
              <w:left w:val="nil"/>
              <w:bottom w:val="nil"/>
              <w:right w:val="nil"/>
            </w:tcBorders>
            <w:tcMar>
              <w:top w:w="0" w:type="dxa"/>
              <w:left w:w="62" w:type="dxa"/>
              <w:bottom w:w="0" w:type="dxa"/>
              <w:right w:w="62" w:type="dxa"/>
            </w:tcMar>
          </w:tcPr>
          <w:p w:rsidR="00000000" w:rsidRPr="007F2E1A" w:rsidP="007F2E1A">
            <w:pPr>
              <w:pStyle w:val="BodyText"/>
            </w:pPr>
            <w:r w:rsidRPr="007F2E1A">
              <w:t>While the content and scenarios may be simulated, evidence for assessment should reflect the conditions of real assignments in reading and analysing a range of texts presenting varying equivalence</w:t>
            </w:r>
            <w:r w:rsidRPr="007F2E1A">
              <w:t xml:space="preserve"> problems and requiring a range of research.</w:t>
            </w:r>
          </w:p>
        </w:tc>
      </w:tr>
    </w:tbl>
    <w:p w:rsidR="00000000" w:rsidRPr="007F2E1A" w:rsidP="007F2E1A">
      <w:pPr>
        <w:pStyle w:val="BodyText"/>
      </w:pPr>
    </w:p>
    <w:p w:rsidR="00000000" w:rsidRPr="007F2E1A" w:rsidP="007F2E1A">
      <w:pPr>
        <w:pStyle w:val="AllowPageBreak"/>
      </w:pPr>
    </w:p>
    <w:p w:rsidR="00000000" w:rsidRPr="007F2E1A" w:rsidP="007F2E1A">
      <w:pPr>
        <w:pStyle w:val="Heading1"/>
      </w:pPr>
      <w:bookmarkStart w:id="11" w:name="O_495569"/>
      <w:bookmarkEnd w:id="11"/>
      <w:r w:rsidRPr="007F2E1A">
        <w:t>Range Statement</w:t>
      </w:r>
    </w:p>
    <w:tbl>
      <w:tblPr>
        <w:tblW w:w="0" w:type="auto"/>
        <w:tblLayout w:type="fixed"/>
        <w:tblCellMar>
          <w:left w:w="62" w:type="dxa"/>
          <w:right w:w="62" w:type="dxa"/>
        </w:tblCellMar>
        <w:tblLook w:val="0000"/>
      </w:tblPr>
      <w:tblGrid>
        <w:gridCol w:w="2588"/>
        <w:gridCol w:w="5934"/>
      </w:tblGrid>
      <w:tr w:rsidTr="00AE1695">
        <w:tblPrEx>
          <w:tblW w:w="0" w:type="auto"/>
          <w:tblLayout w:type="fixed"/>
          <w:tblCellMar>
            <w:left w:w="62" w:type="dxa"/>
            <w:right w:w="62" w:type="dxa"/>
          </w:tblCellMar>
          <w:tblLook w:val="0000"/>
        </w:tblPrEx>
        <w:tc>
          <w:tcPr>
            <w:tcW w:w="8522" w:type="dxa"/>
            <w:gridSpan w:val="2"/>
            <w:tcBorders>
              <w:top w:val="nil"/>
              <w:left w:val="nil"/>
              <w:bottom w:val="nil"/>
              <w:right w:val="nil"/>
            </w:tcBorders>
            <w:tcMar>
              <w:top w:w="0" w:type="dxa"/>
              <w:left w:w="62" w:type="dxa"/>
              <w:bottom w:w="0" w:type="dxa"/>
              <w:right w:w="62" w:type="dxa"/>
            </w:tcMar>
          </w:tcPr>
          <w:p w:rsidR="00000000" w:rsidP="007F2E1A">
            <w:pPr>
              <w:pStyle w:val="BodyText"/>
              <w:rPr>
                <w:lang w:val="en-NZ"/>
              </w:rPr>
            </w:pPr>
            <w:r w:rsidRPr="007F2E1A">
              <w:t>The range statement relates to the unit of competency as a whole. It allows for different work environments and situations that may affect performance.</w:t>
            </w:r>
            <w:r w:rsidRPr="007F2E1A">
              <w:rPr>
                <w:rStyle w:val="BoldandItalics"/>
              </w:rPr>
              <w:t xml:space="preserve"> Bold italicised </w:t>
            </w:r>
            <w:r w:rsidRPr="007F2E1A">
              <w:t>wording, if used in the performance criteria, is detailed below. Essential operating conditions that may be present with training and assessment (depending on the work situation, needs of the candidate, accessibility of the item, and local industry and reg</w:t>
            </w:r>
            <w:r w:rsidRPr="007F2E1A">
              <w:t>ional contexts) may also be included.</w:t>
            </w:r>
          </w:p>
        </w:tc>
      </w:tr>
      <w:tr w:rsidTr="00AE1695">
        <w:tblPrEx>
          <w:tblW w:w="0" w:type="auto"/>
          <w:tblLayout w:type="fixed"/>
          <w:tblCellMar>
            <w:left w:w="62" w:type="dxa"/>
            <w:right w:w="62" w:type="dxa"/>
          </w:tblCellMar>
          <w:tblLook w:val="0000"/>
        </w:tblPrEx>
        <w:tc>
          <w:tcPr>
            <w:tcW w:w="2588" w:type="dxa"/>
            <w:tcBorders>
              <w:top w:val="nil"/>
              <w:left w:val="nil"/>
              <w:bottom w:val="nil"/>
              <w:right w:val="nil"/>
            </w:tcBorders>
            <w:tcMar>
              <w:top w:w="0" w:type="dxa"/>
              <w:left w:w="62" w:type="dxa"/>
              <w:bottom w:w="0" w:type="dxa"/>
              <w:right w:w="62" w:type="dxa"/>
            </w:tcMar>
          </w:tcPr>
          <w:p w:rsidR="00000000" w:rsidP="007F2E1A">
            <w:pPr>
              <w:pStyle w:val="BodyText"/>
              <w:rPr>
                <w:lang w:val="en-NZ"/>
              </w:rPr>
            </w:pPr>
            <w:r w:rsidRPr="007F2E1A">
              <w:rPr>
                <w:rStyle w:val="BoldandItalics"/>
              </w:rPr>
              <w:t>Resources</w:t>
            </w:r>
            <w:r w:rsidRPr="007F2E1A">
              <w:t xml:space="preserve"> may include:</w:t>
            </w:r>
          </w:p>
        </w:tc>
        <w:tc>
          <w:tcPr>
            <w:tcW w:w="5934" w:type="dxa"/>
            <w:tcBorders>
              <w:top w:val="nil"/>
              <w:left w:val="nil"/>
              <w:bottom w:val="nil"/>
              <w:right w:val="nil"/>
            </w:tcBorders>
            <w:tcMar>
              <w:top w:w="0" w:type="dxa"/>
              <w:left w:w="62" w:type="dxa"/>
              <w:bottom w:w="0" w:type="dxa"/>
              <w:right w:w="62" w:type="dxa"/>
            </w:tcMar>
          </w:tcPr>
          <w:p w:rsidR="00000000" w:rsidRPr="007F2E1A" w:rsidP="007F2E1A">
            <w:pPr>
              <w:pStyle w:val="ListBullet2"/>
            </w:pPr>
            <w:r w:rsidRPr="007F2E1A">
              <w:t>translating technology</w:t>
            </w:r>
          </w:p>
          <w:p w:rsidR="00000000" w:rsidRPr="007F2E1A" w:rsidP="007F2E1A">
            <w:pPr>
              <w:pStyle w:val="ListBullet2"/>
            </w:pPr>
            <w:r w:rsidRPr="007F2E1A">
              <w:t>dictionaries</w:t>
            </w:r>
          </w:p>
          <w:p w:rsidR="00000000" w:rsidRPr="007F2E1A" w:rsidP="007F2E1A">
            <w:pPr>
              <w:pStyle w:val="ListBullet2"/>
            </w:pPr>
            <w:r w:rsidRPr="007F2E1A">
              <w:t>glossaries</w:t>
            </w:r>
          </w:p>
          <w:p w:rsidR="00000000" w:rsidRPr="007F2E1A" w:rsidP="007F2E1A">
            <w:pPr>
              <w:pStyle w:val="ListBullet2"/>
            </w:pPr>
            <w:r w:rsidRPr="007F2E1A">
              <w:t>internet sites</w:t>
            </w:r>
          </w:p>
          <w:p w:rsidR="00000000" w:rsidP="007F2E1A">
            <w:pPr>
              <w:pStyle w:val="ListBullet2"/>
              <w:rPr>
                <w:lang w:val="en-NZ"/>
              </w:rPr>
            </w:pPr>
            <w:r w:rsidRPr="007F2E1A">
              <w:t>content and subject specialists</w:t>
            </w:r>
          </w:p>
        </w:tc>
      </w:tr>
      <w:tr w:rsidTr="00AE1695">
        <w:tblPrEx>
          <w:tblW w:w="0" w:type="auto"/>
          <w:tblLayout w:type="fixed"/>
          <w:tblCellMar>
            <w:left w:w="62" w:type="dxa"/>
            <w:right w:w="62" w:type="dxa"/>
          </w:tblCellMar>
          <w:tblLook w:val="0000"/>
        </w:tblPrEx>
        <w:tc>
          <w:tcPr>
            <w:tcW w:w="2588" w:type="dxa"/>
            <w:tcBorders>
              <w:top w:val="nil"/>
              <w:left w:val="nil"/>
              <w:bottom w:val="nil"/>
              <w:right w:val="nil"/>
            </w:tcBorders>
            <w:tcMar>
              <w:top w:w="0" w:type="dxa"/>
              <w:left w:w="62" w:type="dxa"/>
              <w:bottom w:w="0" w:type="dxa"/>
              <w:right w:w="62" w:type="dxa"/>
            </w:tcMar>
          </w:tcPr>
          <w:p w:rsidR="00000000" w:rsidP="007F2E1A">
            <w:pPr>
              <w:pStyle w:val="BodyText"/>
              <w:rPr>
                <w:lang w:val="en-NZ"/>
              </w:rPr>
            </w:pPr>
            <w:r w:rsidRPr="007F2E1A">
              <w:rPr>
                <w:rStyle w:val="BoldandItalics"/>
              </w:rPr>
              <w:t>Language</w:t>
            </w:r>
            <w:r w:rsidRPr="007F2E1A">
              <w:t xml:space="preserve"> may include:</w:t>
            </w:r>
          </w:p>
        </w:tc>
        <w:tc>
          <w:tcPr>
            <w:tcW w:w="5934" w:type="dxa"/>
            <w:tcBorders>
              <w:top w:val="nil"/>
              <w:left w:val="nil"/>
              <w:bottom w:val="nil"/>
              <w:right w:val="nil"/>
            </w:tcBorders>
            <w:tcMar>
              <w:top w:w="0" w:type="dxa"/>
              <w:left w:w="62" w:type="dxa"/>
              <w:bottom w:w="0" w:type="dxa"/>
              <w:right w:w="62" w:type="dxa"/>
            </w:tcMar>
          </w:tcPr>
          <w:p w:rsidR="00000000" w:rsidRPr="007F2E1A" w:rsidP="007F2E1A">
            <w:pPr>
              <w:pStyle w:val="ListBullet2"/>
            </w:pPr>
            <w:r w:rsidRPr="007F2E1A">
              <w:t>idiomatic expressions in source language</w:t>
            </w:r>
          </w:p>
          <w:p w:rsidR="00000000" w:rsidRPr="007F2E1A" w:rsidP="007F2E1A">
            <w:pPr>
              <w:pStyle w:val="ListBullet2"/>
            </w:pPr>
            <w:r w:rsidRPr="007F2E1A">
              <w:t>spec</w:t>
            </w:r>
            <w:r w:rsidRPr="007F2E1A">
              <w:t>ialist vocabulary, expressions and concepts</w:t>
            </w:r>
          </w:p>
          <w:p w:rsidR="00000000" w:rsidRPr="007F2E1A" w:rsidP="007F2E1A">
            <w:pPr>
              <w:pStyle w:val="ListBullet2"/>
            </w:pPr>
            <w:r w:rsidRPr="007F2E1A">
              <w:t>non-equivalence</w:t>
            </w:r>
          </w:p>
          <w:p w:rsidR="00000000" w:rsidRPr="007F2E1A" w:rsidP="007F2E1A">
            <w:pPr>
              <w:pStyle w:val="ListBullet2"/>
            </w:pPr>
            <w:r w:rsidRPr="007F2E1A">
              <w:t>technical terminology</w:t>
            </w:r>
          </w:p>
          <w:p w:rsidR="00000000" w:rsidP="007F2E1A">
            <w:pPr>
              <w:pStyle w:val="ListBullet2"/>
              <w:rPr>
                <w:lang w:val="en-NZ"/>
              </w:rPr>
            </w:pPr>
            <w:r w:rsidRPr="007F2E1A">
              <w:t>idiosyncratic language, slang, jargon</w:t>
            </w:r>
          </w:p>
        </w:tc>
      </w:tr>
      <w:tr w:rsidTr="00AE1695">
        <w:tblPrEx>
          <w:tblW w:w="0" w:type="auto"/>
          <w:tblLayout w:type="fixed"/>
          <w:tblCellMar>
            <w:left w:w="62" w:type="dxa"/>
            <w:right w:w="62" w:type="dxa"/>
          </w:tblCellMar>
          <w:tblLook w:val="0000"/>
        </w:tblPrEx>
        <w:tc>
          <w:tcPr>
            <w:tcW w:w="2588" w:type="dxa"/>
            <w:tcBorders>
              <w:top w:val="nil"/>
              <w:left w:val="nil"/>
              <w:bottom w:val="nil"/>
              <w:right w:val="nil"/>
            </w:tcBorders>
            <w:tcMar>
              <w:top w:w="0" w:type="dxa"/>
              <w:left w:w="62" w:type="dxa"/>
              <w:bottom w:w="0" w:type="dxa"/>
              <w:right w:w="62" w:type="dxa"/>
            </w:tcMar>
          </w:tcPr>
          <w:p w:rsidR="00000000" w:rsidP="007F2E1A">
            <w:pPr>
              <w:pStyle w:val="BodyText"/>
              <w:rPr>
                <w:lang w:val="en-NZ"/>
              </w:rPr>
            </w:pPr>
            <w:r w:rsidRPr="007F2E1A">
              <w:rPr>
                <w:rStyle w:val="BoldandItalics"/>
              </w:rPr>
              <w:t>Writing conventions</w:t>
            </w:r>
            <w:r w:rsidRPr="007F2E1A">
              <w:t xml:space="preserve"> include:</w:t>
            </w:r>
          </w:p>
        </w:tc>
        <w:tc>
          <w:tcPr>
            <w:tcW w:w="5934" w:type="dxa"/>
            <w:tcBorders>
              <w:top w:val="nil"/>
              <w:left w:val="nil"/>
              <w:bottom w:val="nil"/>
              <w:right w:val="nil"/>
            </w:tcBorders>
            <w:tcMar>
              <w:top w:w="0" w:type="dxa"/>
              <w:left w:w="62" w:type="dxa"/>
              <w:bottom w:w="0" w:type="dxa"/>
              <w:right w:w="62" w:type="dxa"/>
            </w:tcMar>
          </w:tcPr>
          <w:p w:rsidR="00000000" w:rsidRPr="007F2E1A" w:rsidP="007F2E1A">
            <w:pPr>
              <w:pStyle w:val="ListBullet2"/>
            </w:pPr>
            <w:r w:rsidRPr="007F2E1A">
              <w:t>abbreviations</w:t>
            </w:r>
          </w:p>
          <w:p w:rsidR="00000000" w:rsidRPr="007F2E1A" w:rsidP="007F2E1A">
            <w:pPr>
              <w:pStyle w:val="ListBullet2"/>
            </w:pPr>
            <w:r w:rsidRPr="007F2E1A">
              <w:t>acronyms</w:t>
            </w:r>
          </w:p>
          <w:p w:rsidR="00000000" w:rsidRPr="007F2E1A" w:rsidP="007F2E1A">
            <w:pPr>
              <w:pStyle w:val="ListBullet2"/>
            </w:pPr>
            <w:r w:rsidRPr="007F2E1A">
              <w:t>punctuation</w:t>
            </w:r>
          </w:p>
          <w:p w:rsidR="00000000" w:rsidP="007F2E1A">
            <w:pPr>
              <w:pStyle w:val="ListBullet2"/>
              <w:rPr>
                <w:lang w:val="en-NZ"/>
              </w:rPr>
            </w:pPr>
            <w:r w:rsidRPr="007F2E1A">
              <w:t>symbols</w:t>
            </w:r>
          </w:p>
        </w:tc>
      </w:tr>
      <w:tr w:rsidTr="00AE1695">
        <w:tblPrEx>
          <w:tblW w:w="0" w:type="auto"/>
          <w:tblLayout w:type="fixed"/>
          <w:tblCellMar>
            <w:left w:w="62" w:type="dxa"/>
            <w:right w:w="62" w:type="dxa"/>
          </w:tblCellMar>
          <w:tblLook w:val="0000"/>
        </w:tblPrEx>
        <w:tc>
          <w:tcPr>
            <w:tcW w:w="2588" w:type="dxa"/>
            <w:tcBorders>
              <w:top w:val="nil"/>
              <w:left w:val="nil"/>
              <w:bottom w:val="nil"/>
              <w:right w:val="nil"/>
            </w:tcBorders>
            <w:tcMar>
              <w:top w:w="0" w:type="dxa"/>
              <w:left w:w="62" w:type="dxa"/>
              <w:bottom w:w="0" w:type="dxa"/>
              <w:right w:w="62" w:type="dxa"/>
            </w:tcMar>
          </w:tcPr>
          <w:p w:rsidR="00000000" w:rsidP="007F2E1A">
            <w:pPr>
              <w:pStyle w:val="BodyText"/>
              <w:rPr>
                <w:lang w:val="en-NZ"/>
              </w:rPr>
            </w:pPr>
            <w:r w:rsidRPr="007F2E1A">
              <w:rPr>
                <w:rStyle w:val="BoldandItalics"/>
              </w:rPr>
              <w:t>Techniques</w:t>
            </w:r>
            <w:r w:rsidRPr="007F2E1A">
              <w:t xml:space="preserve"> may include:</w:t>
            </w:r>
          </w:p>
        </w:tc>
        <w:tc>
          <w:tcPr>
            <w:tcW w:w="5934" w:type="dxa"/>
            <w:tcBorders>
              <w:top w:val="nil"/>
              <w:left w:val="nil"/>
              <w:bottom w:val="nil"/>
              <w:right w:val="nil"/>
            </w:tcBorders>
            <w:tcMar>
              <w:top w:w="0" w:type="dxa"/>
              <w:left w:w="62" w:type="dxa"/>
              <w:bottom w:w="0" w:type="dxa"/>
              <w:right w:w="62" w:type="dxa"/>
            </w:tcMar>
          </w:tcPr>
          <w:p w:rsidR="00000000" w:rsidRPr="007F2E1A" w:rsidP="007F2E1A">
            <w:pPr>
              <w:pStyle w:val="ListBullet2"/>
            </w:pPr>
            <w:r w:rsidRPr="007F2E1A">
              <w:t>optical character readers</w:t>
            </w:r>
          </w:p>
          <w:p w:rsidR="00000000" w:rsidP="007F2E1A">
            <w:pPr>
              <w:pStyle w:val="ListBullet2"/>
              <w:rPr>
                <w:lang w:val="en-NZ"/>
              </w:rPr>
            </w:pPr>
            <w:r w:rsidRPr="007F2E1A">
              <w:t>scanning and enlargement</w:t>
            </w:r>
          </w:p>
        </w:tc>
      </w:tr>
      <w:tr w:rsidTr="00AE1695">
        <w:tblPrEx>
          <w:tblW w:w="0" w:type="auto"/>
          <w:tblLayout w:type="fixed"/>
          <w:tblCellMar>
            <w:left w:w="62" w:type="dxa"/>
            <w:right w:w="62" w:type="dxa"/>
          </w:tblCellMar>
          <w:tblLook w:val="0000"/>
        </w:tblPrEx>
        <w:tc>
          <w:tcPr>
            <w:tcW w:w="2588" w:type="dxa"/>
            <w:tcBorders>
              <w:top w:val="nil"/>
              <w:left w:val="nil"/>
              <w:bottom w:val="nil"/>
              <w:right w:val="nil"/>
            </w:tcBorders>
            <w:tcMar>
              <w:top w:w="0" w:type="dxa"/>
              <w:left w:w="62" w:type="dxa"/>
              <w:bottom w:w="0" w:type="dxa"/>
              <w:right w:w="62" w:type="dxa"/>
            </w:tcMar>
          </w:tcPr>
          <w:p w:rsidR="00000000" w:rsidP="007F2E1A">
            <w:pPr>
              <w:pStyle w:val="BodyText"/>
              <w:rPr>
                <w:lang w:val="en-NZ"/>
              </w:rPr>
            </w:pPr>
            <w:r w:rsidRPr="007F2E1A">
              <w:rPr>
                <w:rStyle w:val="BoldandItalics"/>
              </w:rPr>
              <w:t>Difficulties identified</w:t>
            </w:r>
            <w:r w:rsidRPr="007F2E1A">
              <w:t xml:space="preserve"> may include:</w:t>
            </w:r>
          </w:p>
        </w:tc>
        <w:tc>
          <w:tcPr>
            <w:tcW w:w="5934" w:type="dxa"/>
            <w:tcBorders>
              <w:top w:val="nil"/>
              <w:left w:val="nil"/>
              <w:bottom w:val="nil"/>
              <w:right w:val="nil"/>
            </w:tcBorders>
            <w:tcMar>
              <w:top w:w="0" w:type="dxa"/>
              <w:left w:w="62" w:type="dxa"/>
              <w:bottom w:w="0" w:type="dxa"/>
              <w:right w:w="62" w:type="dxa"/>
            </w:tcMar>
          </w:tcPr>
          <w:p w:rsidR="00000000" w:rsidRPr="007F2E1A" w:rsidP="007F2E1A">
            <w:pPr>
              <w:pStyle w:val="ListBullet2"/>
            </w:pPr>
            <w:r w:rsidRPr="007F2E1A">
              <w:t>concepts specific to culture or locale</w:t>
            </w:r>
          </w:p>
          <w:p w:rsidR="00000000" w:rsidRPr="007F2E1A" w:rsidP="007F2E1A">
            <w:pPr>
              <w:pStyle w:val="ListBullet2"/>
            </w:pPr>
            <w:r w:rsidRPr="007F2E1A">
              <w:t>deciphering idiosyncratic source language</w:t>
            </w:r>
          </w:p>
          <w:p w:rsidR="00000000" w:rsidRPr="007F2E1A" w:rsidP="007F2E1A">
            <w:pPr>
              <w:pStyle w:val="ListBullet2"/>
            </w:pPr>
            <w:r w:rsidRPr="007F2E1A">
              <w:t>deciphering illegible handwriting or stamps</w:t>
            </w:r>
          </w:p>
          <w:p w:rsidR="00000000" w:rsidRPr="007F2E1A" w:rsidP="007F2E1A">
            <w:pPr>
              <w:pStyle w:val="ListBullet2"/>
            </w:pPr>
            <w:r w:rsidRPr="007F2E1A">
              <w:t>linguistically complex language</w:t>
            </w:r>
          </w:p>
          <w:p w:rsidR="00000000" w:rsidRPr="007F2E1A" w:rsidP="007F2E1A">
            <w:pPr>
              <w:pStyle w:val="ListBullet2"/>
            </w:pPr>
            <w:r w:rsidRPr="007F2E1A">
              <w:t>proper nouns and their localisation</w:t>
            </w:r>
          </w:p>
          <w:p w:rsidR="00000000" w:rsidP="007F2E1A">
            <w:pPr>
              <w:pStyle w:val="ListBullet2"/>
              <w:rPr>
                <w:lang w:val="en-NZ"/>
              </w:rPr>
            </w:pPr>
            <w:r w:rsidRPr="007F2E1A">
              <w:t>translation precedents</w:t>
            </w:r>
          </w:p>
        </w:tc>
      </w:tr>
      <w:tr w:rsidTr="00AE1695">
        <w:tblPrEx>
          <w:tblW w:w="0" w:type="auto"/>
          <w:tblLayout w:type="fixed"/>
          <w:tblCellMar>
            <w:left w:w="62" w:type="dxa"/>
            <w:right w:w="62" w:type="dxa"/>
          </w:tblCellMar>
          <w:tblLook w:val="0000"/>
        </w:tblPrEx>
        <w:tc>
          <w:tcPr>
            <w:tcW w:w="2588" w:type="dxa"/>
            <w:tcBorders>
              <w:top w:val="nil"/>
              <w:left w:val="nil"/>
              <w:bottom w:val="nil"/>
              <w:right w:val="nil"/>
            </w:tcBorders>
            <w:tcMar>
              <w:top w:w="0" w:type="dxa"/>
              <w:left w:w="62" w:type="dxa"/>
              <w:bottom w:w="0" w:type="dxa"/>
              <w:right w:w="62" w:type="dxa"/>
            </w:tcMar>
          </w:tcPr>
          <w:p w:rsidR="00000000" w:rsidP="007F2E1A">
            <w:pPr>
              <w:pStyle w:val="BodyText"/>
              <w:rPr>
                <w:lang w:val="en-NZ"/>
              </w:rPr>
            </w:pPr>
            <w:r w:rsidRPr="007F2E1A">
              <w:rPr>
                <w:rStyle w:val="BoldandItalics"/>
              </w:rPr>
              <w:t>Glossary</w:t>
            </w:r>
            <w:r w:rsidRPr="007F2E1A">
              <w:t xml:space="preserve"> includes:</w:t>
            </w:r>
          </w:p>
        </w:tc>
        <w:tc>
          <w:tcPr>
            <w:tcW w:w="5934" w:type="dxa"/>
            <w:tcBorders>
              <w:top w:val="nil"/>
              <w:left w:val="nil"/>
              <w:bottom w:val="nil"/>
              <w:right w:val="nil"/>
            </w:tcBorders>
            <w:tcMar>
              <w:top w:w="0" w:type="dxa"/>
              <w:left w:w="62" w:type="dxa"/>
              <w:bottom w:w="0" w:type="dxa"/>
              <w:right w:w="62" w:type="dxa"/>
            </w:tcMar>
          </w:tcPr>
          <w:p w:rsidR="00000000" w:rsidRPr="007F2E1A" w:rsidP="007F2E1A">
            <w:pPr>
              <w:pStyle w:val="ListBullet2"/>
            </w:pPr>
            <w:r w:rsidRPr="007F2E1A">
              <w:t>key vocabulary list</w:t>
            </w:r>
          </w:p>
          <w:p w:rsidR="00000000" w:rsidRPr="007F2E1A" w:rsidP="007F2E1A">
            <w:pPr>
              <w:pStyle w:val="ListBullet2"/>
            </w:pPr>
            <w:r w:rsidRPr="007F2E1A">
              <w:t>terminology bank</w:t>
            </w:r>
          </w:p>
          <w:p w:rsidR="00000000" w:rsidRPr="007F2E1A" w:rsidP="007F2E1A">
            <w:pPr>
              <w:pStyle w:val="ListBullet2"/>
            </w:pPr>
            <w:r w:rsidRPr="007F2E1A">
              <w:t>record of translation decisions</w:t>
            </w:r>
          </w:p>
        </w:tc>
      </w:tr>
    </w:tbl>
    <w:p w:rsidR="00AE1695" w:rsidP="007F2E1A">
      <w:pPr>
        <w:pStyle w:val="BodyText"/>
      </w:pPr>
    </w:p>
    <w:p w:rsidR="00AE1695" w:rsidP="007F2E1A">
      <w:pPr>
        <w:pStyle w:val="BodyText"/>
      </w:pPr>
    </w:p>
    <w:p w:rsidR="00000000" w:rsidRPr="007F2E1A" w:rsidP="007F2E1A">
      <w:pPr>
        <w:pStyle w:val="Heading1"/>
      </w:pPr>
      <w:bookmarkStart w:id="12" w:name="O_495567"/>
      <w:bookmarkEnd w:id="12"/>
      <w:r w:rsidRPr="007F2E1A">
        <w:t>Unit Sector(s)</w:t>
      </w:r>
    </w:p>
    <w:p w:rsidR="00000000" w:rsidRPr="007F2E1A" w:rsidP="007F2E1A">
      <w:pPr>
        <w:pStyle w:val="BodyText"/>
      </w:pPr>
      <w:r w:rsidRPr="007F2E1A">
        <w:t>Not applicable.</w:t>
      </w:r>
    </w:p>
    <w:p w:rsidR="00000000" w:rsidRPr="007F2E1A" w:rsidP="007F2E1A">
      <w:pPr>
        <w:pStyle w:val="AllowPageBreak"/>
      </w:pPr>
    </w:p>
    <w:p w:rsidR="00000000" w:rsidRPr="007F2E1A" w:rsidP="007F2E1A">
      <w:pPr>
        <w:pStyle w:val="Heading1"/>
      </w:pPr>
      <w:bookmarkStart w:id="13" w:name="O_495578"/>
      <w:bookmarkEnd w:id="13"/>
      <w:r w:rsidRPr="007F2E1A">
        <w:t>Competency field</w:t>
      </w:r>
    </w:p>
    <w:p w:rsidR="00000000" w:rsidRPr="007F2E1A" w:rsidP="007F2E1A">
      <w:pPr>
        <w:pStyle w:val="BodyText"/>
      </w:pPr>
      <w:r w:rsidRPr="007F2E1A">
        <w:t>Translating and Interpreting.</w:t>
      </w:r>
    </w:p>
    <w:p w:rsidR="00000000" w:rsidRPr="007F2E1A" w:rsidP="007F2E1A"/>
    <w:sectPr w:rsidSect="007F2E1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2E1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E1695" w:rsidP="00AE1695">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2E1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1695" w:rsidP="007F2E1A">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AE1695" w:rsidP="007F2E1A">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Government Skills Australia</w:t>
    </w:r>
    <w:r>
      <w:fldChar w:fldCharType="end"/>
    </w:r>
  </w:p>
  <w:p w:rsidR="00AE1695" w:rsidP="007F2E1A">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2E1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2E1A" w:rsidRPr="00AE1695" w:rsidP="00AE1695">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2E1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1695" w:rsidRPr="002D2AF8" w:rsidP="007F2E1A">
    <w:pPr>
      <w:pStyle w:val="Header"/>
      <w:framePr w:wrap="around"/>
    </w:pPr>
    <w:r>
      <w:fldChar w:fldCharType="begin"/>
    </w:r>
    <w:r>
      <w:instrText xml:space="preserve"> TITLE   \* MERGEFORMAT </w:instrText>
    </w:r>
    <w:r>
      <w:fldChar w:fldCharType="separate"/>
    </w:r>
    <w:r>
      <w:t>PSPTIS508A Analyse texts to be translated (LOTE)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November 2012</w:t>
    </w:r>
    <w:r>
      <w:fldChar w:fldCharType="end"/>
    </w:r>
  </w:p>
  <w:p w:rsidR="00AE1695" w:rsidP="007F2E1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5788D9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FE"/>
    <w:multiLevelType w:val="singleLevel"/>
    <w:tmpl w:val="B47C6B6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5"/>
  </w:num>
  <w:num w:numId="3">
    <w:abstractNumId w:val="4"/>
  </w:num>
  <w:num w:numId="4">
    <w:abstractNumId w:val="3"/>
  </w:num>
  <w:num w:numId="5">
    <w:abstractNumId w:val="2"/>
  </w:num>
  <w:num w:numId="6">
    <w:abstractNumId w:val="1"/>
  </w:num>
  <w:num w:numId="7">
    <w:abstractNumId w:val="0"/>
  </w:num>
  <w:num w:numId="8">
    <w:abstractNumId w:val="13"/>
  </w:num>
  <w:num w:numId="9">
    <w:abstractNumId w:val="10"/>
  </w:num>
  <w:num w:numId="10">
    <w:abstractNumId w:val="14"/>
  </w:num>
  <w:num w:numId="11">
    <w:abstractNumId w:val="12"/>
  </w:num>
  <w:num w:numId="12">
    <w:abstractNumId w:val="8"/>
  </w:num>
  <w:num w:numId="13">
    <w:abstractNumId w:val="11"/>
  </w:num>
  <w:num w:numId="14">
    <w:abstractNumId w:val="9"/>
  </w:num>
  <w:num w:numId="15">
    <w:abstractNumId w:val="5"/>
  </w:num>
  <w:num w:numId="16">
    <w:abstractNumId w:val="7"/>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F2E1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F2E1A"/>
    <w:pPr>
      <w:spacing w:before="360" w:after="60"/>
      <w:outlineLvl w:val="0"/>
    </w:pPr>
    <w:rPr>
      <w:sz w:val="32"/>
    </w:rPr>
  </w:style>
  <w:style w:type="paragraph" w:styleId="Heading2">
    <w:name w:val="heading 2"/>
    <w:basedOn w:val="HeadingBase"/>
    <w:next w:val="BodyText"/>
    <w:link w:val="Heading2Char"/>
    <w:qFormat/>
    <w:rsid w:val="007F2E1A"/>
    <w:pPr>
      <w:keepLines/>
      <w:spacing w:before="240" w:after="120"/>
      <w:outlineLvl w:val="1"/>
    </w:pPr>
    <w:rPr>
      <w:sz w:val="28"/>
      <w:szCs w:val="40"/>
    </w:rPr>
  </w:style>
  <w:style w:type="paragraph" w:styleId="Heading3">
    <w:name w:val="heading 3"/>
    <w:basedOn w:val="HeadingBase"/>
    <w:next w:val="BodyText"/>
    <w:link w:val="Heading3Char"/>
    <w:qFormat/>
    <w:rsid w:val="007F2E1A"/>
    <w:pPr>
      <w:spacing w:before="180" w:after="120"/>
      <w:outlineLvl w:val="2"/>
    </w:pPr>
    <w:rPr>
      <w:spacing w:val="-10"/>
      <w:kern w:val="32"/>
    </w:rPr>
  </w:style>
  <w:style w:type="paragraph" w:styleId="Heading4">
    <w:name w:val="heading 4"/>
    <w:basedOn w:val="HeadingBase"/>
    <w:next w:val="BodyText"/>
    <w:link w:val="Heading4Char"/>
    <w:qFormat/>
    <w:rsid w:val="007F2E1A"/>
    <w:pPr>
      <w:spacing w:before="160" w:after="120"/>
      <w:outlineLvl w:val="3"/>
    </w:pPr>
    <w:rPr>
      <w:sz w:val="22"/>
    </w:rPr>
  </w:style>
  <w:style w:type="paragraph" w:styleId="Heading5">
    <w:name w:val="heading 5"/>
    <w:basedOn w:val="HeadingBase"/>
    <w:next w:val="Normal"/>
    <w:link w:val="Heading5Char"/>
    <w:qFormat/>
    <w:rsid w:val="007F2E1A"/>
    <w:pPr>
      <w:spacing w:before="80"/>
      <w:outlineLvl w:val="4"/>
    </w:pPr>
    <w:rPr>
      <w:color w:val="918585"/>
      <w:sz w:val="20"/>
    </w:rPr>
  </w:style>
  <w:style w:type="paragraph" w:styleId="Heading6">
    <w:name w:val="heading 6"/>
    <w:basedOn w:val="HeadingBase"/>
    <w:next w:val="Normal"/>
    <w:link w:val="Heading6Char"/>
    <w:qFormat/>
    <w:rsid w:val="007F2E1A"/>
    <w:pPr>
      <w:spacing w:before="60"/>
      <w:outlineLvl w:val="5"/>
    </w:pPr>
    <w:rPr>
      <w:color w:val="918585"/>
      <w:sz w:val="20"/>
    </w:rPr>
  </w:style>
  <w:style w:type="paragraph" w:styleId="Heading7">
    <w:name w:val="heading 7"/>
    <w:basedOn w:val="Normal"/>
    <w:next w:val="Normal"/>
    <w:link w:val="Heading7Char"/>
    <w:qFormat/>
    <w:rsid w:val="007F2E1A"/>
    <w:pPr>
      <w:ind w:left="720"/>
      <w:outlineLvl w:val="6"/>
    </w:pPr>
    <w:rPr>
      <w:i/>
    </w:rPr>
  </w:style>
  <w:style w:type="paragraph" w:styleId="Heading8">
    <w:name w:val="heading 8"/>
    <w:basedOn w:val="Normal"/>
    <w:next w:val="Normal"/>
    <w:link w:val="Heading8Char"/>
    <w:qFormat/>
    <w:rsid w:val="007F2E1A"/>
    <w:pPr>
      <w:ind w:left="720"/>
      <w:outlineLvl w:val="7"/>
    </w:pPr>
    <w:rPr>
      <w:i/>
    </w:rPr>
  </w:style>
  <w:style w:type="paragraph" w:styleId="Heading9">
    <w:name w:val="heading 9"/>
    <w:basedOn w:val="Normal"/>
    <w:next w:val="Normal"/>
    <w:link w:val="Heading9Char"/>
    <w:qFormat/>
    <w:rsid w:val="007F2E1A"/>
    <w:pPr>
      <w:ind w:left="720"/>
      <w:outlineLvl w:val="8"/>
    </w:pPr>
    <w:rPr>
      <w:i/>
    </w:rPr>
  </w:style>
  <w:style w:type="character" w:default="1" w:styleId="DefaultParagraphFont">
    <w:name w:val="Default Paragraph Font"/>
    <w:uiPriority w:val="1"/>
    <w:unhideWhenUsed/>
    <w:rsid w:val="007F2E1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F2E1A"/>
  </w:style>
  <w:style w:type="character" w:customStyle="1" w:styleId="Heading1Char">
    <w:name w:val="Heading 1 Char"/>
    <w:basedOn w:val="DefaultParagraphFont"/>
    <w:link w:val="Heading1"/>
    <w:rsid w:val="007F2E1A"/>
    <w:rPr>
      <w:rFonts w:ascii="Times New Roman" w:eastAsia="Times New Roman" w:hAnsi="Times New Roman" w:cs="Times New Roman"/>
      <w:b/>
      <w:sz w:val="32"/>
      <w:szCs w:val="20"/>
      <w:lang w:eastAsia="en-US"/>
    </w:rPr>
  </w:style>
  <w:style w:type="paragraph" w:styleId="BodyText">
    <w:name w:val="Body Text"/>
    <w:basedOn w:val="Normal"/>
    <w:link w:val="BodyTextChar"/>
    <w:rsid w:val="007F2E1A"/>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7F2E1A"/>
    <w:rPr>
      <w:rFonts w:ascii="Times New Roman" w:eastAsia="Times New Roman" w:hAnsi="Times New Roman" w:cs="Times New Roman"/>
      <w:sz w:val="24"/>
      <w:lang w:eastAsia="en-US"/>
    </w:rPr>
  </w:style>
  <w:style w:type="paragraph" w:styleId="Footer">
    <w:name w:val="footer"/>
    <w:basedOn w:val="Normal"/>
    <w:link w:val="FooterChar"/>
    <w:rsid w:val="007F2E1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F2E1A"/>
    <w:rPr>
      <w:rFonts w:ascii="Times New Roman" w:eastAsia="Times New Roman" w:hAnsi="Times New Roman" w:cs="Times New Roman"/>
      <w:sz w:val="16"/>
      <w:lang w:eastAsia="en-US"/>
    </w:rPr>
  </w:style>
  <w:style w:type="paragraph" w:styleId="List">
    <w:name w:val="List"/>
    <w:basedOn w:val="BodyText"/>
    <w:next w:val="BodyText"/>
    <w:rsid w:val="007F2E1A"/>
    <w:pPr>
      <w:tabs>
        <w:tab w:val="left" w:pos="340"/>
      </w:tabs>
      <w:spacing w:before="60" w:after="60"/>
      <w:ind w:left="340" w:hanging="340"/>
    </w:pPr>
  </w:style>
  <w:style w:type="character" w:customStyle="1" w:styleId="SpecialBold">
    <w:name w:val="Special Bold"/>
    <w:basedOn w:val="DefaultParagraphFont"/>
    <w:rsid w:val="007F2E1A"/>
    <w:rPr>
      <w:b/>
      <w:spacing w:val="0"/>
    </w:rPr>
  </w:style>
  <w:style w:type="paragraph" w:styleId="ListBullet2">
    <w:name w:val="List Bullet 2"/>
    <w:basedOn w:val="List2"/>
    <w:rsid w:val="007F2E1A"/>
    <w:pPr>
      <w:numPr>
        <w:numId w:val="14"/>
      </w:numPr>
      <w:tabs>
        <w:tab w:val="clear" w:pos="680"/>
      </w:tabs>
    </w:pPr>
  </w:style>
  <w:style w:type="paragraph" w:customStyle="1" w:styleId="SuperHeading">
    <w:name w:val="SuperHeading"/>
    <w:basedOn w:val="Normal"/>
    <w:rsid w:val="007F2E1A"/>
    <w:pPr>
      <w:spacing w:before="240" w:after="120"/>
      <w:outlineLvl w:val="0"/>
    </w:pPr>
    <w:rPr>
      <w:rFonts w:ascii="Times New Roman" w:hAnsi="Times New Roman"/>
      <w:b/>
      <w:sz w:val="28"/>
    </w:rPr>
  </w:style>
  <w:style w:type="paragraph" w:customStyle="1" w:styleId="AllowPageBreak">
    <w:name w:val="AllowPageBreak"/>
    <w:rsid w:val="007F2E1A"/>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7F2E1A"/>
    <w:pPr>
      <w:numPr>
        <w:numId w:val="2"/>
      </w:numPr>
      <w:tabs>
        <w:tab w:val="clear" w:pos="1021"/>
      </w:tabs>
      <w:ind w:left="1037" w:hanging="357"/>
    </w:pPr>
  </w:style>
  <w:style w:type="character" w:customStyle="1" w:styleId="BoldandItalics">
    <w:name w:val="Bold and Italics"/>
    <w:qFormat/>
    <w:rsid w:val="007F2E1A"/>
    <w:rPr>
      <w:b/>
      <w:i/>
      <w:u w:val="none"/>
    </w:rPr>
  </w:style>
  <w:style w:type="character" w:customStyle="1" w:styleId="Heading2Char">
    <w:name w:val="Heading 2 Char"/>
    <w:basedOn w:val="DefaultParagraphFont"/>
    <w:link w:val="Heading2"/>
    <w:rsid w:val="007F2E1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F2E1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F2E1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F2E1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F2E1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F2E1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F2E1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F2E1A"/>
    <w:rPr>
      <w:rFonts w:ascii="Courier New" w:eastAsia="Times New Roman" w:hAnsi="Courier New" w:cs="Times New Roman"/>
      <w:i/>
      <w:szCs w:val="20"/>
      <w:lang w:eastAsia="en-US"/>
    </w:rPr>
  </w:style>
  <w:style w:type="paragraph" w:customStyle="1" w:styleId="HeadingBase">
    <w:name w:val="Heading Base"/>
    <w:rsid w:val="007F2E1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F2E1A"/>
    <w:pPr>
      <w:tabs>
        <w:tab w:val="right" w:leader="dot" w:pos="9072"/>
      </w:tabs>
      <w:ind w:left="567"/>
    </w:pPr>
    <w:rPr>
      <w:szCs w:val="22"/>
    </w:rPr>
  </w:style>
  <w:style w:type="paragraph" w:customStyle="1" w:styleId="TOCBase">
    <w:name w:val="TOC Base"/>
    <w:rsid w:val="007F2E1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F2E1A"/>
    <w:pPr>
      <w:tabs>
        <w:tab w:val="right" w:leader="dot" w:pos="9072"/>
      </w:tabs>
      <w:spacing w:before="40" w:after="40"/>
      <w:ind w:left="284"/>
    </w:pPr>
    <w:rPr>
      <w:rFonts w:ascii="Times New Roman" w:hAnsi="Times New Roman"/>
    </w:rPr>
  </w:style>
  <w:style w:type="paragraph" w:styleId="TOC1">
    <w:name w:val="toc 1"/>
    <w:basedOn w:val="TOCBase"/>
    <w:next w:val="Normal"/>
    <w:rsid w:val="007F2E1A"/>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7F2E1A"/>
    <w:pPr>
      <w:spacing w:before="5040"/>
      <w:jc w:val="center"/>
    </w:pPr>
    <w:rPr>
      <w:sz w:val="48"/>
      <w:szCs w:val="72"/>
      <w:lang w:val="en-US"/>
    </w:rPr>
  </w:style>
  <w:style w:type="character" w:customStyle="1" w:styleId="TitleChar">
    <w:name w:val="Title Char"/>
    <w:basedOn w:val="DefaultParagraphFont"/>
    <w:link w:val="Title"/>
    <w:rsid w:val="007F2E1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F2E1A"/>
    <w:pPr>
      <w:tabs>
        <w:tab w:val="left" w:pos="3600"/>
        <w:tab w:val="left" w:pos="3958"/>
      </w:tabs>
    </w:pPr>
  </w:style>
  <w:style w:type="paragraph" w:styleId="ListBullet">
    <w:name w:val="List Bullet"/>
    <w:basedOn w:val="List"/>
    <w:rsid w:val="007F2E1A"/>
    <w:pPr>
      <w:numPr>
        <w:numId w:val="13"/>
      </w:numPr>
      <w:tabs>
        <w:tab w:val="clear" w:pos="340"/>
      </w:tabs>
      <w:spacing w:before="40" w:after="40"/>
    </w:pPr>
  </w:style>
  <w:style w:type="paragraph" w:customStyle="1" w:styleId="Note">
    <w:name w:val="Note"/>
    <w:basedOn w:val="BodyText"/>
    <w:rsid w:val="007F2E1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F2E1A"/>
    <w:pPr>
      <w:framePr w:wrap="auto" w:hAnchor="text" w:y="6049"/>
    </w:pPr>
    <w:rPr>
      <w:color w:val="000000"/>
      <w:sz w:val="40"/>
    </w:rPr>
  </w:style>
  <w:style w:type="paragraph" w:customStyle="1" w:styleId="TOCTitle">
    <w:name w:val="TOCTitle"/>
    <w:basedOn w:val="Heading1"/>
    <w:rsid w:val="007F2E1A"/>
    <w:pPr>
      <w:spacing w:after="240"/>
      <w:jc w:val="center"/>
      <w:outlineLvl w:val="9"/>
    </w:pPr>
    <w:rPr>
      <w:caps/>
    </w:rPr>
  </w:style>
  <w:style w:type="paragraph" w:customStyle="1" w:styleId="Version">
    <w:name w:val="Version"/>
    <w:rsid w:val="007F2E1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F2E1A"/>
    <w:pPr>
      <w:keepNext w:val="0"/>
      <w:tabs>
        <w:tab w:val="right" w:pos="4176"/>
      </w:tabs>
      <w:ind w:left="198" w:hanging="198"/>
    </w:pPr>
    <w:rPr>
      <w:rFonts w:ascii="Garamond" w:hAnsi="Garamond"/>
    </w:rPr>
  </w:style>
  <w:style w:type="paragraph" w:styleId="IndexHeading">
    <w:name w:val="index heading"/>
    <w:basedOn w:val="Normal"/>
    <w:next w:val="Index1"/>
    <w:semiHidden/>
    <w:rsid w:val="007F2E1A"/>
    <w:pPr>
      <w:spacing w:before="120" w:after="120"/>
    </w:pPr>
    <w:rPr>
      <w:rFonts w:ascii="Arial" w:hAnsi="Arial"/>
      <w:b/>
      <w:color w:val="918585"/>
      <w:sz w:val="24"/>
    </w:rPr>
  </w:style>
  <w:style w:type="paragraph" w:styleId="Header">
    <w:name w:val="header"/>
    <w:basedOn w:val="Normal"/>
    <w:link w:val="HeaderChar"/>
    <w:rsid w:val="007F2E1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F2E1A"/>
    <w:rPr>
      <w:rFonts w:ascii="Times New Roman" w:eastAsia="Times New Roman" w:hAnsi="Times New Roman" w:cs="Times New Roman"/>
      <w:sz w:val="16"/>
      <w:szCs w:val="20"/>
      <w:lang w:val="en-GB" w:eastAsia="en-US"/>
    </w:rPr>
  </w:style>
  <w:style w:type="paragraph" w:customStyle="1" w:styleId="Chapter">
    <w:name w:val="Chapter"/>
    <w:basedOn w:val="Normal"/>
    <w:rsid w:val="007F2E1A"/>
    <w:pPr>
      <w:spacing w:before="240"/>
    </w:pPr>
    <w:rPr>
      <w:rFonts w:ascii="Times New Roman" w:hAnsi="Times New Roman"/>
      <w:smallCaps/>
      <w:spacing w:val="80"/>
      <w:sz w:val="28"/>
    </w:rPr>
  </w:style>
  <w:style w:type="paragraph" w:customStyle="1" w:styleId="InChapter">
    <w:name w:val="InChapter"/>
    <w:basedOn w:val="Heading3"/>
    <w:rsid w:val="007F2E1A"/>
    <w:pPr>
      <w:spacing w:after="240"/>
      <w:outlineLvl w:val="9"/>
    </w:pPr>
    <w:rPr>
      <w:noProof/>
    </w:rPr>
  </w:style>
  <w:style w:type="paragraph" w:styleId="Index2">
    <w:name w:val="index 2"/>
    <w:basedOn w:val="Normal"/>
    <w:next w:val="Normal"/>
    <w:semiHidden/>
    <w:rsid w:val="007F2E1A"/>
    <w:pPr>
      <w:tabs>
        <w:tab w:val="right" w:pos="4176"/>
      </w:tabs>
      <w:ind w:left="568" w:hanging="284"/>
    </w:pPr>
    <w:rPr>
      <w:rFonts w:ascii="Garamond" w:hAnsi="Garamond"/>
    </w:rPr>
  </w:style>
  <w:style w:type="paragraph" w:customStyle="1" w:styleId="Byline">
    <w:name w:val="Byline"/>
    <w:rsid w:val="007F2E1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F2E1A"/>
    <w:pPr>
      <w:tabs>
        <w:tab w:val="clear" w:pos="3600"/>
        <w:tab w:val="clear" w:pos="3958"/>
      </w:tabs>
      <w:jc w:val="right"/>
    </w:pPr>
  </w:style>
  <w:style w:type="character" w:styleId="Emphasis">
    <w:name w:val="Emphasis"/>
    <w:basedOn w:val="DefaultParagraphFont"/>
    <w:qFormat/>
    <w:rsid w:val="007F2E1A"/>
    <w:rPr>
      <w:i/>
    </w:rPr>
  </w:style>
  <w:style w:type="paragraph" w:styleId="Caption">
    <w:name w:val="caption"/>
    <w:basedOn w:val="BodyText"/>
    <w:next w:val="Normal"/>
    <w:qFormat/>
    <w:rsid w:val="007F2E1A"/>
    <w:pPr>
      <w:framePr w:w="2268" w:hSpace="181" w:vSpace="181" w:wrap="around" w:vAnchor="text" w:hAnchor="page" w:x="1135" w:y="285" w:anchorLock="1"/>
    </w:pPr>
    <w:rPr>
      <w:i/>
    </w:rPr>
  </w:style>
  <w:style w:type="paragraph" w:customStyle="1" w:styleId="MiniTOCTitle">
    <w:name w:val="MiniTOCTitle"/>
    <w:basedOn w:val="Heading4"/>
    <w:rsid w:val="007F2E1A"/>
    <w:pPr>
      <w:spacing w:before="240"/>
      <w:outlineLvl w:val="9"/>
    </w:pPr>
    <w:rPr>
      <w:noProof/>
      <w:sz w:val="24"/>
    </w:rPr>
  </w:style>
  <w:style w:type="paragraph" w:customStyle="1" w:styleId="MiniTOCItem">
    <w:name w:val="MiniTOCItem"/>
    <w:basedOn w:val="ListBullet"/>
    <w:rsid w:val="007F2E1A"/>
    <w:pPr>
      <w:numPr>
        <w:numId w:val="0"/>
      </w:numPr>
      <w:tabs>
        <w:tab w:val="right" w:leader="dot" w:pos="6521"/>
      </w:tabs>
      <w:spacing w:before="0" w:after="0"/>
    </w:pPr>
  </w:style>
  <w:style w:type="paragraph" w:customStyle="1" w:styleId="TOFTitle">
    <w:name w:val="TOFTitle"/>
    <w:basedOn w:val="TOCTitle"/>
    <w:rsid w:val="007F2E1A"/>
  </w:style>
  <w:style w:type="paragraph" w:styleId="TableofFigures">
    <w:name w:val="table of figures"/>
    <w:basedOn w:val="Normal"/>
    <w:next w:val="Normal"/>
    <w:semiHidden/>
    <w:rsid w:val="007F2E1A"/>
    <w:pPr>
      <w:tabs>
        <w:tab w:val="right" w:leader="dot" w:pos="9072"/>
      </w:tabs>
      <w:ind w:left="970" w:hanging="403"/>
    </w:pPr>
    <w:rPr>
      <w:rFonts w:ascii="Times New Roman" w:hAnsi="Times New Roman"/>
      <w:b/>
    </w:rPr>
  </w:style>
  <w:style w:type="paragraph" w:styleId="ListNumber">
    <w:name w:val="List Number"/>
    <w:basedOn w:val="List"/>
    <w:rsid w:val="007F2E1A"/>
    <w:pPr>
      <w:numPr>
        <w:numId w:val="11"/>
      </w:numPr>
    </w:pPr>
  </w:style>
  <w:style w:type="character" w:customStyle="1" w:styleId="WingdingSymbols">
    <w:name w:val="Wingding Symbols"/>
    <w:rsid w:val="007F2E1A"/>
    <w:rPr>
      <w:rFonts w:ascii="Wingdings" w:hAnsi="Wingdings"/>
    </w:rPr>
  </w:style>
  <w:style w:type="paragraph" w:customStyle="1" w:styleId="TableHeading">
    <w:name w:val="Table Heading"/>
    <w:basedOn w:val="HeadingBase"/>
    <w:rsid w:val="007F2E1A"/>
    <w:pPr>
      <w:keepLines/>
      <w:pBdr>
        <w:bottom w:val="single" w:sz="6" w:space="1" w:color="918585"/>
      </w:pBdr>
      <w:spacing w:before="240"/>
    </w:pPr>
  </w:style>
  <w:style w:type="character" w:customStyle="1" w:styleId="HotSpot">
    <w:name w:val="HotSpot"/>
    <w:rsid w:val="007F2E1A"/>
    <w:rPr>
      <w:color w:val="0033CC"/>
      <w:u w:val="none"/>
    </w:rPr>
  </w:style>
  <w:style w:type="paragraph" w:customStyle="1" w:styleId="BodyTextRight">
    <w:name w:val="Body Text Right"/>
    <w:basedOn w:val="BodyText"/>
    <w:rsid w:val="007F2E1A"/>
    <w:pPr>
      <w:spacing w:before="0" w:after="0"/>
      <w:jc w:val="right"/>
    </w:pPr>
  </w:style>
  <w:style w:type="paragraph" w:styleId="Index3">
    <w:name w:val="index 3"/>
    <w:basedOn w:val="ListNumber2"/>
    <w:next w:val="Normal"/>
    <w:semiHidden/>
    <w:rsid w:val="007F2E1A"/>
    <w:pPr>
      <w:numPr>
        <w:numId w:val="0"/>
      </w:numPr>
      <w:tabs>
        <w:tab w:val="right" w:leader="dot" w:pos="4176"/>
      </w:tabs>
    </w:pPr>
  </w:style>
  <w:style w:type="paragraph" w:styleId="ListNumber2">
    <w:name w:val="List Number 2"/>
    <w:basedOn w:val="List2"/>
    <w:rsid w:val="007F2E1A"/>
    <w:pPr>
      <w:numPr>
        <w:numId w:val="10"/>
      </w:numPr>
      <w:tabs>
        <w:tab w:val="clear" w:pos="1060"/>
      </w:tabs>
    </w:pPr>
  </w:style>
  <w:style w:type="paragraph" w:customStyle="1" w:styleId="MarginNote">
    <w:name w:val="Margin Note"/>
    <w:basedOn w:val="BodyText"/>
    <w:rsid w:val="007F2E1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F2E1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F2E1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F2E1A"/>
    <w:rPr>
      <w:sz w:val="32"/>
    </w:rPr>
  </w:style>
  <w:style w:type="paragraph" w:customStyle="1" w:styleId="HeadingProcedure">
    <w:name w:val="Heading Procedure"/>
    <w:basedOn w:val="HeadingBase"/>
    <w:next w:val="Normal"/>
    <w:rsid w:val="007F2E1A"/>
    <w:pPr>
      <w:tabs>
        <w:tab w:val="left" w:pos="0"/>
      </w:tabs>
      <w:spacing w:before="120" w:after="60"/>
    </w:pPr>
    <w:rPr>
      <w:i/>
      <w:color w:val="918585"/>
      <w:sz w:val="22"/>
    </w:rPr>
  </w:style>
  <w:style w:type="paragraph" w:customStyle="1" w:styleId="TableBodyText">
    <w:name w:val="Table Body Text"/>
    <w:basedOn w:val="BodyText"/>
    <w:rsid w:val="007F2E1A"/>
    <w:pPr>
      <w:spacing w:before="60" w:after="60"/>
    </w:pPr>
  </w:style>
  <w:style w:type="paragraph" w:styleId="ListContinue">
    <w:name w:val="List Continue"/>
    <w:basedOn w:val="List"/>
    <w:rsid w:val="007F2E1A"/>
    <w:pPr>
      <w:ind w:firstLine="0"/>
    </w:pPr>
  </w:style>
  <w:style w:type="paragraph" w:customStyle="1" w:styleId="ListNote">
    <w:name w:val="List Note"/>
    <w:basedOn w:val="List"/>
    <w:rsid w:val="007F2E1A"/>
    <w:pPr>
      <w:pBdr>
        <w:top w:val="single" w:sz="6" w:space="2" w:color="918585"/>
        <w:bottom w:val="single" w:sz="6" w:space="2" w:color="918585"/>
      </w:pBdr>
      <w:tabs>
        <w:tab w:val="left" w:pos="1021"/>
      </w:tabs>
      <w:ind w:firstLine="0"/>
    </w:pPr>
  </w:style>
  <w:style w:type="paragraph" w:customStyle="1" w:styleId="Warning">
    <w:name w:val="Warning"/>
    <w:basedOn w:val="BodyText"/>
    <w:rsid w:val="007F2E1A"/>
    <w:pPr>
      <w:shd w:val="clear" w:color="auto" w:fill="D9D9D9"/>
      <w:tabs>
        <w:tab w:val="left" w:pos="992"/>
      </w:tabs>
      <w:ind w:left="119" w:right="119"/>
    </w:pPr>
    <w:rPr>
      <w:sz w:val="20"/>
    </w:rPr>
  </w:style>
  <w:style w:type="paragraph" w:customStyle="1" w:styleId="MarginIcons">
    <w:name w:val="Margin Icons"/>
    <w:basedOn w:val="BodyText"/>
    <w:rsid w:val="007F2E1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F2E1A"/>
    <w:rPr>
      <w:rFonts w:ascii="Courier New" w:hAnsi="Courier New"/>
    </w:rPr>
  </w:style>
  <w:style w:type="paragraph" w:customStyle="1" w:styleId="NoteBullet">
    <w:name w:val="Note Bullet"/>
    <w:basedOn w:val="Note"/>
    <w:rsid w:val="007F2E1A"/>
    <w:pPr>
      <w:tabs>
        <w:tab w:val="clear" w:pos="680"/>
      </w:tabs>
      <w:spacing w:before="60" w:after="60"/>
    </w:pPr>
  </w:style>
  <w:style w:type="paragraph" w:customStyle="1" w:styleId="SubHeading2">
    <w:name w:val="SubHeading2"/>
    <w:basedOn w:val="HeadingBase"/>
    <w:rsid w:val="007F2E1A"/>
    <w:pPr>
      <w:spacing w:before="240" w:after="60"/>
    </w:pPr>
    <w:rPr>
      <w:sz w:val="20"/>
    </w:rPr>
  </w:style>
  <w:style w:type="paragraph" w:customStyle="1" w:styleId="SubHeading1">
    <w:name w:val="SubHeading1"/>
    <w:basedOn w:val="HeadingBase"/>
    <w:rsid w:val="007F2E1A"/>
    <w:pPr>
      <w:spacing w:before="240" w:after="60"/>
    </w:pPr>
    <w:rPr>
      <w:color w:val="918585"/>
      <w:sz w:val="22"/>
    </w:rPr>
  </w:style>
  <w:style w:type="paragraph" w:customStyle="1" w:styleId="SideHeading">
    <w:name w:val="Side Heading"/>
    <w:basedOn w:val="HeadingBase"/>
    <w:rsid w:val="007F2E1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F2E1A"/>
    <w:pPr>
      <w:numPr>
        <w:numId w:val="12"/>
      </w:numPr>
    </w:pPr>
  </w:style>
  <w:style w:type="paragraph" w:styleId="PlainText">
    <w:name w:val="Plain Text"/>
    <w:basedOn w:val="Normal"/>
    <w:link w:val="PlainTextChar"/>
    <w:rsid w:val="007F2E1A"/>
    <w:rPr>
      <w:sz w:val="20"/>
    </w:rPr>
  </w:style>
  <w:style w:type="character" w:customStyle="1" w:styleId="PlainTextChar">
    <w:name w:val="Plain Text Char"/>
    <w:basedOn w:val="DefaultParagraphFont"/>
    <w:link w:val="PlainText"/>
    <w:rsid w:val="007F2E1A"/>
    <w:rPr>
      <w:rFonts w:ascii="Courier New" w:eastAsia="Times New Roman" w:hAnsi="Courier New" w:cs="Times New Roman"/>
      <w:sz w:val="20"/>
      <w:szCs w:val="20"/>
      <w:lang w:eastAsia="en-US"/>
    </w:rPr>
  </w:style>
  <w:style w:type="character" w:customStyle="1" w:styleId="MenuOption">
    <w:name w:val="Menu Option"/>
    <w:basedOn w:val="DefaultParagraphFont"/>
    <w:rsid w:val="007F2E1A"/>
    <w:rPr>
      <w:b/>
      <w:smallCaps/>
    </w:rPr>
  </w:style>
  <w:style w:type="paragraph" w:customStyle="1" w:styleId="TableListNumber">
    <w:name w:val="Table List Number"/>
    <w:basedOn w:val="ListNumber"/>
    <w:rsid w:val="007F2E1A"/>
    <w:pPr>
      <w:numPr>
        <w:numId w:val="0"/>
      </w:numPr>
    </w:pPr>
  </w:style>
  <w:style w:type="paragraph" w:styleId="TOC4">
    <w:name w:val="toc 4"/>
    <w:basedOn w:val="TOCBase"/>
    <w:next w:val="Normal"/>
    <w:semiHidden/>
    <w:rsid w:val="007F2E1A"/>
    <w:pPr>
      <w:tabs>
        <w:tab w:val="right" w:leader="dot" w:pos="9071"/>
      </w:tabs>
      <w:ind w:left="1701"/>
    </w:pPr>
  </w:style>
  <w:style w:type="paragraph" w:customStyle="1" w:styleId="ListAlpha">
    <w:name w:val="List Alpha"/>
    <w:basedOn w:val="List"/>
    <w:rsid w:val="007F2E1A"/>
    <w:pPr>
      <w:numPr>
        <w:numId w:val="9"/>
      </w:numPr>
    </w:pPr>
  </w:style>
  <w:style w:type="paragraph" w:customStyle="1" w:styleId="ListAlpha2">
    <w:name w:val="List Alpha 2"/>
    <w:basedOn w:val="List2"/>
    <w:rsid w:val="007F2E1A"/>
    <w:pPr>
      <w:numPr>
        <w:numId w:val="8"/>
      </w:numPr>
    </w:pPr>
  </w:style>
  <w:style w:type="paragraph" w:styleId="List2">
    <w:name w:val="List 2"/>
    <w:basedOn w:val="BodyText"/>
    <w:rsid w:val="007F2E1A"/>
    <w:pPr>
      <w:tabs>
        <w:tab w:val="left" w:pos="680"/>
      </w:tabs>
      <w:spacing w:before="60" w:after="60"/>
      <w:ind w:left="680" w:hanging="340"/>
    </w:pPr>
  </w:style>
  <w:style w:type="paragraph" w:styleId="List3">
    <w:name w:val="List 3"/>
    <w:basedOn w:val="BodyText"/>
    <w:rsid w:val="007F2E1A"/>
    <w:pPr>
      <w:tabs>
        <w:tab w:val="left" w:pos="1021"/>
      </w:tabs>
      <w:spacing w:before="60" w:after="60"/>
      <w:ind w:left="1020" w:hanging="340"/>
    </w:pPr>
  </w:style>
  <w:style w:type="paragraph" w:styleId="List4">
    <w:name w:val="List 4"/>
    <w:basedOn w:val="BodyText"/>
    <w:rsid w:val="007F2E1A"/>
    <w:pPr>
      <w:tabs>
        <w:tab w:val="left" w:pos="1361"/>
      </w:tabs>
      <w:spacing w:before="60" w:after="60"/>
      <w:ind w:left="1361" w:hanging="340"/>
    </w:pPr>
  </w:style>
  <w:style w:type="paragraph" w:styleId="List5">
    <w:name w:val="List 5"/>
    <w:basedOn w:val="BodyText"/>
    <w:rsid w:val="007F2E1A"/>
    <w:pPr>
      <w:tabs>
        <w:tab w:val="left" w:pos="1701"/>
      </w:tabs>
      <w:spacing w:before="60" w:after="60"/>
      <w:ind w:left="1701" w:hanging="340"/>
    </w:pPr>
  </w:style>
  <w:style w:type="paragraph" w:styleId="ListBullet4">
    <w:name w:val="List Bullet 4"/>
    <w:basedOn w:val="List4"/>
    <w:rsid w:val="007F2E1A"/>
    <w:pPr>
      <w:numPr>
        <w:numId w:val="3"/>
      </w:numPr>
    </w:pPr>
  </w:style>
  <w:style w:type="paragraph" w:styleId="ListBullet5">
    <w:name w:val="List Bullet 5"/>
    <w:basedOn w:val="List5"/>
    <w:rsid w:val="007F2E1A"/>
    <w:pPr>
      <w:numPr>
        <w:numId w:val="4"/>
      </w:numPr>
    </w:pPr>
  </w:style>
  <w:style w:type="paragraph" w:styleId="ListContinue2">
    <w:name w:val="List Continue 2"/>
    <w:basedOn w:val="List2"/>
    <w:rsid w:val="007F2E1A"/>
    <w:pPr>
      <w:ind w:firstLine="0"/>
    </w:pPr>
  </w:style>
  <w:style w:type="paragraph" w:styleId="ListContinue3">
    <w:name w:val="List Continue 3"/>
    <w:basedOn w:val="List3"/>
    <w:rsid w:val="007F2E1A"/>
    <w:pPr>
      <w:ind w:left="1021" w:firstLine="0"/>
    </w:pPr>
  </w:style>
  <w:style w:type="paragraph" w:styleId="ListContinue4">
    <w:name w:val="List Continue 4"/>
    <w:basedOn w:val="List4"/>
    <w:rsid w:val="007F2E1A"/>
    <w:pPr>
      <w:ind w:firstLine="0"/>
    </w:pPr>
  </w:style>
  <w:style w:type="paragraph" w:styleId="ListContinue5">
    <w:name w:val="List Continue 5"/>
    <w:basedOn w:val="List5"/>
    <w:rsid w:val="007F2E1A"/>
    <w:pPr>
      <w:ind w:firstLine="0"/>
    </w:pPr>
  </w:style>
  <w:style w:type="paragraph" w:styleId="ListNumber3">
    <w:name w:val="List Number 3"/>
    <w:basedOn w:val="List3"/>
    <w:rsid w:val="007F2E1A"/>
    <w:pPr>
      <w:numPr>
        <w:numId w:val="5"/>
      </w:numPr>
    </w:pPr>
  </w:style>
  <w:style w:type="paragraph" w:styleId="ListNumber4">
    <w:name w:val="List Number 4"/>
    <w:basedOn w:val="List4"/>
    <w:rsid w:val="007F2E1A"/>
    <w:pPr>
      <w:numPr>
        <w:numId w:val="6"/>
      </w:numPr>
    </w:pPr>
  </w:style>
  <w:style w:type="paragraph" w:styleId="ListNumber5">
    <w:name w:val="List Number 5"/>
    <w:basedOn w:val="List5"/>
    <w:rsid w:val="007F2E1A"/>
    <w:pPr>
      <w:numPr>
        <w:numId w:val="7"/>
      </w:numPr>
    </w:pPr>
  </w:style>
  <w:style w:type="paragraph" w:styleId="BlockText">
    <w:name w:val="Block Text"/>
    <w:basedOn w:val="Normal"/>
    <w:rsid w:val="007F2E1A"/>
    <w:pPr>
      <w:spacing w:after="120"/>
      <w:ind w:left="1440" w:right="1440"/>
    </w:pPr>
  </w:style>
  <w:style w:type="character" w:customStyle="1" w:styleId="Subscript">
    <w:name w:val="Subscript"/>
    <w:basedOn w:val="DefaultParagraphFont"/>
    <w:rsid w:val="007F2E1A"/>
    <w:rPr>
      <w:sz w:val="16"/>
      <w:vertAlign w:val="subscript"/>
    </w:rPr>
  </w:style>
  <w:style w:type="character" w:customStyle="1" w:styleId="Superscript">
    <w:name w:val="Superscript"/>
    <w:basedOn w:val="DefaultParagraphFont"/>
    <w:rsid w:val="007F2E1A"/>
    <w:rPr>
      <w:sz w:val="16"/>
      <w:vertAlign w:val="superscript"/>
    </w:rPr>
  </w:style>
  <w:style w:type="character" w:customStyle="1" w:styleId="Symbols">
    <w:name w:val="Symbols"/>
    <w:basedOn w:val="DefaultParagraphFont"/>
    <w:rsid w:val="007F2E1A"/>
    <w:rPr>
      <w:rFonts w:ascii="Symbol" w:hAnsi="Symbol"/>
    </w:rPr>
  </w:style>
  <w:style w:type="character" w:customStyle="1" w:styleId="MenuOptions">
    <w:name w:val="Menu Options"/>
    <w:basedOn w:val="DefaultParagraphFont"/>
    <w:rsid w:val="007F2E1A"/>
    <w:rPr>
      <w:rFonts w:ascii="Arial Narrow" w:hAnsi="Arial Narrow"/>
      <w:smallCaps/>
    </w:rPr>
  </w:style>
  <w:style w:type="character" w:customStyle="1" w:styleId="Buttons">
    <w:name w:val="Buttons"/>
    <w:basedOn w:val="DefaultParagraphFont"/>
    <w:rsid w:val="007F2E1A"/>
    <w:rPr>
      <w:b/>
    </w:rPr>
  </w:style>
  <w:style w:type="character" w:customStyle="1" w:styleId="Underlined">
    <w:name w:val="Underlined"/>
    <w:basedOn w:val="DefaultParagraphFont"/>
    <w:rsid w:val="007F2E1A"/>
    <w:rPr>
      <w:u w:val="single"/>
    </w:rPr>
  </w:style>
  <w:style w:type="paragraph" w:customStyle="1" w:styleId="TableBodyTextRight">
    <w:name w:val="Table Body Text Right"/>
    <w:basedOn w:val="TableBodyText"/>
    <w:rsid w:val="007F2E1A"/>
    <w:pPr>
      <w:widowControl w:val="0"/>
      <w:autoSpaceDE w:val="0"/>
      <w:autoSpaceDN w:val="0"/>
      <w:adjustRightInd w:val="0"/>
      <w:jc w:val="right"/>
    </w:pPr>
    <w:rPr>
      <w:rFonts w:cs="Arial"/>
      <w:szCs w:val="18"/>
    </w:rPr>
  </w:style>
  <w:style w:type="paragraph" w:customStyle="1" w:styleId="CopyrightText">
    <w:name w:val="Copyright Text"/>
    <w:basedOn w:val="BodyText"/>
    <w:rsid w:val="007F2E1A"/>
    <w:rPr>
      <w:sz w:val="18"/>
    </w:rPr>
  </w:style>
  <w:style w:type="paragraph" w:customStyle="1" w:styleId="BodySmallRight">
    <w:name w:val="Body Small Right"/>
    <w:basedOn w:val="BodyTextRight"/>
    <w:rsid w:val="007F2E1A"/>
    <w:rPr>
      <w:sz w:val="18"/>
      <w:szCs w:val="18"/>
    </w:rPr>
  </w:style>
  <w:style w:type="paragraph" w:customStyle="1" w:styleId="MarginEdition">
    <w:name w:val="Margin Edition"/>
    <w:basedOn w:val="MarginNote"/>
    <w:rsid w:val="007F2E1A"/>
    <w:pPr>
      <w:spacing w:before="0" w:after="0"/>
    </w:pPr>
    <w:rPr>
      <w:rFonts w:ascii="Times New Roman" w:hAnsi="Times New Roman"/>
      <w:color w:val="999999"/>
    </w:rPr>
  </w:style>
  <w:style w:type="paragraph" w:customStyle="1" w:styleId="Spacer">
    <w:name w:val="Spacer"/>
    <w:basedOn w:val="Normal"/>
    <w:rsid w:val="007F2E1A"/>
    <w:rPr>
      <w:sz w:val="2"/>
      <w:szCs w:val="2"/>
    </w:rPr>
  </w:style>
  <w:style w:type="character" w:customStyle="1" w:styleId="Small">
    <w:name w:val="Small"/>
    <w:basedOn w:val="DefaultParagraphFont"/>
    <w:rsid w:val="007F2E1A"/>
    <w:rPr>
      <w:sz w:val="16"/>
    </w:rPr>
  </w:style>
  <w:style w:type="paragraph" w:customStyle="1" w:styleId="WideTable">
    <w:name w:val="Wide Table"/>
    <w:basedOn w:val="Normal"/>
    <w:rsid w:val="007F2E1A"/>
    <w:pPr>
      <w:ind w:left="-1418"/>
    </w:pPr>
    <w:rPr>
      <w:sz w:val="2"/>
      <w:szCs w:val="2"/>
    </w:rPr>
  </w:style>
  <w:style w:type="character" w:styleId="PageNumber">
    <w:name w:val="page number"/>
    <w:basedOn w:val="DefaultParagraphFont"/>
    <w:rsid w:val="007F2E1A"/>
  </w:style>
  <w:style w:type="paragraph" w:styleId="Quote">
    <w:name w:val="Quote"/>
    <w:basedOn w:val="Heading1"/>
    <w:link w:val="QuoteChar"/>
    <w:qFormat/>
    <w:rsid w:val="007F2E1A"/>
    <w:rPr>
      <w:b w:val="0"/>
      <w:sz w:val="72"/>
      <w:szCs w:val="72"/>
      <w:lang w:val="en-NZ"/>
    </w:rPr>
  </w:style>
  <w:style w:type="character" w:customStyle="1" w:styleId="QuoteChar">
    <w:name w:val="Quote Char"/>
    <w:basedOn w:val="DefaultParagraphFont"/>
    <w:link w:val="Quote"/>
    <w:rsid w:val="007F2E1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F2E1A"/>
    <w:pPr>
      <w:pageBreakBefore/>
    </w:pPr>
  </w:style>
  <w:style w:type="paragraph" w:customStyle="1" w:styleId="Border">
    <w:name w:val="Border"/>
    <w:basedOn w:val="Normal"/>
    <w:qFormat/>
    <w:rsid w:val="007F2E1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F2E1A"/>
    <w:rPr>
      <w:b/>
      <w:bCs/>
      <w:i/>
      <w:iCs/>
      <w:color w:val="auto"/>
    </w:rPr>
  </w:style>
  <w:style w:type="paragraph" w:styleId="IntenseQuote">
    <w:name w:val="Intense Quote"/>
    <w:basedOn w:val="Normal"/>
    <w:next w:val="Normal"/>
    <w:link w:val="IntenseQuoteChar"/>
    <w:uiPriority w:val="30"/>
    <w:qFormat/>
    <w:rsid w:val="007F2E1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F2E1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F2E1A"/>
    <w:rPr>
      <w:smallCaps/>
      <w:color w:val="auto"/>
      <w:u w:val="single"/>
    </w:rPr>
  </w:style>
  <w:style w:type="character" w:styleId="IntenseReference">
    <w:name w:val="Intense Reference"/>
    <w:basedOn w:val="DefaultParagraphFont"/>
    <w:uiPriority w:val="32"/>
    <w:qFormat/>
    <w:rsid w:val="007F2E1A"/>
    <w:rPr>
      <w:b/>
      <w:bCs/>
      <w:smallCaps/>
      <w:color w:val="auto"/>
      <w:spacing w:val="5"/>
      <w:u w:val="single"/>
    </w:rPr>
  </w:style>
  <w:style w:type="paragraph" w:customStyle="1" w:styleId="2ColumnHeading">
    <w:name w:val="2Column Heading"/>
    <w:basedOn w:val="BodyText"/>
    <w:qFormat/>
    <w:rsid w:val="007F2E1A"/>
    <w:pPr>
      <w:spacing w:after="60"/>
      <w:ind w:left="-2268"/>
    </w:pPr>
    <w:rPr>
      <w:b/>
    </w:rPr>
  </w:style>
  <w:style w:type="paragraph" w:customStyle="1" w:styleId="Heading1TOC">
    <w:name w:val="Heading1 TOC"/>
    <w:basedOn w:val="Normal"/>
    <w:qFormat/>
    <w:rsid w:val="007F2E1A"/>
    <w:pPr>
      <w:spacing w:before="240" w:after="120"/>
    </w:pPr>
    <w:rPr>
      <w:rFonts w:ascii="Times New Roman" w:hAnsi="Times New Roman"/>
      <w:b/>
      <w:sz w:val="32"/>
    </w:rPr>
  </w:style>
  <w:style w:type="paragraph" w:customStyle="1" w:styleId="Heading2TOC">
    <w:name w:val="Heading2 TOC"/>
    <w:basedOn w:val="Normal"/>
    <w:qFormat/>
    <w:rsid w:val="007F2E1A"/>
    <w:pPr>
      <w:spacing w:before="240" w:after="60"/>
    </w:pPr>
    <w:rPr>
      <w:rFonts w:ascii="Times New Roman" w:hAnsi="Times New Roman"/>
      <w:b/>
      <w:sz w:val="28"/>
    </w:rPr>
  </w:style>
  <w:style w:type="character" w:customStyle="1" w:styleId="Underline">
    <w:name w:val="Underline"/>
    <w:basedOn w:val="DefaultParagraphFont"/>
    <w:qFormat/>
    <w:rsid w:val="007F2E1A"/>
    <w:rPr>
      <w:u w:val="single"/>
    </w:rPr>
  </w:style>
  <w:style w:type="paragraph" w:styleId="BalloonText">
    <w:name w:val="Balloon Text"/>
    <w:basedOn w:val="Normal"/>
    <w:link w:val="BalloonTextChar"/>
    <w:rsid w:val="007F2E1A"/>
    <w:rPr>
      <w:rFonts w:ascii="Tahoma" w:hAnsi="Tahoma" w:cs="Tahoma"/>
      <w:sz w:val="16"/>
      <w:szCs w:val="16"/>
    </w:rPr>
  </w:style>
  <w:style w:type="character" w:customStyle="1" w:styleId="BalloonTextChar">
    <w:name w:val="Balloon Text Char"/>
    <w:basedOn w:val="DefaultParagraphFont"/>
    <w:link w:val="BalloonText"/>
    <w:rsid w:val="007F2E1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F2E1A"/>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7F2E1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F2E1A"/>
    <w:rPr>
      <w:b/>
      <w:color w:val="660033"/>
      <w:spacing w:val="0"/>
    </w:rPr>
  </w:style>
  <w:style w:type="paragraph" w:customStyle="1" w:styleId="Nameditemlist">
    <w:name w:val="Named item list"/>
    <w:basedOn w:val="BodyText"/>
    <w:qFormat/>
    <w:rsid w:val="007F2E1A"/>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1060</Words>
  <Characters>6804</Characters>
  <Application>Microsoft Office Word</Application>
  <DocSecurity>0</DocSecurity>
  <Lines>234</Lines>
  <Paragraphs>144</Paragraphs>
  <ScaleCrop>false</ScaleCrop>
  <Company>Author-it Software Corporation Ltd.</Company>
  <LinksUpToDate>false</LinksUpToDate>
  <CharactersWithSpaces>7790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PSPTIS508A Analyse texts to be translated (LOTE)</dc:title>
  <dc:subject>Approved</dc:subject>
  <dc:creator>Government Skills Australia</dc:creator>
  <cp:keywords>Revision Number: 3</cp:keywords>
  <dc:description>Copyright © 1996-2007 Author-it Software Corporation Ltd., all rights reserved.</dc:description>
  <cp:lastModifiedBy>TPCMS</cp:lastModifiedBy>
  <cp:revision>3</cp:revision>
  <dcterms:created xsi:type="dcterms:W3CDTF">2012-11-01T17:50:00Z</dcterms:created>
  <dcterms:modified xsi:type="dcterms:W3CDTF">2012-11-01T17:50:00Z</dcterms:modified>
</cp:coreProperties>
</file>