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4F73" w:rsidP="00ED4F73">
      <w:pPr>
        <w:pStyle w:val="Title"/>
      </w:pPr>
      <w:r>
        <w:fldChar w:fldCharType="begin"/>
      </w:r>
      <w:r>
        <w:instrText xml:space="preserve"> TITLE   \* MERGEFORMAT </w:instrText>
      </w:r>
      <w:r>
        <w:fldChar w:fldCharType="separate"/>
      </w:r>
      <w:r>
        <w:t>PSPTIS502A Prepare to translate and interpret</w:t>
      </w:r>
      <w:r>
        <w:fldChar w:fldCharType="end"/>
      </w:r>
    </w:p>
    <w:p w:rsidR="00ED4F73" w:rsidP="00ED4F73">
      <w:pPr>
        <w:pStyle w:val="Version"/>
        <w:sectPr w:rsidSect="001A03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A03BC" w:rsidP="001A03BC">
      <w:pPr>
        <w:pStyle w:val="SuperHeading"/>
      </w:pPr>
      <w:r w:rsidRPr="001A03BC">
        <w:t>PSPTIS502A Prepare to translate and interpret</w:t>
      </w:r>
    </w:p>
    <w:p w:rsidR="00000000" w:rsidRPr="001A03BC" w:rsidP="001A03BC">
      <w:pPr>
        <w:pStyle w:val="SuperHeading"/>
      </w:pPr>
    </w:p>
    <w:p w:rsidR="00000000" w:rsidRPr="001A03BC" w:rsidP="001A03BC">
      <w:pPr>
        <w:pStyle w:val="Heading1"/>
      </w:pPr>
      <w:bookmarkStart w:id="1" w:name="O_495477"/>
      <w:bookmarkEnd w:id="1"/>
      <w:r w:rsidRPr="001A03BC">
        <w:t>Modification History</w:t>
      </w:r>
    </w:p>
    <w:tbl>
      <w:tblPr>
        <w:tblW w:w="0" w:type="auto"/>
        <w:tblLayout w:type="fixed"/>
        <w:tblCellMar>
          <w:left w:w="62" w:type="dxa"/>
          <w:right w:w="62" w:type="dxa"/>
        </w:tblCellMar>
        <w:tblLook w:val="0000"/>
      </w:tblPr>
      <w:tblGrid>
        <w:gridCol w:w="3052"/>
        <w:gridCol w:w="3052"/>
        <w:gridCol w:w="3052"/>
      </w:tblGrid>
      <w:tr w:rsidTr="00ED4F7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3BC" w:rsidP="001A03BC">
            <w:pPr>
              <w:pStyle w:val="BodyText"/>
            </w:pPr>
            <w:r w:rsidRPr="001A03B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3BC" w:rsidP="001A03BC">
            <w:pPr>
              <w:pStyle w:val="BodyText"/>
            </w:pPr>
            <w:r w:rsidRPr="001A03B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3BC">
            <w:pPr>
              <w:pStyle w:val="BodyText"/>
              <w:rPr>
                <w:lang w:val="en-NZ"/>
              </w:rPr>
            </w:pPr>
            <w:r w:rsidRPr="001A03BC">
              <w:rPr>
                <w:rStyle w:val="SpecialBold"/>
              </w:rPr>
              <w:t>Comments</w:t>
            </w:r>
          </w:p>
        </w:tc>
      </w:tr>
      <w:tr w:rsidTr="00ED4F7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3BC">
            <w:pPr>
              <w:pStyle w:val="BodyText"/>
              <w:rPr>
                <w:lang w:val="en-NZ"/>
              </w:rPr>
            </w:pPr>
            <w:r w:rsidRPr="001A03B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3BC">
            <w:pPr>
              <w:pStyle w:val="BodyText"/>
              <w:rPr>
                <w:lang w:val="en-NZ"/>
              </w:rPr>
            </w:pPr>
            <w:r w:rsidRPr="001A03B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3BC">
            <w:pPr>
              <w:pStyle w:val="BodyText"/>
              <w:rPr>
                <w:lang w:val="en-NZ"/>
              </w:rPr>
            </w:pPr>
            <w:r w:rsidRPr="001A03BC">
              <w:t>Unit descriptor edited.</w:t>
            </w:r>
          </w:p>
        </w:tc>
      </w:tr>
      <w:tr w:rsidTr="00ED4F7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3BC">
            <w:pPr>
              <w:pStyle w:val="BodyText"/>
              <w:rPr>
                <w:lang w:val="en-NZ"/>
              </w:rPr>
            </w:pPr>
            <w:r w:rsidRPr="001A03B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3BC">
            <w:pPr>
              <w:pStyle w:val="BodyText"/>
              <w:rPr>
                <w:lang w:val="en-NZ"/>
              </w:rPr>
            </w:pPr>
            <w:r w:rsidRPr="001A03B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3BC">
            <w:pPr>
              <w:pStyle w:val="BodyText"/>
              <w:rPr>
                <w:lang w:val="en-NZ"/>
              </w:rPr>
            </w:pPr>
            <w:r w:rsidRPr="001A03BC">
              <w:t>Layout adjusted. No changes to content.</w:t>
            </w:r>
          </w:p>
        </w:tc>
      </w:tr>
      <w:tr w:rsidTr="00ED4F7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3BC">
            <w:pPr>
              <w:pStyle w:val="BodyText"/>
              <w:rPr>
                <w:lang w:val="en-NZ"/>
              </w:rPr>
            </w:pPr>
            <w:r w:rsidRPr="001A03B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3BC">
            <w:pPr>
              <w:pStyle w:val="BodyText"/>
              <w:rPr>
                <w:lang w:val="en-NZ"/>
              </w:rPr>
            </w:pPr>
            <w:r w:rsidRPr="001A03B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3BC" w:rsidP="001A03BC">
            <w:pPr>
              <w:pStyle w:val="BodyText"/>
            </w:pPr>
            <w:r w:rsidRPr="001A03BC">
              <w:t>Primary release.</w:t>
            </w:r>
          </w:p>
        </w:tc>
      </w:tr>
    </w:tbl>
    <w:p w:rsidR="00ED4F73" w:rsidP="001A03BC">
      <w:pPr>
        <w:pStyle w:val="BodyText"/>
      </w:pPr>
    </w:p>
    <w:p w:rsidR="00ED4F73" w:rsidP="001A03BC">
      <w:pPr>
        <w:pStyle w:val="BodyText"/>
      </w:pPr>
    </w:p>
    <w:p w:rsidR="00000000" w:rsidRPr="001A03BC" w:rsidP="001A03BC">
      <w:pPr>
        <w:pStyle w:val="Heading1"/>
      </w:pPr>
      <w:bookmarkStart w:id="2" w:name="O_495479"/>
      <w:bookmarkEnd w:id="2"/>
      <w:r w:rsidRPr="001A03BC">
        <w:t>Unit Descriptor</w:t>
      </w:r>
    </w:p>
    <w:p w:rsidR="00000000" w:rsidRPr="001A03BC" w:rsidP="001A03BC">
      <w:pPr>
        <w:pStyle w:val="BodyText"/>
      </w:pPr>
      <w:r w:rsidRPr="001A03BC">
        <w:t>This unit describes the outcomes, skills and knowledge required to prepare work necessary to develop effective w</w:t>
      </w:r>
      <w:r w:rsidRPr="001A03BC">
        <w:t>ork plan and develop resources for translating and interpreting assignments. It includes the ability to analyse and address specific translating and interpreting assignment requirements, to identify and source suitable reference material, and to make effic</w:t>
      </w:r>
      <w:r w:rsidRPr="001A03BC">
        <w:t>ient use of tools and equipment.</w:t>
      </w:r>
    </w:p>
    <w:p w:rsidR="00000000" w:rsidRPr="001A03BC" w:rsidP="001A03BC">
      <w:pPr>
        <w:pStyle w:val="BodyText"/>
      </w:pPr>
      <w:r w:rsidRPr="001A03BC">
        <w:t>No licensing, legislative, regulatory or certification requirements apply to this unit at the time of publication</w:t>
      </w:r>
    </w:p>
    <w:p w:rsidR="00000000" w:rsidRPr="001A03BC" w:rsidP="001A03BC">
      <w:pPr>
        <w:pStyle w:val="AllowPageBreak"/>
      </w:pPr>
    </w:p>
    <w:p w:rsidR="00000000" w:rsidRPr="001A03BC" w:rsidP="001A03BC">
      <w:pPr>
        <w:pStyle w:val="Heading1"/>
      </w:pPr>
      <w:bookmarkStart w:id="3" w:name="O_495486"/>
      <w:bookmarkEnd w:id="3"/>
      <w:r w:rsidRPr="001A03BC">
        <w:t>Application of the Unit</w:t>
      </w:r>
    </w:p>
    <w:p w:rsidR="00000000" w:rsidRPr="001A03BC" w:rsidP="001A03BC">
      <w:pPr>
        <w:pStyle w:val="BodyText"/>
      </w:pPr>
      <w:r w:rsidRPr="001A03BC">
        <w:t>This unit applies to translators and interpreters who are required t</w:t>
      </w:r>
      <w:r w:rsidRPr="001A03BC">
        <w:t>o undertake preparation that maximises assignment outcomes and minimises the risks associated with inadequate preparation. Most commonly, this unit will apply to self-employed practitioners whose preparation is sufficient to meet client expectations and as</w:t>
      </w:r>
      <w:r w:rsidRPr="001A03BC">
        <w:t>signment requirements.</w:t>
      </w:r>
    </w:p>
    <w:p w:rsidR="00000000" w:rsidRPr="001A03BC" w:rsidP="001A03BC">
      <w:pPr>
        <w:pStyle w:val="AllowPageBreak"/>
      </w:pPr>
    </w:p>
    <w:p w:rsidR="00000000" w:rsidRPr="001A03BC" w:rsidP="001A03BC">
      <w:pPr>
        <w:pStyle w:val="Heading1"/>
      </w:pPr>
      <w:bookmarkStart w:id="4" w:name="O_495478"/>
      <w:bookmarkEnd w:id="4"/>
      <w:r w:rsidRPr="001A03BC">
        <w:t>Licensing/Regulatory Information</w:t>
      </w:r>
    </w:p>
    <w:p w:rsidR="00000000" w:rsidRPr="001A03BC" w:rsidP="001A03BC">
      <w:pPr>
        <w:pStyle w:val="BodyText"/>
      </w:pPr>
      <w:r w:rsidRPr="001A03BC">
        <w:t>Not applicable.</w:t>
      </w:r>
    </w:p>
    <w:p w:rsidR="00000000" w:rsidRPr="001A03BC" w:rsidP="001A03BC">
      <w:pPr>
        <w:pStyle w:val="AllowPageBreak"/>
      </w:pPr>
    </w:p>
    <w:p w:rsidR="00000000" w:rsidRPr="001A03BC" w:rsidP="001A03BC">
      <w:pPr>
        <w:pStyle w:val="Heading1"/>
      </w:pPr>
      <w:bookmarkStart w:id="5" w:name="O_495475"/>
      <w:bookmarkEnd w:id="5"/>
      <w:r w:rsidRPr="001A03BC">
        <w:t>Pre-Requisites</w:t>
      </w:r>
    </w:p>
    <w:p w:rsidR="00000000" w:rsidRPr="001A03BC" w:rsidP="001A03BC">
      <w:pPr>
        <w:pStyle w:val="BodyText"/>
      </w:pPr>
      <w:r w:rsidRPr="001A03BC">
        <w:t>Not applicable.</w:t>
      </w:r>
    </w:p>
    <w:p w:rsidR="00000000" w:rsidRPr="001A03BC" w:rsidP="001A03BC">
      <w:pPr>
        <w:pStyle w:val="AllowPageBreak"/>
      </w:pPr>
    </w:p>
    <w:p w:rsidR="00000000" w:rsidRPr="001A03BC" w:rsidP="001A03BC">
      <w:pPr>
        <w:pStyle w:val="Heading1"/>
      </w:pPr>
      <w:bookmarkStart w:id="6" w:name="O_495481"/>
      <w:bookmarkEnd w:id="6"/>
      <w:r w:rsidRPr="001A03BC">
        <w:t>Employability Skills Information</w:t>
      </w:r>
    </w:p>
    <w:p w:rsidR="00000000" w:rsidRPr="001A03BC" w:rsidP="001A03BC">
      <w:pPr>
        <w:pStyle w:val="BodyText"/>
      </w:pPr>
      <w:r w:rsidRPr="001A03BC">
        <w:t>This unit contains employability skills.</w:t>
      </w:r>
    </w:p>
    <w:p w:rsidR="00000000" w:rsidRPr="001A03BC" w:rsidP="001A03BC">
      <w:pPr>
        <w:pStyle w:val="AllowPageBreak"/>
      </w:pPr>
    </w:p>
    <w:p w:rsidR="00000000" w:rsidRPr="001A03BC" w:rsidP="001A03BC">
      <w:pPr>
        <w:pStyle w:val="Heading1"/>
      </w:pPr>
      <w:bookmarkStart w:id="7" w:name="O_495482"/>
      <w:bookmarkEnd w:id="7"/>
      <w:r w:rsidRPr="001A03BC">
        <w:t>Elements an</w:t>
      </w:r>
      <w:r w:rsidRPr="001A03BC">
        <w:t>d Performance Criteria Pre-Content</w:t>
      </w:r>
    </w:p>
    <w:tbl>
      <w:tblPr>
        <w:tblW w:w="0" w:type="auto"/>
        <w:tblLayout w:type="fixed"/>
        <w:tblCellMar>
          <w:left w:w="62" w:type="dxa"/>
          <w:right w:w="62" w:type="dxa"/>
        </w:tblCellMar>
        <w:tblLook w:val="0000"/>
      </w:tblPr>
      <w:tblGrid>
        <w:gridCol w:w="2570"/>
        <w:gridCol w:w="5952"/>
      </w:tblGrid>
      <w:tr w:rsidTr="00ED4F73">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1A03BC">
            <w:pPr>
              <w:pStyle w:val="BodyText"/>
              <w:rPr>
                <w:lang w:val="en-NZ"/>
              </w:rPr>
            </w:pPr>
            <w:r w:rsidRPr="001A03BC">
              <w:t>Elements describe the essential outcomes of a unit of competency.</w:t>
            </w:r>
          </w:p>
        </w:tc>
        <w:tc>
          <w:tcPr>
            <w:tcW w:w="5952" w:type="dxa"/>
            <w:tcBorders>
              <w:top w:val="nil"/>
              <w:left w:val="nil"/>
              <w:bottom w:val="nil"/>
              <w:right w:val="nil"/>
            </w:tcBorders>
            <w:tcMar>
              <w:top w:w="0" w:type="dxa"/>
              <w:left w:w="62" w:type="dxa"/>
              <w:bottom w:w="0" w:type="dxa"/>
              <w:right w:w="62" w:type="dxa"/>
            </w:tcMar>
          </w:tcPr>
          <w:p w:rsidR="00000000" w:rsidRPr="001A03BC" w:rsidP="001A03BC">
            <w:pPr>
              <w:pStyle w:val="BodyText"/>
            </w:pPr>
            <w:r w:rsidRPr="001A03BC">
              <w:t>Performance criteria describe the performance needed to demonstrate achievement of the element. Where</w:t>
            </w:r>
            <w:r w:rsidRPr="001A03BC">
              <w:rPr>
                <w:rStyle w:val="BoldandItalics"/>
              </w:rPr>
              <w:t xml:space="preserve"> bold italicised </w:t>
            </w:r>
            <w:r w:rsidRPr="001A03BC">
              <w:t>text is used, further information is detailed in the range statement. Assessment of performance is to be consistent with the evidence guide.</w:t>
            </w:r>
          </w:p>
        </w:tc>
      </w:tr>
    </w:tbl>
    <w:p w:rsidR="00000000" w:rsidRPr="001A03BC" w:rsidP="001A03BC">
      <w:pPr>
        <w:pStyle w:val="BodyText"/>
      </w:pPr>
    </w:p>
    <w:p w:rsidR="00000000" w:rsidRPr="001A03BC" w:rsidP="001A03BC">
      <w:pPr>
        <w:pStyle w:val="AllowPageBreak"/>
      </w:pPr>
    </w:p>
    <w:p w:rsidR="00000000" w:rsidRPr="001A03BC" w:rsidP="001A03BC">
      <w:pPr>
        <w:pStyle w:val="Heading1"/>
      </w:pPr>
      <w:bookmarkStart w:id="8" w:name="O_495483"/>
      <w:bookmarkEnd w:id="8"/>
      <w:r w:rsidRPr="001A03BC">
        <w:t>Elements and Performance Criteria</w:t>
      </w:r>
    </w:p>
    <w:tbl>
      <w:tblPr>
        <w:tblW w:w="0" w:type="auto"/>
        <w:tblLayout w:type="fixed"/>
        <w:tblCellMar>
          <w:left w:w="62" w:type="dxa"/>
          <w:right w:w="62" w:type="dxa"/>
        </w:tblCellMar>
        <w:tblLook w:val="0000"/>
      </w:tblPr>
      <w:tblGrid>
        <w:gridCol w:w="2570"/>
        <w:gridCol w:w="5952"/>
      </w:tblGrid>
      <w:tr w:rsidTr="00ED4F73">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RPr="001A03BC" w:rsidP="001A03BC">
            <w:pPr>
              <w:pStyle w:val="BodyText"/>
            </w:pPr>
            <w:r w:rsidRPr="001A03BC">
              <w:rPr>
                <w:rStyle w:val="SpecialBold"/>
              </w:rPr>
              <w:t>ELEMENT</w:t>
            </w:r>
          </w:p>
        </w:tc>
        <w:tc>
          <w:tcPr>
            <w:tcW w:w="5952" w:type="dxa"/>
            <w:tcBorders>
              <w:top w:val="nil"/>
              <w:left w:val="nil"/>
              <w:bottom w:val="nil"/>
              <w:right w:val="nil"/>
            </w:tcBorders>
            <w:tcMar>
              <w:top w:w="0" w:type="dxa"/>
              <w:left w:w="62" w:type="dxa"/>
              <w:bottom w:w="0" w:type="dxa"/>
              <w:right w:w="62" w:type="dxa"/>
            </w:tcMar>
          </w:tcPr>
          <w:p w:rsidR="00000000" w:rsidP="001A03BC">
            <w:pPr>
              <w:pStyle w:val="BodyText"/>
              <w:rPr>
                <w:lang w:val="en-NZ"/>
              </w:rPr>
            </w:pPr>
            <w:r w:rsidRPr="001A03BC">
              <w:rPr>
                <w:rStyle w:val="SpecialBold"/>
              </w:rPr>
              <w:t>PERFORMANCE CRITERIA</w:t>
            </w:r>
          </w:p>
        </w:tc>
      </w:tr>
      <w:tr w:rsidTr="00ED4F73">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1A03BC">
            <w:pPr>
              <w:pStyle w:val="List"/>
              <w:rPr>
                <w:lang w:val="en-NZ"/>
              </w:rPr>
            </w:pPr>
            <w:r w:rsidRPr="001A03BC">
              <w:rPr>
                <w:rStyle w:val="SpecialBold"/>
              </w:rPr>
              <w:t>1.</w:t>
            </w:r>
            <w:r w:rsidRPr="001A03BC">
              <w:rPr>
                <w:rStyle w:val="SpecialBold"/>
              </w:rPr>
              <w:tab/>
            </w:r>
            <w:r w:rsidRPr="001A03BC">
              <w:rPr>
                <w:rStyle w:val="SpecialBold"/>
              </w:rPr>
              <w:t>Analyse assignment information for planning purposes.</w:t>
            </w:r>
          </w:p>
        </w:tc>
        <w:tc>
          <w:tcPr>
            <w:tcW w:w="5952" w:type="dxa"/>
            <w:tcBorders>
              <w:top w:val="nil"/>
              <w:left w:val="nil"/>
              <w:bottom w:val="nil"/>
              <w:right w:val="nil"/>
            </w:tcBorders>
            <w:tcMar>
              <w:top w:w="0" w:type="dxa"/>
              <w:left w:w="62" w:type="dxa"/>
              <w:bottom w:w="0" w:type="dxa"/>
              <w:right w:w="62" w:type="dxa"/>
            </w:tcMar>
          </w:tcPr>
          <w:p w:rsidR="00000000" w:rsidRPr="001A03BC" w:rsidP="001A03BC">
            <w:pPr>
              <w:pStyle w:val="List"/>
            </w:pPr>
            <w:r w:rsidRPr="001A03BC">
              <w:t>1.1.</w:t>
            </w:r>
            <w:r w:rsidRPr="001A03BC">
              <w:tab/>
              <w:t xml:space="preserve">Confirm </w:t>
            </w:r>
            <w:r w:rsidRPr="001A03BC">
              <w:rPr>
                <w:rStyle w:val="BoldandItalics"/>
              </w:rPr>
              <w:t>scope and nature of assignments</w:t>
            </w:r>
            <w:r w:rsidRPr="001A03BC">
              <w:t xml:space="preserve">, identify stakeholders and determine </w:t>
            </w:r>
            <w:r w:rsidRPr="001A03BC">
              <w:rPr>
                <w:rStyle w:val="BoldandItalics"/>
              </w:rPr>
              <w:t>other relevant factors</w:t>
            </w:r>
            <w:r w:rsidRPr="001A03BC">
              <w:t>.</w:t>
            </w:r>
          </w:p>
          <w:p w:rsidR="00000000" w:rsidRPr="001A03BC" w:rsidP="001A03BC">
            <w:pPr>
              <w:pStyle w:val="List"/>
            </w:pPr>
            <w:r w:rsidRPr="001A03BC">
              <w:t>1.2.</w:t>
            </w:r>
            <w:r w:rsidRPr="001A03BC">
              <w:tab/>
              <w:t xml:space="preserve">Obtain and analyse assignment documentation and related </w:t>
            </w:r>
            <w:r w:rsidRPr="001A03BC">
              <w:rPr>
                <w:rStyle w:val="BoldandItalics"/>
              </w:rPr>
              <w:t>background material</w:t>
            </w:r>
            <w:r w:rsidRPr="001A03BC">
              <w:t xml:space="preserve"> according to st</w:t>
            </w:r>
            <w:r w:rsidRPr="001A03BC">
              <w:t>andard protocols.</w:t>
            </w:r>
          </w:p>
          <w:p w:rsidR="00000000" w:rsidRPr="001A03BC" w:rsidP="001A03BC">
            <w:pPr>
              <w:pStyle w:val="List"/>
            </w:pPr>
            <w:r w:rsidRPr="001A03BC">
              <w:t>1.3.</w:t>
            </w:r>
            <w:r w:rsidRPr="001A03BC">
              <w:tab/>
              <w:t xml:space="preserve">Select and obtain </w:t>
            </w:r>
            <w:r w:rsidRPr="001A03BC">
              <w:rPr>
                <w:rStyle w:val="BoldandItalics"/>
              </w:rPr>
              <w:t>tools and equipment</w:t>
            </w:r>
            <w:r w:rsidRPr="001A03BC">
              <w:t xml:space="preserve"> and identify and analyse up-to-date, relevant and comprehensive </w:t>
            </w:r>
            <w:r w:rsidRPr="001A03BC">
              <w:rPr>
                <w:rStyle w:val="BoldandItalics"/>
              </w:rPr>
              <w:t>resources</w:t>
            </w:r>
            <w:r w:rsidRPr="001A03BC">
              <w:t>.</w:t>
            </w:r>
          </w:p>
          <w:p w:rsidR="00000000" w:rsidRPr="001A03BC" w:rsidP="001A03BC">
            <w:pPr>
              <w:pStyle w:val="List"/>
            </w:pPr>
            <w:r w:rsidRPr="001A03BC">
              <w:t>1.4.</w:t>
            </w:r>
            <w:r w:rsidRPr="001A03BC">
              <w:tab/>
              <w:t>Consider assignment requirements and familiarity with topic and other relevant factors to determine planning needs.</w:t>
            </w:r>
          </w:p>
          <w:p w:rsidR="00000000" w:rsidP="001A03BC">
            <w:pPr>
              <w:pStyle w:val="List"/>
              <w:rPr>
                <w:lang w:val="en-NZ"/>
              </w:rPr>
            </w:pPr>
            <w:r w:rsidRPr="001A03BC">
              <w:t>1.5.</w:t>
            </w:r>
            <w:r w:rsidRPr="001A03BC">
              <w:tab/>
              <w:t xml:space="preserve">Identify and resolve </w:t>
            </w:r>
            <w:r w:rsidRPr="001A03BC">
              <w:rPr>
                <w:rStyle w:val="BoldandItalics"/>
              </w:rPr>
              <w:t>factors that may affect assignment outcomes</w:t>
            </w:r>
            <w:r w:rsidRPr="001A03BC">
              <w:t>.</w:t>
            </w:r>
          </w:p>
        </w:tc>
      </w:tr>
      <w:tr w:rsidTr="00ED4F73">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1A03BC">
            <w:pPr>
              <w:pStyle w:val="List"/>
              <w:rPr>
                <w:lang w:val="en-NZ"/>
              </w:rPr>
            </w:pPr>
            <w:r w:rsidRPr="001A03BC">
              <w:rPr>
                <w:rStyle w:val="SpecialBold"/>
              </w:rPr>
              <w:t>2.</w:t>
            </w:r>
            <w:r w:rsidRPr="001A03BC">
              <w:rPr>
                <w:rStyle w:val="SpecialBold"/>
              </w:rPr>
              <w:tab/>
              <w:t>Establish familiarity with topic and context.</w:t>
            </w:r>
          </w:p>
        </w:tc>
        <w:tc>
          <w:tcPr>
            <w:tcW w:w="5952" w:type="dxa"/>
            <w:tcBorders>
              <w:top w:val="nil"/>
              <w:left w:val="nil"/>
              <w:bottom w:val="nil"/>
              <w:right w:val="nil"/>
            </w:tcBorders>
            <w:tcMar>
              <w:top w:w="0" w:type="dxa"/>
              <w:left w:w="62" w:type="dxa"/>
              <w:bottom w:w="0" w:type="dxa"/>
              <w:right w:w="62" w:type="dxa"/>
            </w:tcMar>
          </w:tcPr>
          <w:p w:rsidR="00000000" w:rsidRPr="001A03BC" w:rsidP="001A03BC">
            <w:pPr>
              <w:pStyle w:val="List"/>
            </w:pPr>
            <w:r w:rsidRPr="001A03BC">
              <w:t>2.1.</w:t>
            </w:r>
            <w:r w:rsidRPr="001A03BC">
              <w:tab/>
              <w:t>Analyse assignment requirements and build on existing knowledge.</w:t>
            </w:r>
          </w:p>
          <w:p w:rsidR="00000000" w:rsidRPr="001A03BC" w:rsidP="001A03BC">
            <w:pPr>
              <w:pStyle w:val="List"/>
            </w:pPr>
            <w:r w:rsidRPr="001A03BC">
              <w:t>2.2.</w:t>
            </w:r>
            <w:r w:rsidRPr="001A03BC">
              <w:tab/>
              <w:t xml:space="preserve">Identify </w:t>
            </w:r>
            <w:r w:rsidRPr="001A03BC">
              <w:rPr>
                <w:rStyle w:val="BoldandItalics"/>
              </w:rPr>
              <w:t>areas requiring further research</w:t>
            </w:r>
            <w:r w:rsidRPr="001A03BC">
              <w:t xml:space="preserve"> and seek addition</w:t>
            </w:r>
            <w:r w:rsidRPr="001A03BC">
              <w:t>al information.</w:t>
            </w:r>
          </w:p>
          <w:p w:rsidR="00000000" w:rsidRPr="001A03BC" w:rsidP="001A03BC">
            <w:pPr>
              <w:pStyle w:val="List"/>
            </w:pPr>
            <w:r w:rsidRPr="001A03BC">
              <w:t>2.3.</w:t>
            </w:r>
            <w:r w:rsidRPr="001A03BC">
              <w:tab/>
              <w:t>Access and develop assignment-specific resources.</w:t>
            </w:r>
          </w:p>
          <w:p w:rsidR="00000000" w:rsidP="001A03BC">
            <w:pPr>
              <w:pStyle w:val="List"/>
              <w:rPr>
                <w:lang w:val="en-NZ"/>
              </w:rPr>
            </w:pPr>
            <w:r w:rsidRPr="001A03BC">
              <w:t>2.4.</w:t>
            </w:r>
            <w:r w:rsidRPr="001A03BC">
              <w:tab/>
              <w:t xml:space="preserve">Identify and resolve problems, and seek assistance from client or </w:t>
            </w:r>
            <w:r w:rsidRPr="001A03BC">
              <w:rPr>
                <w:rStyle w:val="BoldandItalics"/>
              </w:rPr>
              <w:t>peer network</w:t>
            </w:r>
            <w:r w:rsidRPr="001A03BC">
              <w:t xml:space="preserve"> where necessary.</w:t>
            </w:r>
          </w:p>
        </w:tc>
      </w:tr>
      <w:tr w:rsidTr="00ED4F73">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1A03BC">
            <w:pPr>
              <w:pStyle w:val="List"/>
              <w:rPr>
                <w:lang w:val="en-NZ"/>
              </w:rPr>
            </w:pPr>
            <w:r w:rsidRPr="001A03BC">
              <w:rPr>
                <w:rStyle w:val="SpecialBold"/>
              </w:rPr>
              <w:t>3.</w:t>
            </w:r>
            <w:r w:rsidRPr="001A03BC">
              <w:rPr>
                <w:rStyle w:val="SpecialBold"/>
              </w:rPr>
              <w:tab/>
              <w:t>Develop work plan.</w:t>
            </w:r>
          </w:p>
        </w:tc>
        <w:tc>
          <w:tcPr>
            <w:tcW w:w="5952" w:type="dxa"/>
            <w:tcBorders>
              <w:top w:val="nil"/>
              <w:left w:val="nil"/>
              <w:bottom w:val="nil"/>
              <w:right w:val="nil"/>
            </w:tcBorders>
            <w:tcMar>
              <w:top w:w="0" w:type="dxa"/>
              <w:left w:w="62" w:type="dxa"/>
              <w:bottom w:w="0" w:type="dxa"/>
              <w:right w:w="62" w:type="dxa"/>
            </w:tcMar>
          </w:tcPr>
          <w:p w:rsidR="00000000" w:rsidRPr="001A03BC" w:rsidP="001A03BC">
            <w:pPr>
              <w:pStyle w:val="List"/>
            </w:pPr>
            <w:r w:rsidRPr="001A03BC">
              <w:t>3.1.</w:t>
            </w:r>
            <w:r w:rsidRPr="001A03BC">
              <w:tab/>
              <w:t>Identify objectives with measurable targets according to</w:t>
            </w:r>
            <w:r w:rsidRPr="001A03BC">
              <w:t xml:space="preserve"> assignment requirements.</w:t>
            </w:r>
          </w:p>
          <w:p w:rsidR="00000000" w:rsidRPr="001A03BC" w:rsidP="001A03BC">
            <w:pPr>
              <w:pStyle w:val="List"/>
            </w:pPr>
            <w:r w:rsidRPr="001A03BC">
              <w:t>3.2.</w:t>
            </w:r>
            <w:r w:rsidRPr="001A03BC">
              <w:tab/>
              <w:t>Explore innovative and flexible options for achieving objectives.</w:t>
            </w:r>
          </w:p>
          <w:p w:rsidR="00000000" w:rsidRPr="001A03BC" w:rsidP="001A03BC">
            <w:pPr>
              <w:pStyle w:val="List"/>
            </w:pPr>
            <w:r w:rsidRPr="001A03BC">
              <w:t>3.3.</w:t>
            </w:r>
            <w:r w:rsidRPr="001A03BC">
              <w:tab/>
              <w:t>Reflect OHS requirements when determining realistic time commitments and allocations.</w:t>
            </w:r>
          </w:p>
          <w:p w:rsidR="00000000" w:rsidP="001A03BC">
            <w:pPr>
              <w:pStyle w:val="List"/>
              <w:rPr>
                <w:lang w:val="en-NZ"/>
              </w:rPr>
            </w:pPr>
            <w:r w:rsidRPr="001A03BC">
              <w:t>3.4.</w:t>
            </w:r>
            <w:r w:rsidRPr="001A03BC">
              <w:tab/>
            </w:r>
            <w:r w:rsidRPr="001A03BC">
              <w:t>Collaborate as required in planning process to ensure mutual agreement.</w:t>
            </w:r>
          </w:p>
        </w:tc>
      </w:tr>
      <w:tr w:rsidTr="00ED4F73">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1A03BC">
            <w:pPr>
              <w:pStyle w:val="List"/>
              <w:rPr>
                <w:lang w:val="en-NZ"/>
              </w:rPr>
            </w:pPr>
            <w:r w:rsidRPr="001A03BC">
              <w:rPr>
                <w:rStyle w:val="SpecialBold"/>
              </w:rPr>
              <w:t>4.</w:t>
            </w:r>
            <w:r w:rsidRPr="001A03BC">
              <w:rPr>
                <w:rStyle w:val="SpecialBold"/>
              </w:rPr>
              <w:tab/>
              <w:t>Review and evaluate work plan.</w:t>
            </w:r>
          </w:p>
        </w:tc>
        <w:tc>
          <w:tcPr>
            <w:tcW w:w="5952" w:type="dxa"/>
            <w:tcBorders>
              <w:top w:val="nil"/>
              <w:left w:val="nil"/>
              <w:bottom w:val="nil"/>
              <w:right w:val="nil"/>
            </w:tcBorders>
            <w:tcMar>
              <w:top w:w="0" w:type="dxa"/>
              <w:left w:w="62" w:type="dxa"/>
              <w:bottom w:w="0" w:type="dxa"/>
              <w:right w:w="62" w:type="dxa"/>
            </w:tcMar>
          </w:tcPr>
          <w:p w:rsidR="00000000" w:rsidRPr="001A03BC" w:rsidP="001A03BC">
            <w:pPr>
              <w:pStyle w:val="List"/>
            </w:pPr>
            <w:r w:rsidRPr="001A03BC">
              <w:t>4.1.</w:t>
            </w:r>
            <w:r w:rsidRPr="001A03BC">
              <w:tab/>
              <w:t>Review preparation to confirm that it addresses assignment requirements, and resolve outstanding issues.</w:t>
            </w:r>
          </w:p>
          <w:p w:rsidR="00000000" w:rsidRPr="001A03BC" w:rsidP="001A03BC">
            <w:pPr>
              <w:pStyle w:val="List"/>
            </w:pPr>
            <w:r w:rsidRPr="001A03BC">
              <w:t>4.2.</w:t>
            </w:r>
            <w:r w:rsidRPr="001A03BC">
              <w:tab/>
              <w:t xml:space="preserve">Discuss preparation and plan with </w:t>
            </w:r>
            <w:r w:rsidRPr="001A03BC">
              <w:t>appropriate persons and incorporate their feedback.</w:t>
            </w:r>
          </w:p>
          <w:p w:rsidR="00000000" w:rsidRPr="001A03BC" w:rsidP="001A03BC">
            <w:pPr>
              <w:pStyle w:val="List"/>
            </w:pPr>
            <w:r w:rsidRPr="001A03BC">
              <w:t>4.3.</w:t>
            </w:r>
            <w:r w:rsidRPr="001A03BC">
              <w:tab/>
              <w:t>Consider and implement adjustments to improve process and outcomes of future preparation.</w:t>
            </w:r>
          </w:p>
        </w:tc>
      </w:tr>
    </w:tbl>
    <w:p w:rsidR="00000000" w:rsidRPr="001A03BC" w:rsidP="001A03BC">
      <w:pPr>
        <w:pStyle w:val="BodyText"/>
      </w:pPr>
    </w:p>
    <w:p w:rsidR="00000000" w:rsidRPr="001A03BC" w:rsidP="001A03BC">
      <w:pPr>
        <w:pStyle w:val="AllowPageBreak"/>
      </w:pPr>
    </w:p>
    <w:p w:rsidR="00000000" w:rsidRPr="001A03BC" w:rsidP="001A03BC">
      <w:pPr>
        <w:pStyle w:val="Heading1"/>
      </w:pPr>
      <w:bookmarkStart w:id="9" w:name="O_495472"/>
      <w:bookmarkEnd w:id="9"/>
      <w:r w:rsidRPr="001A03BC">
        <w:t>Required Skills and Knowledge</w:t>
      </w:r>
    </w:p>
    <w:tbl>
      <w:tblPr>
        <w:tblW w:w="0" w:type="auto"/>
        <w:tblLayout w:type="fixed"/>
        <w:tblCellMar>
          <w:left w:w="62" w:type="dxa"/>
          <w:right w:w="62" w:type="dxa"/>
        </w:tblCellMar>
        <w:tblLook w:val="0000"/>
      </w:tblPr>
      <w:tblGrid>
        <w:gridCol w:w="8522"/>
      </w:tblGrid>
      <w:tr w:rsidTr="00ED4F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A03BC">
            <w:pPr>
              <w:pStyle w:val="BodyText"/>
              <w:rPr>
                <w:lang w:val="en-NZ"/>
              </w:rPr>
            </w:pPr>
            <w:r w:rsidRPr="001A03BC">
              <w:t>This section describes the skills and knowledge required for</w:t>
            </w:r>
            <w:r w:rsidRPr="001A03BC">
              <w:t xml:space="preserve"> this unit.</w:t>
            </w:r>
          </w:p>
        </w:tc>
      </w:tr>
      <w:tr w:rsidTr="00ED4F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A03BC">
            <w:pPr>
              <w:pStyle w:val="BodyText"/>
              <w:rPr>
                <w:lang w:val="en-NZ"/>
              </w:rPr>
            </w:pPr>
            <w:r w:rsidRPr="001A03BC">
              <w:rPr>
                <w:rStyle w:val="SpecialBold"/>
              </w:rPr>
              <w:t>Required skills</w:t>
            </w:r>
          </w:p>
        </w:tc>
      </w:tr>
      <w:tr w:rsidTr="00ED4F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A03BC" w:rsidP="001A03BC">
            <w:pPr>
              <w:pStyle w:val="ListBullet2"/>
            </w:pPr>
            <w:r w:rsidRPr="001A03BC">
              <w:t>interpersonal skills to:</w:t>
            </w:r>
          </w:p>
          <w:p w:rsidR="00000000" w:rsidRPr="001A03BC" w:rsidP="001A03BC">
            <w:pPr>
              <w:pStyle w:val="ListBullet3"/>
            </w:pPr>
            <w:r w:rsidRPr="001A03BC">
              <w:t>confirm assignment requirements with clients and colleagues</w:t>
            </w:r>
          </w:p>
          <w:p w:rsidR="00000000" w:rsidRPr="001A03BC" w:rsidP="001A03BC">
            <w:pPr>
              <w:pStyle w:val="ListBullet3"/>
            </w:pPr>
            <w:r w:rsidRPr="001A03BC">
              <w:t>interact with a wide range of people from culturally and linguistically diverse backgrounds</w:t>
            </w:r>
          </w:p>
          <w:p w:rsidR="00000000" w:rsidRPr="001A03BC" w:rsidP="001A03BC">
            <w:pPr>
              <w:pStyle w:val="ListBullet3"/>
            </w:pPr>
            <w:r w:rsidRPr="001A03BC">
              <w:t>seek assistance from clients, specialist advisers and peers</w:t>
            </w:r>
          </w:p>
          <w:p w:rsidR="00000000" w:rsidRPr="001A03BC" w:rsidP="001A03BC">
            <w:pPr>
              <w:pStyle w:val="ListBullet2"/>
            </w:pPr>
            <w:r w:rsidRPr="001A03BC">
              <w:t>language skills to analyse the demands of assignments</w:t>
            </w:r>
          </w:p>
          <w:p w:rsidR="00000000" w:rsidRPr="001A03BC" w:rsidP="001A03BC">
            <w:pPr>
              <w:pStyle w:val="ListBullet2"/>
            </w:pPr>
            <w:r w:rsidRPr="001A03BC">
              <w:t>literacy skills to:</w:t>
            </w:r>
          </w:p>
          <w:p w:rsidR="00000000" w:rsidRPr="001A03BC" w:rsidP="001A03BC">
            <w:pPr>
              <w:pStyle w:val="ListBullet3"/>
            </w:pPr>
            <w:r w:rsidRPr="001A03BC">
              <w:t>comprehend and use a range of information sources</w:t>
            </w:r>
          </w:p>
          <w:p w:rsidR="00000000" w:rsidRPr="001A03BC" w:rsidP="001A03BC">
            <w:pPr>
              <w:pStyle w:val="ListBullet3"/>
            </w:pPr>
            <w:r w:rsidRPr="001A03BC">
              <w:t>read and note resources for future reference</w:t>
            </w:r>
          </w:p>
          <w:p w:rsidR="00000000" w:rsidRPr="001A03BC" w:rsidP="001A03BC">
            <w:pPr>
              <w:pStyle w:val="ListBullet3"/>
            </w:pPr>
            <w:r w:rsidRPr="001A03BC">
              <w:t>update and manage glossaries</w:t>
            </w:r>
          </w:p>
          <w:p w:rsidR="00000000" w:rsidRPr="001A03BC" w:rsidP="001A03BC">
            <w:pPr>
              <w:pStyle w:val="ListBullet2"/>
            </w:pPr>
            <w:r w:rsidRPr="001A03BC">
              <w:t>organisational skills to manage an effective work environment and resources</w:t>
            </w:r>
          </w:p>
          <w:p w:rsidR="00000000" w:rsidRPr="001A03BC" w:rsidP="001A03BC">
            <w:pPr>
              <w:pStyle w:val="ListBullet2"/>
            </w:pPr>
            <w:r w:rsidRPr="001A03BC">
              <w:t>research skills to:</w:t>
            </w:r>
          </w:p>
          <w:p w:rsidR="00000000" w:rsidRPr="001A03BC" w:rsidP="001A03BC">
            <w:pPr>
              <w:pStyle w:val="ListBullet3"/>
            </w:pPr>
            <w:r w:rsidRPr="001A03BC">
              <w:t>identify suitable resources and update specialist and non-specialist knowledge</w:t>
            </w:r>
          </w:p>
          <w:p w:rsidR="00000000" w:rsidRPr="001A03BC" w:rsidP="001A03BC">
            <w:pPr>
              <w:pStyle w:val="ListBullet3"/>
            </w:pPr>
            <w:r w:rsidRPr="001A03BC">
              <w:t>select and make critical use of precedents and ref</w:t>
            </w:r>
            <w:r w:rsidRPr="001A03BC">
              <w:t>erence material</w:t>
            </w:r>
          </w:p>
          <w:p w:rsidR="00000000" w:rsidRPr="001A03BC" w:rsidP="001A03BC">
            <w:pPr>
              <w:pStyle w:val="ListBullet3"/>
            </w:pPr>
            <w:r w:rsidRPr="001A03BC">
              <w:t>make efficient use of print, electronic and human resources</w:t>
            </w:r>
          </w:p>
          <w:p w:rsidR="00000000" w:rsidRPr="001A03BC" w:rsidP="001A03BC">
            <w:pPr>
              <w:pStyle w:val="ListBullet3"/>
            </w:pPr>
            <w:r w:rsidRPr="001A03BC">
              <w:t>prepare bilingual glossaries</w:t>
            </w:r>
          </w:p>
          <w:p w:rsidR="00000000" w:rsidRPr="001A03BC" w:rsidP="001A03BC">
            <w:pPr>
              <w:pStyle w:val="ListBullet2"/>
            </w:pPr>
            <w:r w:rsidRPr="001A03BC">
              <w:t>self-management skills to plan personal priorities and daily tasks for maximum efficiency of work time and to undertake preparation within required as</w:t>
            </w:r>
            <w:r w:rsidRPr="001A03BC">
              <w:t>signment timeframe</w:t>
            </w:r>
          </w:p>
          <w:p w:rsidR="00000000" w:rsidRPr="001A03BC" w:rsidP="001A03BC">
            <w:pPr>
              <w:pStyle w:val="ListBullet2"/>
            </w:pPr>
            <w:r w:rsidRPr="001A03BC">
              <w:t>technology skills to:</w:t>
            </w:r>
          </w:p>
          <w:p w:rsidR="00000000" w:rsidRPr="001A03BC" w:rsidP="001A03BC">
            <w:pPr>
              <w:pStyle w:val="ListBullet3"/>
            </w:pPr>
            <w:r w:rsidRPr="001A03BC">
              <w:t>make efficient use of electronic resources</w:t>
            </w:r>
          </w:p>
          <w:p w:rsidR="00000000" w:rsidP="001A03BC">
            <w:pPr>
              <w:pStyle w:val="ListBullet3"/>
              <w:rPr>
                <w:lang w:val="en-NZ"/>
              </w:rPr>
            </w:pPr>
            <w:r w:rsidRPr="001A03BC">
              <w:t>select and use resources, techniques and equipment, including office equipment and information and communications technology</w:t>
            </w:r>
          </w:p>
        </w:tc>
      </w:tr>
      <w:tr w:rsidTr="00ED4F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A03BC">
            <w:pPr>
              <w:pStyle w:val="BodyText"/>
              <w:rPr>
                <w:lang w:val="en-NZ"/>
              </w:rPr>
            </w:pPr>
            <w:r w:rsidRPr="001A03BC">
              <w:rPr>
                <w:rStyle w:val="SpecialBold"/>
              </w:rPr>
              <w:t>Required knowledge</w:t>
            </w:r>
          </w:p>
        </w:tc>
      </w:tr>
      <w:tr w:rsidTr="00ED4F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A03BC" w:rsidP="001A03BC">
            <w:pPr>
              <w:pStyle w:val="ListBullet2"/>
            </w:pPr>
            <w:r w:rsidRPr="001A03BC">
              <w:t>key sources of required information to inform the assignment preparation</w:t>
            </w:r>
          </w:p>
          <w:p w:rsidR="00000000" w:rsidRPr="001A03BC" w:rsidP="001A03BC">
            <w:pPr>
              <w:pStyle w:val="ListBullet2"/>
            </w:pPr>
            <w:r w:rsidRPr="001A03BC">
              <w:t>professional procedures and guidelines, ethical practices and business standards applicable to preparation</w:t>
            </w:r>
          </w:p>
          <w:p w:rsidR="00000000" w:rsidRPr="001A03BC" w:rsidP="001A03BC">
            <w:pPr>
              <w:pStyle w:val="ListBullet2"/>
            </w:pPr>
            <w:r w:rsidRPr="001A03BC">
              <w:t>conditions that require team or relay interpreting</w:t>
            </w:r>
          </w:p>
          <w:p w:rsidR="00000000" w:rsidRPr="001A03BC" w:rsidP="001A03BC">
            <w:pPr>
              <w:pStyle w:val="ListBullet2"/>
            </w:pPr>
            <w:r w:rsidRPr="001A03BC">
              <w:t>source and target languag</w:t>
            </w:r>
            <w:r w:rsidRPr="001A03BC">
              <w:t>es to meet performance expectations</w:t>
            </w:r>
          </w:p>
          <w:p w:rsidR="00000000" w:rsidRPr="001A03BC" w:rsidP="001A03BC">
            <w:pPr>
              <w:pStyle w:val="ListBullet2"/>
            </w:pPr>
            <w:r w:rsidRPr="001A03BC">
              <w:t>subject, specialist area and culture-specific knowledge relevant to topic</w:t>
            </w:r>
          </w:p>
          <w:p w:rsidR="00000000" w:rsidRPr="001A03BC" w:rsidP="001A03BC">
            <w:pPr>
              <w:pStyle w:val="ListBullet2"/>
            </w:pPr>
            <w:r w:rsidRPr="001A03BC">
              <w:t xml:space="preserve">tools and equipment relevant to assignment </w:t>
            </w:r>
          </w:p>
          <w:p w:rsidR="00000000" w:rsidRPr="001A03BC" w:rsidP="001A03BC">
            <w:pPr>
              <w:pStyle w:val="ListBullet2"/>
            </w:pPr>
            <w:r w:rsidRPr="001A03BC">
              <w:t>code of ethics, codes of professional practice</w:t>
            </w:r>
          </w:p>
          <w:p w:rsidR="00000000" w:rsidRPr="001A03BC" w:rsidP="001A03BC">
            <w:pPr>
              <w:pStyle w:val="ListBullet2"/>
            </w:pPr>
            <w:r w:rsidRPr="001A03BC">
              <w:t>commercial software used in assignments and office mana</w:t>
            </w:r>
            <w:r w:rsidRPr="001A03BC">
              <w:t>gement</w:t>
            </w:r>
          </w:p>
          <w:p w:rsidR="00000000" w:rsidRPr="001A03BC" w:rsidP="001A03BC">
            <w:pPr>
              <w:pStyle w:val="ListBullet2"/>
            </w:pPr>
            <w:r w:rsidRPr="001A03BC">
              <w:t>file and information management procedures, including process for storing, retrieving and returning assignment material</w:t>
            </w:r>
          </w:p>
          <w:p w:rsidR="00000000" w:rsidRPr="001A03BC" w:rsidP="001A03BC">
            <w:pPr>
              <w:pStyle w:val="ListBullet2"/>
            </w:pPr>
            <w:r w:rsidRPr="001A03BC">
              <w:t>OHS practices and procedures relevant to nature of assignment</w:t>
            </w:r>
          </w:p>
          <w:p w:rsidR="00000000" w:rsidRPr="001A03BC" w:rsidP="001A03BC">
            <w:pPr>
              <w:pStyle w:val="ListBullet2"/>
            </w:pPr>
            <w:r w:rsidRPr="001A03BC">
              <w:t>privacy and confidentiality requirements</w:t>
            </w:r>
          </w:p>
        </w:tc>
      </w:tr>
    </w:tbl>
    <w:p w:rsidR="00000000" w:rsidRPr="001A03BC" w:rsidP="001A03BC">
      <w:pPr>
        <w:pStyle w:val="BodyText"/>
      </w:pPr>
    </w:p>
    <w:p w:rsidR="00000000" w:rsidRPr="001A03BC" w:rsidP="001A03BC">
      <w:pPr>
        <w:pStyle w:val="AllowPageBreak"/>
      </w:pPr>
    </w:p>
    <w:p w:rsidR="00000000" w:rsidRPr="001A03BC" w:rsidP="001A03BC">
      <w:pPr>
        <w:pStyle w:val="Heading1"/>
      </w:pPr>
      <w:bookmarkStart w:id="10" w:name="O_495480"/>
      <w:bookmarkEnd w:id="10"/>
      <w:r w:rsidRPr="001A03BC">
        <w:t>Evidence Guide</w:t>
      </w:r>
    </w:p>
    <w:tbl>
      <w:tblPr>
        <w:tblW w:w="0" w:type="auto"/>
        <w:tblLayout w:type="fixed"/>
        <w:tblCellMar>
          <w:left w:w="62" w:type="dxa"/>
          <w:right w:w="62" w:type="dxa"/>
        </w:tblCellMar>
        <w:tblLook w:val="0000"/>
      </w:tblPr>
      <w:tblGrid>
        <w:gridCol w:w="2638"/>
        <w:gridCol w:w="6038"/>
      </w:tblGrid>
      <w:tr w:rsidTr="00ED4F73">
        <w:tblPrEx>
          <w:tblW w:w="0" w:type="auto"/>
          <w:tblLayout w:type="fixed"/>
          <w:tblCellMar>
            <w:left w:w="62" w:type="dxa"/>
            <w:right w:w="62" w:type="dxa"/>
          </w:tblCellMar>
          <w:tblLook w:val="0000"/>
        </w:tblPrEx>
        <w:tc>
          <w:tcPr>
            <w:tcW w:w="8676" w:type="dxa"/>
            <w:gridSpan w:val="2"/>
            <w:tcBorders>
              <w:top w:val="nil"/>
              <w:left w:val="nil"/>
              <w:bottom w:val="nil"/>
              <w:right w:val="nil"/>
            </w:tcBorders>
            <w:tcMar>
              <w:top w:w="0" w:type="dxa"/>
              <w:left w:w="62" w:type="dxa"/>
              <w:bottom w:w="0" w:type="dxa"/>
              <w:right w:w="62" w:type="dxa"/>
            </w:tcMar>
          </w:tcPr>
          <w:p w:rsidR="00000000" w:rsidP="001A03BC">
            <w:pPr>
              <w:pStyle w:val="BodyText"/>
              <w:rPr>
                <w:lang w:val="en-NZ"/>
              </w:rPr>
            </w:pPr>
            <w:r w:rsidRPr="001A03BC">
              <w:t>The Evidence Guide provides advice on assessment and must be read in conjunction with the performance criteria, required skills and knowledge, range statement and the Assessment Guidelines for the Training Package.</w:t>
            </w:r>
          </w:p>
        </w:tc>
      </w:tr>
      <w:tr w:rsidTr="00ED4F7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1A03BC">
            <w:pPr>
              <w:pStyle w:val="BodyText"/>
              <w:rPr>
                <w:lang w:val="en-NZ"/>
              </w:rPr>
            </w:pPr>
            <w:r w:rsidRPr="001A03BC">
              <w:rPr>
                <w:rStyle w:val="SpecialBold"/>
              </w:rPr>
              <w:t>Critical aspects for ass</w:t>
            </w:r>
            <w:r w:rsidRPr="001A03BC">
              <w:rPr>
                <w:rStyle w:val="SpecialBold"/>
              </w:rPr>
              <w:t>essment and evidence required to demonstrate competency in this unit</w:t>
            </w:r>
          </w:p>
        </w:tc>
        <w:tc>
          <w:tcPr>
            <w:tcW w:w="6038" w:type="dxa"/>
            <w:tcBorders>
              <w:top w:val="nil"/>
              <w:left w:val="nil"/>
              <w:bottom w:val="nil"/>
              <w:right w:val="nil"/>
            </w:tcBorders>
            <w:tcMar>
              <w:top w:w="0" w:type="dxa"/>
              <w:left w:w="62" w:type="dxa"/>
              <w:bottom w:w="0" w:type="dxa"/>
              <w:right w:w="62" w:type="dxa"/>
            </w:tcMar>
          </w:tcPr>
          <w:p w:rsidR="00000000" w:rsidRPr="001A03BC" w:rsidP="001A03BC">
            <w:pPr>
              <w:pStyle w:val="BodyText"/>
            </w:pPr>
            <w:r w:rsidRPr="001A03BC">
              <w:t>In addition to integrated demonstration of the elements and their related performance criteria, look for evidence that confirms the candidate's ability to demonstrate a planned approach t</w:t>
            </w:r>
            <w:r w:rsidRPr="001A03BC">
              <w:t>o undertaking assignments aimed at achieving effective outcomes. This includes:</w:t>
            </w:r>
          </w:p>
          <w:p w:rsidR="00000000" w:rsidRPr="001A03BC" w:rsidP="001A03BC">
            <w:pPr>
              <w:pStyle w:val="ListBullet2"/>
            </w:pPr>
            <w:r w:rsidRPr="001A03BC">
              <w:t>identifying and analysing assignment requirements and associated reference material and the need for additional information</w:t>
            </w:r>
          </w:p>
          <w:p w:rsidR="00000000" w:rsidRPr="001A03BC" w:rsidP="001A03BC">
            <w:pPr>
              <w:pStyle w:val="ListBullet2"/>
            </w:pPr>
            <w:r w:rsidRPr="001A03BC">
              <w:t xml:space="preserve">planning and organising activities within required </w:t>
            </w:r>
            <w:r w:rsidRPr="001A03BC">
              <w:t>timeframe and appropriate to type and complexity of translating and interpreting assignment to ensure effective outcomes</w:t>
            </w:r>
          </w:p>
          <w:p w:rsidR="00000000" w:rsidP="001A03BC">
            <w:pPr>
              <w:pStyle w:val="ListBullet2"/>
              <w:rPr>
                <w:lang w:val="en-NZ"/>
              </w:rPr>
            </w:pPr>
            <w:r w:rsidRPr="001A03BC">
              <w:t>critically evaluating preparation for adequacy and appropriateness.</w:t>
            </w:r>
          </w:p>
        </w:tc>
      </w:tr>
      <w:tr w:rsidTr="00ED4F7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1A03BC">
            <w:pPr>
              <w:pStyle w:val="BodyText"/>
              <w:rPr>
                <w:lang w:val="en-NZ"/>
              </w:rPr>
            </w:pPr>
            <w:r w:rsidRPr="001A03BC">
              <w:rPr>
                <w:rStyle w:val="SpecialBold"/>
              </w:rPr>
              <w:t>Context of and specific resources for assessment</w:t>
            </w:r>
          </w:p>
        </w:tc>
        <w:tc>
          <w:tcPr>
            <w:tcW w:w="6038" w:type="dxa"/>
            <w:tcBorders>
              <w:top w:val="nil"/>
              <w:left w:val="nil"/>
              <w:bottom w:val="nil"/>
              <w:right w:val="nil"/>
            </w:tcBorders>
            <w:tcMar>
              <w:top w:w="0" w:type="dxa"/>
              <w:left w:w="62" w:type="dxa"/>
              <w:bottom w:w="0" w:type="dxa"/>
              <w:right w:w="62" w:type="dxa"/>
            </w:tcMar>
          </w:tcPr>
          <w:p w:rsidR="00000000" w:rsidRPr="001A03BC" w:rsidP="001A03BC">
            <w:pPr>
              <w:pStyle w:val="BodyText"/>
            </w:pPr>
            <w:r w:rsidRPr="001A03BC">
              <w:t>Assessment of this unit of competency will make use of scenarios, case studies, experiences and, where possible, examples of interactions with colleagues and clients which illustrate the preparation required for a range of different assignments.</w:t>
            </w:r>
          </w:p>
          <w:p w:rsidR="00000000" w:rsidRPr="001A03BC" w:rsidP="001A03BC">
            <w:pPr>
              <w:pStyle w:val="BodyText"/>
            </w:pPr>
            <w:r w:rsidRPr="001A03BC">
              <w:t xml:space="preserve">Resources </w:t>
            </w:r>
            <w:r w:rsidRPr="001A03BC">
              <w:t>for assessment include:</w:t>
            </w:r>
          </w:p>
          <w:p w:rsidR="00000000" w:rsidRPr="001A03BC" w:rsidP="001A03BC">
            <w:pPr>
              <w:pStyle w:val="ListBullet2"/>
            </w:pPr>
            <w:r w:rsidRPr="001A03BC">
              <w:t>a range of clients and environments where preparation for assignments requires problem solving, research, critical analysis and familiarity with assignment and contractual requirements</w:t>
            </w:r>
          </w:p>
          <w:p w:rsidR="00000000" w:rsidRPr="001A03BC" w:rsidP="001A03BC">
            <w:pPr>
              <w:pStyle w:val="ListBullet2"/>
            </w:pPr>
            <w:r w:rsidRPr="001A03BC">
              <w:t>a range of suitable resources and their source</w:t>
            </w:r>
            <w:r w:rsidRPr="001A03BC">
              <w:t>s</w:t>
            </w:r>
          </w:p>
          <w:p w:rsidR="00000000" w:rsidRPr="001A03BC" w:rsidP="001A03BC">
            <w:pPr>
              <w:pStyle w:val="ListBullet2"/>
            </w:pPr>
            <w:r w:rsidRPr="001A03BC">
              <w:t>relevant codes of practice</w:t>
            </w:r>
          </w:p>
          <w:p w:rsidR="00000000" w:rsidRPr="001A03BC" w:rsidP="001A03BC">
            <w:pPr>
              <w:pStyle w:val="ListBullet2"/>
            </w:pPr>
            <w:r w:rsidRPr="001A03BC">
              <w:t>technical and routine equipment and resources.</w:t>
            </w:r>
          </w:p>
          <w:p w:rsidR="00000000" w:rsidRPr="001A03BC" w:rsidP="001A03BC">
            <w:pPr>
              <w:pStyle w:val="BodyText"/>
            </w:pPr>
            <w:r w:rsidRPr="001A03BC">
              <w:t>Evidence for assessment should be gathered to demonstrate preparation for a range of different client requirements and conditions and with examples of a range of degrees of prepara</w:t>
            </w:r>
            <w:r w:rsidRPr="001A03BC">
              <w:t xml:space="preserve">tion determined by the demands of the assignment. Evidence may include examples of comprehensive preparation as well as for quick and immediate preparation in a very short timeframe. Examples should also include evidence of decision making where there are </w:t>
            </w:r>
            <w:r w:rsidRPr="001A03BC">
              <w:t>ethical, business and professional issues influencing planning decisions.</w:t>
            </w:r>
          </w:p>
        </w:tc>
      </w:tr>
    </w:tbl>
    <w:p w:rsidR="00000000" w:rsidRPr="001A03BC" w:rsidP="001A03BC">
      <w:pPr>
        <w:pStyle w:val="BodyText"/>
      </w:pPr>
    </w:p>
    <w:p w:rsidR="00000000" w:rsidRPr="001A03BC" w:rsidP="001A03BC">
      <w:pPr>
        <w:pStyle w:val="AllowPageBreak"/>
      </w:pPr>
    </w:p>
    <w:p w:rsidR="00000000" w:rsidRPr="001A03BC" w:rsidP="001A03BC">
      <w:pPr>
        <w:pStyle w:val="Heading1"/>
      </w:pPr>
      <w:bookmarkStart w:id="11" w:name="O_495476"/>
      <w:bookmarkEnd w:id="11"/>
      <w:r w:rsidRPr="001A03BC">
        <w:t>Range Statement</w:t>
      </w:r>
    </w:p>
    <w:tbl>
      <w:tblPr>
        <w:tblW w:w="0" w:type="auto"/>
        <w:tblLayout w:type="fixed"/>
        <w:tblCellMar>
          <w:left w:w="62" w:type="dxa"/>
          <w:right w:w="62" w:type="dxa"/>
        </w:tblCellMar>
        <w:tblLook w:val="0000"/>
      </w:tblPr>
      <w:tblGrid>
        <w:gridCol w:w="2531"/>
        <w:gridCol w:w="85"/>
        <w:gridCol w:w="5906"/>
      </w:tblGrid>
      <w:tr w:rsidTr="00ED4F73">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1A03BC">
            <w:pPr>
              <w:pStyle w:val="BodyText"/>
              <w:rPr>
                <w:lang w:val="en-NZ"/>
              </w:rPr>
            </w:pPr>
            <w:r w:rsidRPr="001A03BC">
              <w:t>The range statement relates to the unit of competency as a whole. It allows for different work environments and situations that may affect performa</w:t>
            </w:r>
            <w:r w:rsidRPr="001A03BC">
              <w:t>nce. Bold italicised wording, if used in the performance criteria, is detailed below. Essential operating conditions that may be present with training and assessment (depending on the work situation, needs of the candidate, accessibility of the item, and l</w:t>
            </w:r>
            <w:r w:rsidRPr="001A03BC">
              <w:t>ocal industry and regional contexts) may also be included.</w:t>
            </w:r>
          </w:p>
        </w:tc>
      </w:tr>
      <w:tr w:rsidTr="00ED4F73">
        <w:tblPrEx>
          <w:tblW w:w="0" w:type="auto"/>
          <w:tblLayout w:type="fixed"/>
          <w:tblCellMar>
            <w:left w:w="62" w:type="dxa"/>
            <w:right w:w="62" w:type="dxa"/>
          </w:tblCellMar>
          <w:tblLook w:val="0000"/>
        </w:tblPrEx>
        <w:tc>
          <w:tcPr>
            <w:tcW w:w="2616" w:type="dxa"/>
            <w:gridSpan w:val="2"/>
            <w:tcBorders>
              <w:top w:val="nil"/>
              <w:left w:val="nil"/>
              <w:bottom w:val="nil"/>
              <w:right w:val="nil"/>
            </w:tcBorders>
            <w:tcMar>
              <w:top w:w="0" w:type="dxa"/>
              <w:left w:w="62" w:type="dxa"/>
              <w:bottom w:w="0" w:type="dxa"/>
              <w:right w:w="62" w:type="dxa"/>
            </w:tcMar>
          </w:tcPr>
          <w:p w:rsidR="00000000" w:rsidP="001A03BC">
            <w:pPr>
              <w:pStyle w:val="BodyText"/>
              <w:rPr>
                <w:lang w:val="en-NZ"/>
              </w:rPr>
            </w:pPr>
            <w:r w:rsidRPr="001A03BC">
              <w:rPr>
                <w:rStyle w:val="BoldandItalics"/>
              </w:rPr>
              <w:t>Scope and nature of assignment</w:t>
            </w:r>
            <w:r w:rsidRPr="001A03BC">
              <w:t xml:space="preserve"> may include:</w:t>
            </w:r>
          </w:p>
        </w:tc>
        <w:tc>
          <w:tcPr>
            <w:tcW w:w="5906" w:type="dxa"/>
            <w:tcBorders>
              <w:top w:val="nil"/>
              <w:left w:val="nil"/>
              <w:bottom w:val="nil"/>
              <w:right w:val="nil"/>
            </w:tcBorders>
            <w:tcMar>
              <w:top w:w="0" w:type="dxa"/>
              <w:left w:w="62" w:type="dxa"/>
              <w:bottom w:w="0" w:type="dxa"/>
              <w:right w:w="62" w:type="dxa"/>
            </w:tcMar>
          </w:tcPr>
          <w:p w:rsidR="00000000" w:rsidRPr="001A03BC" w:rsidP="001A03BC">
            <w:pPr>
              <w:pStyle w:val="ListBullet2"/>
            </w:pPr>
            <w:r w:rsidRPr="001A03BC">
              <w:t>desired outcomes</w:t>
            </w:r>
          </w:p>
          <w:p w:rsidR="00000000" w:rsidRPr="001A03BC" w:rsidP="001A03BC">
            <w:pPr>
              <w:pStyle w:val="ListBullet2"/>
            </w:pPr>
            <w:r w:rsidRPr="001A03BC">
              <w:t>required timeframe</w:t>
            </w:r>
          </w:p>
          <w:p w:rsidR="00000000" w:rsidRPr="001A03BC" w:rsidP="001A03BC">
            <w:pPr>
              <w:pStyle w:val="ListBullet2"/>
            </w:pPr>
            <w:r w:rsidRPr="001A03BC">
              <w:t>source and target languages</w:t>
            </w:r>
          </w:p>
          <w:p w:rsidR="00000000" w:rsidRPr="001A03BC" w:rsidP="001A03BC">
            <w:pPr>
              <w:pStyle w:val="ListBullet2"/>
            </w:pPr>
            <w:r w:rsidRPr="001A03BC">
              <w:t>context, subject and topic</w:t>
            </w:r>
          </w:p>
          <w:p w:rsidR="00000000" w:rsidRPr="001A03BC" w:rsidP="001A03BC">
            <w:pPr>
              <w:pStyle w:val="ListBullet2"/>
            </w:pPr>
            <w:r w:rsidRPr="001A03BC">
              <w:t>any specific requirements</w:t>
            </w:r>
          </w:p>
          <w:p w:rsidR="00000000" w:rsidRPr="001A03BC" w:rsidP="001A03BC">
            <w:pPr>
              <w:pStyle w:val="ListBullet2"/>
            </w:pPr>
            <w:r w:rsidRPr="001A03BC">
              <w:t>specialist terminology and required contextual knowledge</w:t>
            </w:r>
          </w:p>
          <w:p w:rsidR="00000000" w:rsidRPr="001A03BC" w:rsidP="001A03BC">
            <w:pPr>
              <w:pStyle w:val="ListBullet2"/>
            </w:pPr>
            <w:r w:rsidRPr="001A03BC">
              <w:t>for interpreting:</w:t>
            </w:r>
          </w:p>
          <w:p w:rsidR="00000000" w:rsidRPr="001A03BC" w:rsidP="001A03BC">
            <w:pPr>
              <w:pStyle w:val="ListBullet3"/>
            </w:pPr>
            <w:r w:rsidRPr="001A03BC">
              <w:t>purpose of interpreting and subject matter</w:t>
            </w:r>
          </w:p>
          <w:p w:rsidR="00000000" w:rsidRPr="001A03BC" w:rsidP="001A03BC">
            <w:pPr>
              <w:pStyle w:val="ListBullet3"/>
            </w:pPr>
            <w:r w:rsidRPr="001A03BC">
              <w:t>setting and mode of interpreting appropriate to setting</w:t>
            </w:r>
          </w:p>
          <w:p w:rsidR="00000000" w:rsidRPr="001A03BC" w:rsidP="001A03BC">
            <w:pPr>
              <w:pStyle w:val="ListBullet3"/>
            </w:pPr>
            <w:r w:rsidRPr="001A03BC">
              <w:t>sight translation of documents during interpreting</w:t>
            </w:r>
          </w:p>
          <w:p w:rsidR="00000000" w:rsidRPr="001A03BC" w:rsidP="001A03BC">
            <w:pPr>
              <w:pStyle w:val="ListBullet3"/>
            </w:pPr>
            <w:r w:rsidRPr="001A03BC">
              <w:t>positioning requirements</w:t>
            </w:r>
          </w:p>
          <w:p w:rsidR="00000000" w:rsidRPr="001A03BC" w:rsidP="001A03BC">
            <w:pPr>
              <w:pStyle w:val="ListBullet2"/>
            </w:pPr>
            <w:r w:rsidRPr="001A03BC">
              <w:t>for translating:</w:t>
            </w:r>
          </w:p>
          <w:p w:rsidR="00000000" w:rsidRPr="001A03BC" w:rsidP="001A03BC">
            <w:pPr>
              <w:pStyle w:val="ListBullet3"/>
            </w:pPr>
            <w:r w:rsidRPr="001A03BC">
              <w:t>assignment schedule, including volume of material and stage deadlines</w:t>
            </w:r>
          </w:p>
          <w:p w:rsidR="00000000" w:rsidRPr="001A03BC" w:rsidP="001A03BC">
            <w:pPr>
              <w:pStyle w:val="ListBullet3"/>
            </w:pPr>
            <w:r w:rsidRPr="001A03BC">
              <w:t>assignment-specific style guide conventions</w:t>
            </w:r>
          </w:p>
          <w:p w:rsidR="00000000" w:rsidRPr="001A03BC" w:rsidP="001A03BC">
            <w:pPr>
              <w:pStyle w:val="ListBullet3"/>
            </w:pPr>
            <w:r w:rsidRPr="001A03BC">
              <w:t>end use of text</w:t>
            </w:r>
          </w:p>
          <w:p w:rsidR="00000000" w:rsidRPr="001A03BC" w:rsidP="001A03BC">
            <w:pPr>
              <w:pStyle w:val="ListBullet3"/>
            </w:pPr>
            <w:r w:rsidRPr="001A03BC">
              <w:t>recording requirements</w:t>
            </w:r>
          </w:p>
          <w:p w:rsidR="00000000" w:rsidP="001A03BC">
            <w:pPr>
              <w:pStyle w:val="ListBullet3"/>
              <w:rPr>
                <w:lang w:val="en-NZ"/>
              </w:rPr>
            </w:pPr>
            <w:r w:rsidRPr="001A03BC">
              <w:t>translation memory tools.</w:t>
            </w:r>
          </w:p>
        </w:tc>
      </w:tr>
      <w:tr w:rsidTr="00ED4F73">
        <w:tblPrEx>
          <w:tblW w:w="0" w:type="auto"/>
          <w:tblLayout w:type="fixed"/>
          <w:tblCellMar>
            <w:left w:w="62" w:type="dxa"/>
            <w:right w:w="62" w:type="dxa"/>
          </w:tblCellMar>
          <w:tblLook w:val="0000"/>
        </w:tblPrEx>
        <w:tc>
          <w:tcPr>
            <w:tcW w:w="2616" w:type="dxa"/>
            <w:gridSpan w:val="2"/>
            <w:tcBorders>
              <w:top w:val="nil"/>
              <w:left w:val="nil"/>
              <w:bottom w:val="nil"/>
              <w:right w:val="nil"/>
            </w:tcBorders>
            <w:tcMar>
              <w:top w:w="0" w:type="dxa"/>
              <w:left w:w="62" w:type="dxa"/>
              <w:bottom w:w="0" w:type="dxa"/>
              <w:right w:w="62" w:type="dxa"/>
            </w:tcMar>
          </w:tcPr>
          <w:p w:rsidR="00000000" w:rsidP="001A03BC">
            <w:pPr>
              <w:pStyle w:val="BodyText"/>
              <w:rPr>
                <w:lang w:val="en-NZ"/>
              </w:rPr>
            </w:pPr>
            <w:r w:rsidRPr="001A03BC">
              <w:rPr>
                <w:rStyle w:val="BoldandItalics"/>
              </w:rPr>
              <w:t>Other relevant factors</w:t>
            </w:r>
            <w:r w:rsidRPr="001A03BC">
              <w:t xml:space="preserve"> may include:</w:t>
            </w:r>
          </w:p>
        </w:tc>
        <w:tc>
          <w:tcPr>
            <w:tcW w:w="5906" w:type="dxa"/>
            <w:tcBorders>
              <w:top w:val="nil"/>
              <w:left w:val="nil"/>
              <w:bottom w:val="nil"/>
              <w:right w:val="nil"/>
            </w:tcBorders>
            <w:tcMar>
              <w:top w:w="0" w:type="dxa"/>
              <w:left w:w="62" w:type="dxa"/>
              <w:bottom w:w="0" w:type="dxa"/>
              <w:right w:w="62" w:type="dxa"/>
            </w:tcMar>
          </w:tcPr>
          <w:p w:rsidR="00000000" w:rsidRPr="001A03BC" w:rsidP="001A03BC">
            <w:pPr>
              <w:pStyle w:val="ListBullet2"/>
            </w:pPr>
            <w:r w:rsidRPr="001A03BC">
              <w:t>access to specialist advisers</w:t>
            </w:r>
          </w:p>
          <w:p w:rsidR="00000000" w:rsidRPr="001A03BC" w:rsidP="001A03BC">
            <w:pPr>
              <w:pStyle w:val="ListBullet2"/>
            </w:pPr>
            <w:r w:rsidRPr="001A03BC">
              <w:t>background reference material</w:t>
            </w:r>
          </w:p>
          <w:p w:rsidR="00000000" w:rsidRPr="001A03BC" w:rsidP="001A03BC">
            <w:pPr>
              <w:pStyle w:val="ListBullet2"/>
            </w:pPr>
            <w:r w:rsidRPr="001A03BC">
              <w:t xml:space="preserve">tools and equipment required and available, including software </w:t>
            </w:r>
          </w:p>
          <w:p w:rsidR="00000000" w:rsidRPr="001A03BC" w:rsidP="001A03BC">
            <w:pPr>
              <w:pStyle w:val="ListBullet2"/>
            </w:pPr>
            <w:r w:rsidRPr="001A03BC">
              <w:t>confidentiality or access requirements, such as police clearances</w:t>
            </w:r>
          </w:p>
          <w:p w:rsidR="00000000" w:rsidRPr="001A03BC" w:rsidP="001A03BC">
            <w:pPr>
              <w:pStyle w:val="ListBullet2"/>
            </w:pPr>
            <w:r w:rsidRPr="001A03BC">
              <w:t>need for team or relay interpreting</w:t>
            </w:r>
          </w:p>
          <w:p w:rsidR="00000000" w:rsidRPr="001A03BC" w:rsidP="001A03BC">
            <w:pPr>
              <w:pStyle w:val="ListBullet2"/>
            </w:pPr>
            <w:r w:rsidRPr="001A03BC">
              <w:t>translators or interpreters pr</w:t>
            </w:r>
            <w:r w:rsidRPr="001A03BC">
              <w:t>eviously involved</w:t>
            </w:r>
          </w:p>
          <w:p w:rsidR="00000000" w:rsidRPr="001A03BC" w:rsidP="001A03BC">
            <w:pPr>
              <w:pStyle w:val="ListBullet2"/>
            </w:pPr>
            <w:r w:rsidRPr="001A03BC">
              <w:t>for interpreting, participants':</w:t>
            </w:r>
          </w:p>
          <w:p w:rsidR="00000000" w:rsidRPr="001A03BC" w:rsidP="001A03BC">
            <w:pPr>
              <w:pStyle w:val="ListBullet3"/>
            </w:pPr>
            <w:r w:rsidRPr="001A03BC">
              <w:t>cultural background</w:t>
            </w:r>
          </w:p>
          <w:p w:rsidR="00000000" w:rsidRPr="001A03BC" w:rsidP="001A03BC">
            <w:pPr>
              <w:pStyle w:val="ListBullet3"/>
            </w:pPr>
            <w:r w:rsidRPr="001A03BC">
              <w:t>gender</w:t>
            </w:r>
          </w:p>
          <w:p w:rsidR="00000000" w:rsidRPr="001A03BC" w:rsidP="001A03BC">
            <w:pPr>
              <w:pStyle w:val="ListBullet3"/>
            </w:pPr>
            <w:r w:rsidRPr="001A03BC">
              <w:t>languages spoken</w:t>
            </w:r>
          </w:p>
          <w:p w:rsidR="00000000" w:rsidP="001A03BC">
            <w:pPr>
              <w:pStyle w:val="ListBullet3"/>
              <w:rPr>
                <w:lang w:val="en-NZ"/>
              </w:rPr>
            </w:pPr>
            <w:r w:rsidRPr="001A03BC">
              <w:t>religion.</w:t>
            </w:r>
          </w:p>
        </w:tc>
      </w:tr>
      <w:tr w:rsidTr="00ED4F73">
        <w:tblPrEx>
          <w:tblW w:w="0" w:type="auto"/>
          <w:tblLayout w:type="fixed"/>
          <w:tblCellMar>
            <w:left w:w="62" w:type="dxa"/>
            <w:right w:w="62" w:type="dxa"/>
          </w:tblCellMar>
          <w:tblLook w:val="0000"/>
        </w:tblPrEx>
        <w:tc>
          <w:tcPr>
            <w:tcW w:w="2616" w:type="dxa"/>
            <w:gridSpan w:val="2"/>
            <w:tcBorders>
              <w:top w:val="nil"/>
              <w:left w:val="nil"/>
              <w:bottom w:val="nil"/>
              <w:right w:val="nil"/>
            </w:tcBorders>
            <w:tcMar>
              <w:top w:w="0" w:type="dxa"/>
              <w:left w:w="62" w:type="dxa"/>
              <w:bottom w:w="0" w:type="dxa"/>
              <w:right w:w="62" w:type="dxa"/>
            </w:tcMar>
          </w:tcPr>
          <w:p w:rsidR="00000000" w:rsidP="001A03BC">
            <w:pPr>
              <w:pStyle w:val="BodyText"/>
              <w:rPr>
                <w:lang w:val="en-NZ"/>
              </w:rPr>
            </w:pPr>
            <w:r w:rsidRPr="001A03BC">
              <w:rPr>
                <w:rStyle w:val="BoldandItalics"/>
              </w:rPr>
              <w:t>Background material</w:t>
            </w:r>
            <w:r w:rsidRPr="001A03BC">
              <w:t xml:space="preserve"> refers to assignment-specific documentation, including:</w:t>
            </w:r>
          </w:p>
        </w:tc>
        <w:tc>
          <w:tcPr>
            <w:tcW w:w="5906" w:type="dxa"/>
            <w:tcBorders>
              <w:top w:val="nil"/>
              <w:left w:val="nil"/>
              <w:bottom w:val="nil"/>
              <w:right w:val="nil"/>
            </w:tcBorders>
            <w:tcMar>
              <w:top w:w="0" w:type="dxa"/>
              <w:left w:w="62" w:type="dxa"/>
              <w:bottom w:w="0" w:type="dxa"/>
              <w:right w:w="62" w:type="dxa"/>
            </w:tcMar>
          </w:tcPr>
          <w:p w:rsidR="00000000" w:rsidRPr="001A03BC" w:rsidP="001A03BC">
            <w:pPr>
              <w:pStyle w:val="ListBullet2"/>
            </w:pPr>
            <w:r w:rsidRPr="001A03BC">
              <w:t>contextual information, including:</w:t>
            </w:r>
          </w:p>
          <w:p w:rsidR="00000000" w:rsidRPr="001A03BC" w:rsidP="001A03BC">
            <w:pPr>
              <w:pStyle w:val="ListBullet3"/>
            </w:pPr>
            <w:r w:rsidRPr="001A03BC">
              <w:t>general information relating to such things as health and legal systems</w:t>
            </w:r>
          </w:p>
          <w:p w:rsidR="00000000" w:rsidRPr="001A03BC" w:rsidP="001A03BC">
            <w:pPr>
              <w:pStyle w:val="ListBullet3"/>
            </w:pPr>
            <w:r w:rsidRPr="001A03BC">
              <w:t>geography and maps of relevant places</w:t>
            </w:r>
          </w:p>
          <w:p w:rsidR="00000000" w:rsidRPr="001A03BC" w:rsidP="001A03BC">
            <w:pPr>
              <w:pStyle w:val="ListBullet2"/>
            </w:pPr>
            <w:r w:rsidRPr="001A03BC">
              <w:t>forms or paperwork</w:t>
            </w:r>
          </w:p>
          <w:p w:rsidR="00000000" w:rsidRPr="001A03BC" w:rsidP="001A03BC">
            <w:pPr>
              <w:pStyle w:val="ListBullet2"/>
            </w:pPr>
            <w:r w:rsidRPr="001A03BC">
              <w:t>glossaries and terminology lists</w:t>
            </w:r>
          </w:p>
          <w:p w:rsidR="00000000" w:rsidRPr="001A03BC" w:rsidP="001A03BC">
            <w:pPr>
              <w:pStyle w:val="ListBullet2"/>
            </w:pPr>
            <w:r w:rsidRPr="001A03BC">
              <w:t>existing bilingual or multilingual material</w:t>
            </w:r>
          </w:p>
          <w:p w:rsidR="00000000" w:rsidRPr="001A03BC" w:rsidP="001A03BC">
            <w:pPr>
              <w:pStyle w:val="ListBullet2"/>
            </w:pPr>
            <w:r w:rsidRPr="001A03BC">
              <w:t>for interpreting:</w:t>
            </w:r>
          </w:p>
          <w:p w:rsidR="00000000" w:rsidRPr="001A03BC" w:rsidP="001A03BC">
            <w:pPr>
              <w:pStyle w:val="ListBullet3"/>
            </w:pPr>
            <w:r w:rsidRPr="001A03BC">
              <w:t>client documents</w:t>
            </w:r>
          </w:p>
          <w:p w:rsidR="00000000" w:rsidRPr="001A03BC" w:rsidP="001A03BC">
            <w:pPr>
              <w:pStyle w:val="ListBullet3"/>
            </w:pPr>
            <w:r w:rsidRPr="001A03BC">
              <w:t>dialogue-rela</w:t>
            </w:r>
            <w:r w:rsidRPr="001A03BC">
              <w:t>ted documents</w:t>
            </w:r>
          </w:p>
          <w:p w:rsidR="00000000" w:rsidRPr="001A03BC" w:rsidP="001A03BC">
            <w:pPr>
              <w:pStyle w:val="ListBullet3"/>
            </w:pPr>
            <w:r w:rsidRPr="001A03BC">
              <w:t>list of participants and their titles and affiliations</w:t>
            </w:r>
          </w:p>
          <w:p w:rsidR="00000000" w:rsidRPr="001A03BC" w:rsidP="001A03BC">
            <w:pPr>
              <w:pStyle w:val="ListBullet2"/>
            </w:pPr>
            <w:r w:rsidRPr="001A03BC">
              <w:t>for translating:</w:t>
            </w:r>
          </w:p>
          <w:p w:rsidR="00000000" w:rsidRPr="001A03BC" w:rsidP="001A03BC">
            <w:pPr>
              <w:pStyle w:val="ListBullet3"/>
            </w:pPr>
            <w:r w:rsidRPr="001A03BC">
              <w:t>existing translation precedents</w:t>
            </w:r>
          </w:p>
          <w:p w:rsidR="00000000" w:rsidRPr="001A03BC" w:rsidP="001A03BC">
            <w:pPr>
              <w:pStyle w:val="ListBullet3"/>
            </w:pPr>
            <w:r w:rsidRPr="001A03BC">
              <w:t>related texts</w:t>
            </w:r>
          </w:p>
          <w:p w:rsidR="00000000" w:rsidP="001A03BC">
            <w:pPr>
              <w:pStyle w:val="ListBullet3"/>
              <w:rPr>
                <w:lang w:val="en-NZ"/>
              </w:rPr>
            </w:pPr>
            <w:r w:rsidRPr="001A03BC">
              <w:t>other target language material.</w:t>
            </w:r>
          </w:p>
        </w:tc>
      </w:tr>
      <w:tr w:rsidTr="00ED4F73">
        <w:tblPrEx>
          <w:tblW w:w="0" w:type="auto"/>
          <w:tblLayout w:type="fixed"/>
          <w:tblCellMar>
            <w:left w:w="62" w:type="dxa"/>
            <w:right w:w="62" w:type="dxa"/>
          </w:tblCellMar>
          <w:tblLook w:val="0000"/>
        </w:tblPrEx>
        <w:tc>
          <w:tcPr>
            <w:tcW w:w="2531" w:type="dxa"/>
            <w:tcBorders>
              <w:top w:val="nil"/>
              <w:left w:val="nil"/>
              <w:bottom w:val="nil"/>
              <w:right w:val="nil"/>
            </w:tcBorders>
            <w:tcMar>
              <w:top w:w="0" w:type="dxa"/>
              <w:left w:w="62" w:type="dxa"/>
              <w:bottom w:w="0" w:type="dxa"/>
              <w:right w:w="62" w:type="dxa"/>
            </w:tcMar>
          </w:tcPr>
          <w:p w:rsidR="00000000" w:rsidP="001A03BC">
            <w:pPr>
              <w:pStyle w:val="BodyText"/>
              <w:rPr>
                <w:lang w:val="en-NZ"/>
              </w:rPr>
            </w:pPr>
            <w:r w:rsidRPr="001A03BC">
              <w:rPr>
                <w:rStyle w:val="BoldandItalics"/>
              </w:rPr>
              <w:t>Tools and equipment</w:t>
            </w:r>
            <w:r w:rsidRPr="001A03BC">
              <w:t xml:space="preserve"> may include:</w:t>
            </w:r>
          </w:p>
        </w:tc>
        <w:tc>
          <w:tcPr>
            <w:tcW w:w="5991" w:type="dxa"/>
            <w:gridSpan w:val="2"/>
            <w:tcBorders>
              <w:top w:val="nil"/>
              <w:left w:val="nil"/>
              <w:bottom w:val="nil"/>
              <w:right w:val="nil"/>
            </w:tcBorders>
            <w:tcMar>
              <w:top w:w="0" w:type="dxa"/>
              <w:left w:w="62" w:type="dxa"/>
              <w:bottom w:w="0" w:type="dxa"/>
              <w:right w:w="62" w:type="dxa"/>
            </w:tcMar>
          </w:tcPr>
          <w:p w:rsidR="00000000" w:rsidRPr="001A03BC" w:rsidP="001A03BC">
            <w:pPr>
              <w:pStyle w:val="ListBullet2"/>
            </w:pPr>
            <w:r w:rsidRPr="001A03BC">
              <w:t>commercial software</w:t>
            </w:r>
          </w:p>
          <w:p w:rsidR="00000000" w:rsidRPr="001A03BC" w:rsidP="001A03BC">
            <w:pPr>
              <w:pStyle w:val="ListBullet2"/>
            </w:pPr>
            <w:r w:rsidRPr="001A03BC">
              <w:t>current and emerging technology</w:t>
            </w:r>
          </w:p>
          <w:p w:rsidR="00000000" w:rsidRPr="001A03BC" w:rsidP="001A03BC">
            <w:pPr>
              <w:pStyle w:val="ListBullet2"/>
            </w:pPr>
            <w:r w:rsidRPr="001A03BC">
              <w:t>hardware, such as computers, printers, scanners and telephones</w:t>
            </w:r>
          </w:p>
          <w:p w:rsidR="00000000" w:rsidRPr="001A03BC" w:rsidP="001A03BC">
            <w:pPr>
              <w:pStyle w:val="ListBullet2"/>
            </w:pPr>
            <w:r w:rsidRPr="001A03BC">
              <w:t>spreadsheets</w:t>
            </w:r>
          </w:p>
          <w:p w:rsidR="00000000" w:rsidRPr="001A03BC" w:rsidP="001A03BC">
            <w:pPr>
              <w:pStyle w:val="ListBullet2"/>
            </w:pPr>
            <w:r w:rsidRPr="001A03BC">
              <w:t>internet search engines</w:t>
            </w:r>
          </w:p>
          <w:p w:rsidR="00000000" w:rsidRPr="001A03BC" w:rsidP="001A03BC">
            <w:pPr>
              <w:pStyle w:val="ListBullet2"/>
            </w:pPr>
            <w:r w:rsidRPr="001A03BC">
              <w:t>virtual collaboration</w:t>
            </w:r>
          </w:p>
          <w:p w:rsidR="00000000" w:rsidP="001A03BC">
            <w:pPr>
              <w:pStyle w:val="ListBullet2"/>
              <w:rPr>
                <w:lang w:val="en-NZ"/>
              </w:rPr>
            </w:pPr>
            <w:r w:rsidRPr="001A03BC">
              <w:t>stationery supplies, such as batteries, note books.</w:t>
            </w:r>
          </w:p>
        </w:tc>
      </w:tr>
      <w:tr w:rsidTr="00ED4F73">
        <w:tblPrEx>
          <w:tblW w:w="0" w:type="auto"/>
          <w:tblLayout w:type="fixed"/>
          <w:tblCellMar>
            <w:left w:w="62" w:type="dxa"/>
            <w:right w:w="62" w:type="dxa"/>
          </w:tblCellMar>
          <w:tblLook w:val="0000"/>
        </w:tblPrEx>
        <w:tc>
          <w:tcPr>
            <w:tcW w:w="2531" w:type="dxa"/>
            <w:tcBorders>
              <w:top w:val="nil"/>
              <w:left w:val="nil"/>
              <w:bottom w:val="nil"/>
              <w:right w:val="nil"/>
            </w:tcBorders>
            <w:tcMar>
              <w:top w:w="0" w:type="dxa"/>
              <w:left w:w="62" w:type="dxa"/>
              <w:bottom w:w="0" w:type="dxa"/>
              <w:right w:w="62" w:type="dxa"/>
            </w:tcMar>
          </w:tcPr>
          <w:p w:rsidR="00000000" w:rsidP="001A03BC">
            <w:pPr>
              <w:pStyle w:val="BodyText"/>
              <w:rPr>
                <w:lang w:val="en-NZ"/>
              </w:rPr>
            </w:pPr>
            <w:r w:rsidRPr="001A03BC">
              <w:rPr>
                <w:rStyle w:val="BoldandItalics"/>
              </w:rPr>
              <w:t>Resources may include</w:t>
            </w:r>
            <w:r w:rsidRPr="001A03BC">
              <w:t>:</w:t>
            </w:r>
          </w:p>
        </w:tc>
        <w:tc>
          <w:tcPr>
            <w:tcW w:w="5991" w:type="dxa"/>
            <w:gridSpan w:val="2"/>
            <w:tcBorders>
              <w:top w:val="nil"/>
              <w:left w:val="nil"/>
              <w:bottom w:val="nil"/>
              <w:right w:val="nil"/>
            </w:tcBorders>
            <w:tcMar>
              <w:top w:w="0" w:type="dxa"/>
              <w:left w:w="62" w:type="dxa"/>
              <w:bottom w:w="0" w:type="dxa"/>
              <w:right w:w="62" w:type="dxa"/>
            </w:tcMar>
          </w:tcPr>
          <w:p w:rsidR="00000000" w:rsidRPr="001A03BC" w:rsidP="001A03BC">
            <w:pPr>
              <w:pStyle w:val="ListBullet2"/>
            </w:pPr>
            <w:r w:rsidRPr="001A03BC">
              <w:t>field trips to clarify field-specific concepts and terms</w:t>
            </w:r>
          </w:p>
          <w:p w:rsidR="00000000" w:rsidRPr="001A03BC" w:rsidP="001A03BC">
            <w:pPr>
              <w:pStyle w:val="ListBullet2"/>
            </w:pPr>
            <w:r w:rsidRPr="001A03BC">
              <w:t>internet search engines</w:t>
            </w:r>
          </w:p>
          <w:p w:rsidR="00000000" w:rsidRPr="001A03BC" w:rsidP="001A03BC">
            <w:pPr>
              <w:pStyle w:val="ListBullet2"/>
            </w:pPr>
            <w:r w:rsidRPr="001A03BC">
              <w:t>personal and organisational records</w:t>
            </w:r>
          </w:p>
          <w:p w:rsidR="00000000" w:rsidRPr="001A03BC" w:rsidP="001A03BC">
            <w:pPr>
              <w:pStyle w:val="ListBullet2"/>
            </w:pPr>
            <w:r w:rsidRPr="001A03BC">
              <w:t>libraries</w:t>
            </w:r>
          </w:p>
          <w:p w:rsidR="00000000" w:rsidRPr="001A03BC" w:rsidP="001A03BC">
            <w:pPr>
              <w:pStyle w:val="ListBullet2"/>
            </w:pPr>
            <w:r w:rsidRPr="001A03BC">
              <w:t>general and specialised, including bilingual and monolingual dictionaries and glossaries</w:t>
            </w:r>
          </w:p>
          <w:p w:rsidR="00000000" w:rsidRPr="001A03BC" w:rsidP="001A03BC">
            <w:pPr>
              <w:pStyle w:val="ListBullet2"/>
            </w:pPr>
            <w:r w:rsidRPr="001A03BC">
              <w:t>books and brochures</w:t>
            </w:r>
          </w:p>
          <w:p w:rsidR="00000000" w:rsidRPr="001A03BC" w:rsidP="001A03BC">
            <w:pPr>
              <w:pStyle w:val="ListBullet2"/>
            </w:pPr>
            <w:r w:rsidRPr="001A03BC">
              <w:t>assignment documents and references</w:t>
            </w:r>
          </w:p>
          <w:p w:rsidR="00000000" w:rsidRPr="001A03BC" w:rsidP="001A03BC">
            <w:pPr>
              <w:pStyle w:val="ListBullet2"/>
            </w:pPr>
            <w:r w:rsidRPr="001A03BC">
              <w:t>reference material, such as parallel texts and specialist references</w:t>
            </w:r>
          </w:p>
          <w:p w:rsidR="00000000" w:rsidRPr="001A03BC" w:rsidP="001A03BC">
            <w:pPr>
              <w:pStyle w:val="ListBullet2"/>
            </w:pPr>
            <w:r w:rsidRPr="001A03BC">
              <w:t>print and electronic resources, such as:</w:t>
            </w:r>
          </w:p>
          <w:p w:rsidR="00000000" w:rsidRPr="001A03BC" w:rsidP="001A03BC">
            <w:pPr>
              <w:pStyle w:val="ListBullet3"/>
            </w:pPr>
            <w:r w:rsidRPr="001A03BC">
              <w:t>style guides</w:t>
            </w:r>
          </w:p>
          <w:p w:rsidR="00000000" w:rsidRPr="001A03BC" w:rsidP="001A03BC">
            <w:pPr>
              <w:pStyle w:val="ListBullet3"/>
            </w:pPr>
            <w:r w:rsidRPr="001A03BC">
              <w:t>thesaurus</w:t>
            </w:r>
          </w:p>
          <w:p w:rsidR="00000000" w:rsidRPr="001A03BC" w:rsidP="001A03BC">
            <w:pPr>
              <w:pStyle w:val="ListBullet3"/>
            </w:pPr>
            <w:r w:rsidRPr="001A03BC">
              <w:t>topic or subject-specific references</w:t>
            </w:r>
          </w:p>
          <w:p w:rsidR="00000000" w:rsidRPr="001A03BC" w:rsidP="001A03BC">
            <w:pPr>
              <w:pStyle w:val="ListBullet2"/>
            </w:pPr>
            <w:r w:rsidRPr="001A03BC">
              <w:t>human resources, such as:</w:t>
            </w:r>
          </w:p>
          <w:p w:rsidR="00000000" w:rsidRPr="001A03BC" w:rsidP="001A03BC">
            <w:pPr>
              <w:pStyle w:val="ListBullet3"/>
            </w:pPr>
            <w:r w:rsidRPr="001A03BC">
              <w:t>field or topic experts</w:t>
            </w:r>
          </w:p>
          <w:p w:rsidR="00000000" w:rsidRPr="001A03BC" w:rsidP="001A03BC">
            <w:pPr>
              <w:pStyle w:val="ListBullet3"/>
            </w:pPr>
            <w:r w:rsidRPr="001A03BC">
              <w:t>opposite language colleagues</w:t>
            </w:r>
          </w:p>
          <w:p w:rsidR="00000000" w:rsidRPr="001A03BC" w:rsidP="001A03BC">
            <w:pPr>
              <w:pStyle w:val="ListBullet3"/>
            </w:pPr>
            <w:r w:rsidRPr="001A03BC">
              <w:t>other</w:t>
            </w:r>
            <w:r w:rsidRPr="001A03BC">
              <w:t xml:space="preserve"> practitioners previously involved</w:t>
            </w:r>
          </w:p>
          <w:p w:rsidR="00000000" w:rsidP="001A03BC">
            <w:pPr>
              <w:pStyle w:val="ListBullet3"/>
              <w:rPr>
                <w:lang w:val="en-NZ"/>
              </w:rPr>
            </w:pPr>
            <w:r w:rsidRPr="001A03BC">
              <w:t>peer help groups.</w:t>
            </w:r>
          </w:p>
        </w:tc>
      </w:tr>
      <w:tr w:rsidTr="00ED4F73">
        <w:tblPrEx>
          <w:tblW w:w="0" w:type="auto"/>
          <w:tblLayout w:type="fixed"/>
          <w:tblCellMar>
            <w:left w:w="62" w:type="dxa"/>
            <w:right w:w="62" w:type="dxa"/>
          </w:tblCellMar>
          <w:tblLook w:val="0000"/>
        </w:tblPrEx>
        <w:tc>
          <w:tcPr>
            <w:tcW w:w="2531" w:type="dxa"/>
            <w:tcBorders>
              <w:top w:val="nil"/>
              <w:left w:val="nil"/>
              <w:bottom w:val="nil"/>
              <w:right w:val="nil"/>
            </w:tcBorders>
            <w:tcMar>
              <w:top w:w="0" w:type="dxa"/>
              <w:left w:w="62" w:type="dxa"/>
              <w:bottom w:w="0" w:type="dxa"/>
              <w:right w:w="62" w:type="dxa"/>
            </w:tcMar>
          </w:tcPr>
          <w:p w:rsidR="00000000" w:rsidP="001A03BC">
            <w:pPr>
              <w:pStyle w:val="BodyText"/>
              <w:rPr>
                <w:lang w:val="en-NZ"/>
              </w:rPr>
            </w:pPr>
            <w:r w:rsidRPr="001A03BC">
              <w:rPr>
                <w:rStyle w:val="BoldandItalics"/>
              </w:rPr>
              <w:t>Factors that may affect assignment outcomes</w:t>
            </w:r>
            <w:r w:rsidRPr="001A03BC">
              <w:t xml:space="preserve"> may include:</w:t>
            </w:r>
          </w:p>
        </w:tc>
        <w:tc>
          <w:tcPr>
            <w:tcW w:w="5991" w:type="dxa"/>
            <w:gridSpan w:val="2"/>
            <w:tcBorders>
              <w:top w:val="nil"/>
              <w:left w:val="nil"/>
              <w:bottom w:val="nil"/>
              <w:right w:val="nil"/>
            </w:tcBorders>
            <w:tcMar>
              <w:top w:w="0" w:type="dxa"/>
              <w:left w:w="62" w:type="dxa"/>
              <w:bottom w:w="0" w:type="dxa"/>
              <w:right w:w="62" w:type="dxa"/>
            </w:tcMar>
          </w:tcPr>
          <w:p w:rsidR="00000000" w:rsidRPr="001A03BC" w:rsidP="001A03BC">
            <w:pPr>
              <w:pStyle w:val="ListBullet2"/>
            </w:pPr>
            <w:r w:rsidRPr="001A03BC">
              <w:t>types of risks and their implications, such as:</w:t>
            </w:r>
          </w:p>
          <w:p w:rsidR="00000000" w:rsidRPr="001A03BC" w:rsidP="001A03BC">
            <w:pPr>
              <w:pStyle w:val="ListBullet2"/>
            </w:pPr>
            <w:r w:rsidRPr="001A03BC">
              <w:t>language issues relating to risk of miscommunication</w:t>
            </w:r>
          </w:p>
          <w:p w:rsidR="00000000" w:rsidRPr="001A03BC" w:rsidP="001A03BC">
            <w:pPr>
              <w:pStyle w:val="ListBullet2"/>
            </w:pPr>
            <w:r w:rsidRPr="001A03BC">
              <w:t>legal issues relating to:</w:t>
            </w:r>
          </w:p>
          <w:p w:rsidR="00000000" w:rsidRPr="001A03BC" w:rsidP="001A03BC">
            <w:pPr>
              <w:pStyle w:val="ListBullet3"/>
            </w:pPr>
            <w:r w:rsidRPr="001A03BC">
              <w:t>access and equity</w:t>
            </w:r>
          </w:p>
          <w:p w:rsidR="00000000" w:rsidRPr="001A03BC" w:rsidP="001A03BC">
            <w:pPr>
              <w:pStyle w:val="ListBullet3"/>
            </w:pPr>
            <w:r w:rsidRPr="001A03BC">
              <w:t>discrimination</w:t>
            </w:r>
          </w:p>
          <w:p w:rsidR="00000000" w:rsidRPr="001A03BC" w:rsidP="001A03BC">
            <w:pPr>
              <w:pStyle w:val="ListBullet3"/>
            </w:pPr>
            <w:r w:rsidRPr="001A03BC">
              <w:t>duty of care</w:t>
            </w:r>
          </w:p>
          <w:p w:rsidR="00000000" w:rsidRPr="001A03BC" w:rsidP="001A03BC">
            <w:pPr>
              <w:pStyle w:val="ListBullet3"/>
            </w:pPr>
            <w:r w:rsidRPr="001A03BC">
              <w:t>informed consent or decisions</w:t>
            </w:r>
          </w:p>
          <w:p w:rsidR="00000000" w:rsidRPr="001A03BC" w:rsidP="001A03BC">
            <w:pPr>
              <w:pStyle w:val="ListBullet3"/>
            </w:pPr>
            <w:r w:rsidRPr="001A03BC">
              <w:t>potential conflict of interest</w:t>
            </w:r>
          </w:p>
          <w:p w:rsidR="00000000" w:rsidRPr="001A03BC" w:rsidP="001A03BC">
            <w:pPr>
              <w:pStyle w:val="ListBullet3"/>
            </w:pPr>
            <w:r w:rsidRPr="001A03BC">
              <w:t>negligence</w:t>
            </w:r>
          </w:p>
          <w:p w:rsidR="00000000" w:rsidRPr="001A03BC" w:rsidP="001A03BC">
            <w:pPr>
              <w:pStyle w:val="ListBullet3"/>
            </w:pPr>
            <w:r w:rsidRPr="001A03BC">
              <w:t>potential for litigation</w:t>
            </w:r>
          </w:p>
          <w:p w:rsidR="00000000" w:rsidRPr="001A03BC" w:rsidP="001A03BC">
            <w:pPr>
              <w:pStyle w:val="ListBullet2"/>
            </w:pPr>
            <w:r w:rsidRPr="001A03BC">
              <w:t>health and safety concerns, which may occur as a result of:</w:t>
            </w:r>
          </w:p>
          <w:p w:rsidR="00000000" w:rsidRPr="001A03BC" w:rsidP="001A03BC">
            <w:pPr>
              <w:pStyle w:val="ListBullet3"/>
            </w:pPr>
            <w:r w:rsidRPr="001A03BC">
              <w:t>criminal or mental health contexts</w:t>
            </w:r>
          </w:p>
          <w:p w:rsidR="00000000" w:rsidRPr="001A03BC" w:rsidP="001A03BC">
            <w:pPr>
              <w:pStyle w:val="ListBullet3"/>
            </w:pPr>
            <w:r w:rsidRPr="001A03BC">
              <w:t>duration of assi</w:t>
            </w:r>
            <w:r w:rsidRPr="001A03BC">
              <w:t>gnment</w:t>
            </w:r>
          </w:p>
          <w:p w:rsidR="00000000" w:rsidRPr="001A03BC" w:rsidP="001A03BC">
            <w:pPr>
              <w:pStyle w:val="ListBullet3"/>
            </w:pPr>
            <w:r w:rsidRPr="001A03BC">
              <w:t>distressing or stressful assignments</w:t>
            </w:r>
          </w:p>
          <w:p w:rsidR="00000000" w:rsidRPr="001A03BC" w:rsidP="001A03BC">
            <w:pPr>
              <w:pStyle w:val="ListBullet3"/>
            </w:pPr>
            <w:r w:rsidRPr="001A03BC">
              <w:t>employment conditions</w:t>
            </w:r>
          </w:p>
          <w:p w:rsidR="00000000" w:rsidRPr="001A03BC" w:rsidP="001A03BC">
            <w:pPr>
              <w:pStyle w:val="ListBullet3"/>
            </w:pPr>
            <w:r w:rsidRPr="001A03BC">
              <w:t>situations of real or threatened violence</w:t>
            </w:r>
          </w:p>
          <w:p w:rsidR="00000000" w:rsidRPr="001A03BC" w:rsidP="001A03BC">
            <w:pPr>
              <w:pStyle w:val="ListBullet3"/>
            </w:pPr>
            <w:r w:rsidRPr="001A03BC">
              <w:t>possible community repercussions or payback</w:t>
            </w:r>
          </w:p>
          <w:p w:rsidR="00000000" w:rsidP="001A03BC">
            <w:pPr>
              <w:pStyle w:val="ListBullet3"/>
              <w:rPr>
                <w:lang w:val="en-NZ"/>
              </w:rPr>
            </w:pPr>
            <w:r w:rsidRPr="001A03BC">
              <w:t>pressure of time constraints to complete assignments.</w:t>
            </w:r>
          </w:p>
        </w:tc>
      </w:tr>
      <w:tr w:rsidTr="00ED4F73">
        <w:tblPrEx>
          <w:tblW w:w="0" w:type="auto"/>
          <w:tblLayout w:type="fixed"/>
          <w:tblCellMar>
            <w:left w:w="62" w:type="dxa"/>
            <w:right w:w="62" w:type="dxa"/>
          </w:tblCellMar>
          <w:tblLook w:val="0000"/>
        </w:tblPrEx>
        <w:tc>
          <w:tcPr>
            <w:tcW w:w="2531" w:type="dxa"/>
            <w:tcBorders>
              <w:top w:val="nil"/>
              <w:left w:val="nil"/>
              <w:bottom w:val="nil"/>
              <w:right w:val="nil"/>
            </w:tcBorders>
            <w:tcMar>
              <w:top w:w="0" w:type="dxa"/>
              <w:left w:w="62" w:type="dxa"/>
              <w:bottom w:w="0" w:type="dxa"/>
              <w:right w:w="62" w:type="dxa"/>
            </w:tcMar>
          </w:tcPr>
          <w:p w:rsidR="00000000" w:rsidP="001A03BC">
            <w:pPr>
              <w:pStyle w:val="BodyText"/>
              <w:rPr>
                <w:lang w:val="en-NZ"/>
              </w:rPr>
            </w:pPr>
            <w:r w:rsidRPr="001A03BC">
              <w:rPr>
                <w:rStyle w:val="BoldandItalics"/>
              </w:rPr>
              <w:t xml:space="preserve">Analyse </w:t>
            </w:r>
            <w:r w:rsidRPr="001A03BC">
              <w:t>may include:</w:t>
            </w:r>
          </w:p>
        </w:tc>
        <w:tc>
          <w:tcPr>
            <w:tcW w:w="5991" w:type="dxa"/>
            <w:gridSpan w:val="2"/>
            <w:tcBorders>
              <w:top w:val="nil"/>
              <w:left w:val="nil"/>
              <w:bottom w:val="nil"/>
              <w:right w:val="nil"/>
            </w:tcBorders>
            <w:tcMar>
              <w:top w:w="0" w:type="dxa"/>
              <w:left w:w="62" w:type="dxa"/>
              <w:bottom w:w="0" w:type="dxa"/>
              <w:right w:w="62" w:type="dxa"/>
            </w:tcMar>
          </w:tcPr>
          <w:p w:rsidR="00000000" w:rsidRPr="001A03BC" w:rsidP="001A03BC">
            <w:pPr>
              <w:pStyle w:val="ListBullet2"/>
            </w:pPr>
            <w:r w:rsidRPr="001A03BC">
              <w:t>sourcing precedents and relevant reference material, including:</w:t>
            </w:r>
          </w:p>
          <w:p w:rsidR="00000000" w:rsidRPr="001A03BC" w:rsidP="001A03BC">
            <w:pPr>
              <w:pStyle w:val="ListBullet3"/>
            </w:pPr>
            <w:r w:rsidRPr="001A03BC">
              <w:t>parallel texts</w:t>
            </w:r>
          </w:p>
          <w:p w:rsidR="00000000" w:rsidRPr="001A03BC" w:rsidP="001A03BC">
            <w:pPr>
              <w:pStyle w:val="ListBullet3"/>
            </w:pPr>
            <w:r w:rsidRPr="001A03BC">
              <w:t>client-provided glossaries</w:t>
            </w:r>
          </w:p>
          <w:p w:rsidR="00000000" w:rsidRPr="001A03BC" w:rsidP="001A03BC">
            <w:pPr>
              <w:pStyle w:val="ListBullet3"/>
            </w:pPr>
            <w:r w:rsidRPr="001A03BC">
              <w:t>existing texts in target language</w:t>
            </w:r>
          </w:p>
          <w:p w:rsidR="00000000" w:rsidRPr="001A03BC" w:rsidP="001A03BC">
            <w:pPr>
              <w:pStyle w:val="ListBullet3"/>
            </w:pPr>
            <w:r w:rsidRPr="001A03BC">
              <w:t>previous related practice and experience</w:t>
            </w:r>
          </w:p>
          <w:p w:rsidR="00000000" w:rsidRPr="001A03BC" w:rsidP="001A03BC">
            <w:pPr>
              <w:pStyle w:val="ListBullet2"/>
            </w:pPr>
            <w:r w:rsidRPr="001A03BC">
              <w:t>applying context-specific knowledge</w:t>
            </w:r>
          </w:p>
          <w:p w:rsidR="00000000" w:rsidRPr="001A03BC" w:rsidP="001A03BC">
            <w:pPr>
              <w:pStyle w:val="ListBullet2"/>
            </w:pPr>
            <w:r w:rsidRPr="001A03BC">
              <w:t>identifying:</w:t>
            </w:r>
          </w:p>
          <w:p w:rsidR="00000000" w:rsidRPr="001A03BC" w:rsidP="001A03BC">
            <w:pPr>
              <w:pStyle w:val="ListBullet3"/>
            </w:pPr>
            <w:r w:rsidRPr="001A03BC">
              <w:t>key concepts, words and terms</w:t>
            </w:r>
          </w:p>
          <w:p w:rsidR="00000000" w:rsidRPr="001A03BC" w:rsidP="001A03BC">
            <w:pPr>
              <w:pStyle w:val="ListBullet3"/>
            </w:pPr>
            <w:r w:rsidRPr="001A03BC">
              <w:t>culturally specific terms, expressions and ideas</w:t>
            </w:r>
          </w:p>
          <w:p w:rsidR="00000000" w:rsidRPr="001A03BC" w:rsidP="001A03BC">
            <w:pPr>
              <w:pStyle w:val="ListBullet3"/>
            </w:pPr>
            <w:r w:rsidRPr="001A03BC">
              <w:t>idiomatic words and expressions</w:t>
            </w:r>
          </w:p>
          <w:p w:rsidR="00000000" w:rsidRPr="001A03BC" w:rsidP="001A03BC">
            <w:pPr>
              <w:pStyle w:val="ListBullet3"/>
            </w:pPr>
            <w:r w:rsidRPr="001A03BC">
              <w:t>technical terms and jargon</w:t>
            </w:r>
          </w:p>
          <w:p w:rsidR="00000000" w:rsidRPr="001A03BC" w:rsidP="001A03BC">
            <w:pPr>
              <w:pStyle w:val="ListBullet3"/>
            </w:pPr>
            <w:r w:rsidRPr="001A03BC">
              <w:t>unknown terms and expressions</w:t>
            </w:r>
          </w:p>
          <w:p w:rsidR="00000000" w:rsidRPr="001A03BC" w:rsidP="001A03BC">
            <w:pPr>
              <w:pStyle w:val="ListBullet2"/>
            </w:pPr>
            <w:r w:rsidRPr="001A03BC">
              <w:t>undertaking linguistic analysis of source language, such as:</w:t>
            </w:r>
          </w:p>
          <w:p w:rsidR="00000000" w:rsidP="001A03BC">
            <w:pPr>
              <w:pStyle w:val="ListBullet3"/>
              <w:rPr>
                <w:lang w:val="en-NZ"/>
              </w:rPr>
            </w:pPr>
            <w:r w:rsidRPr="001A03BC">
              <w:t>semantic structure, e.g. cohesive markers and coherence of text.</w:t>
            </w:r>
          </w:p>
        </w:tc>
      </w:tr>
      <w:tr w:rsidTr="00ED4F73">
        <w:tblPrEx>
          <w:tblW w:w="0" w:type="auto"/>
          <w:tblLayout w:type="fixed"/>
          <w:tblCellMar>
            <w:left w:w="62" w:type="dxa"/>
            <w:right w:w="62" w:type="dxa"/>
          </w:tblCellMar>
          <w:tblLook w:val="0000"/>
        </w:tblPrEx>
        <w:tc>
          <w:tcPr>
            <w:tcW w:w="2531" w:type="dxa"/>
            <w:tcBorders>
              <w:top w:val="nil"/>
              <w:left w:val="nil"/>
              <w:bottom w:val="nil"/>
              <w:right w:val="nil"/>
            </w:tcBorders>
            <w:tcMar>
              <w:top w:w="0" w:type="dxa"/>
              <w:left w:w="62" w:type="dxa"/>
              <w:bottom w:w="0" w:type="dxa"/>
              <w:right w:w="62" w:type="dxa"/>
            </w:tcMar>
          </w:tcPr>
          <w:p w:rsidR="00000000" w:rsidP="001A03BC">
            <w:pPr>
              <w:pStyle w:val="BodyText"/>
              <w:rPr>
                <w:lang w:val="en-NZ"/>
              </w:rPr>
            </w:pPr>
            <w:r w:rsidRPr="001A03BC">
              <w:rPr>
                <w:rStyle w:val="BoldandItalics"/>
              </w:rPr>
              <w:t>Areas requiring further research</w:t>
            </w:r>
            <w:r w:rsidRPr="001A03BC">
              <w:t xml:space="preserve"> may include:</w:t>
            </w:r>
          </w:p>
        </w:tc>
        <w:tc>
          <w:tcPr>
            <w:tcW w:w="5991" w:type="dxa"/>
            <w:gridSpan w:val="2"/>
            <w:tcBorders>
              <w:top w:val="nil"/>
              <w:left w:val="nil"/>
              <w:bottom w:val="nil"/>
              <w:right w:val="nil"/>
            </w:tcBorders>
            <w:tcMar>
              <w:top w:w="0" w:type="dxa"/>
              <w:left w:w="62" w:type="dxa"/>
              <w:bottom w:w="0" w:type="dxa"/>
              <w:right w:w="62" w:type="dxa"/>
            </w:tcMar>
          </w:tcPr>
          <w:p w:rsidR="00000000" w:rsidRPr="001A03BC" w:rsidP="001A03BC">
            <w:pPr>
              <w:pStyle w:val="ListBullet2"/>
            </w:pPr>
            <w:r w:rsidRPr="001A03BC">
              <w:t>contextual information, including that related to specialist professional, educational and government systems</w:t>
            </w:r>
          </w:p>
          <w:p w:rsidR="00000000" w:rsidP="001A03BC">
            <w:pPr>
              <w:pStyle w:val="ListBullet2"/>
              <w:rPr>
                <w:lang w:val="en-NZ"/>
              </w:rPr>
            </w:pPr>
            <w:r w:rsidRPr="001A03BC">
              <w:t>particular and specialist subject knowledge.</w:t>
            </w:r>
          </w:p>
        </w:tc>
      </w:tr>
      <w:tr w:rsidTr="00ED4F73">
        <w:tblPrEx>
          <w:tblW w:w="0" w:type="auto"/>
          <w:tblLayout w:type="fixed"/>
          <w:tblCellMar>
            <w:left w:w="62" w:type="dxa"/>
            <w:right w:w="62" w:type="dxa"/>
          </w:tblCellMar>
          <w:tblLook w:val="0000"/>
        </w:tblPrEx>
        <w:tc>
          <w:tcPr>
            <w:tcW w:w="2531" w:type="dxa"/>
            <w:tcBorders>
              <w:top w:val="nil"/>
              <w:left w:val="nil"/>
              <w:bottom w:val="nil"/>
              <w:right w:val="nil"/>
            </w:tcBorders>
            <w:tcMar>
              <w:top w:w="0" w:type="dxa"/>
              <w:left w:w="62" w:type="dxa"/>
              <w:bottom w:w="0" w:type="dxa"/>
              <w:right w:w="62" w:type="dxa"/>
            </w:tcMar>
          </w:tcPr>
          <w:p w:rsidR="00000000" w:rsidP="001A03BC">
            <w:pPr>
              <w:pStyle w:val="BodyText"/>
              <w:rPr>
                <w:lang w:val="en-NZ"/>
              </w:rPr>
            </w:pPr>
            <w:r w:rsidRPr="001A03BC">
              <w:rPr>
                <w:rStyle w:val="BoldandItalics"/>
              </w:rPr>
              <w:t>Peer network</w:t>
            </w:r>
            <w:r w:rsidRPr="001A03BC">
              <w:t xml:space="preserve"> may include:</w:t>
            </w:r>
          </w:p>
        </w:tc>
        <w:tc>
          <w:tcPr>
            <w:tcW w:w="5991" w:type="dxa"/>
            <w:gridSpan w:val="2"/>
            <w:tcBorders>
              <w:top w:val="nil"/>
              <w:left w:val="nil"/>
              <w:bottom w:val="nil"/>
              <w:right w:val="nil"/>
            </w:tcBorders>
            <w:tcMar>
              <w:top w:w="0" w:type="dxa"/>
              <w:left w:w="62" w:type="dxa"/>
              <w:bottom w:w="0" w:type="dxa"/>
              <w:right w:w="62" w:type="dxa"/>
            </w:tcMar>
          </w:tcPr>
          <w:p w:rsidR="00000000" w:rsidRPr="001A03BC" w:rsidP="001A03BC">
            <w:pPr>
              <w:pStyle w:val="ListBullet2"/>
            </w:pPr>
            <w:r w:rsidRPr="001A03BC">
              <w:t>practitioners previously involved</w:t>
            </w:r>
          </w:p>
          <w:p w:rsidR="00000000" w:rsidRPr="001A03BC" w:rsidP="001A03BC">
            <w:pPr>
              <w:pStyle w:val="ListBullet2"/>
            </w:pPr>
            <w:r w:rsidRPr="001A03BC">
              <w:t>professional association networks</w:t>
            </w:r>
          </w:p>
          <w:p w:rsidR="00000000" w:rsidRPr="001A03BC" w:rsidP="001A03BC">
            <w:pPr>
              <w:pStyle w:val="ListBullet2"/>
            </w:pPr>
            <w:r w:rsidRPr="001A03BC">
              <w:t>specialist advisers and colleagues.</w:t>
            </w:r>
          </w:p>
        </w:tc>
      </w:tr>
    </w:tbl>
    <w:p w:rsidR="00ED4F73" w:rsidP="001A03BC">
      <w:pPr>
        <w:pStyle w:val="BodyText"/>
      </w:pPr>
    </w:p>
    <w:p w:rsidR="00ED4F73" w:rsidP="001A03BC">
      <w:pPr>
        <w:pStyle w:val="BodyText"/>
      </w:pPr>
    </w:p>
    <w:p w:rsidR="00000000" w:rsidRPr="001A03BC" w:rsidP="001A03BC">
      <w:pPr>
        <w:pStyle w:val="Heading1"/>
      </w:pPr>
      <w:bookmarkStart w:id="12" w:name="O_495474"/>
      <w:bookmarkEnd w:id="12"/>
      <w:r w:rsidRPr="001A03BC">
        <w:t>Unit Sector(s)</w:t>
      </w:r>
    </w:p>
    <w:p w:rsidR="00000000" w:rsidRPr="001A03BC" w:rsidP="001A03BC">
      <w:pPr>
        <w:pStyle w:val="BodyText"/>
      </w:pPr>
      <w:r w:rsidRPr="001A03BC">
        <w:t>Not applicable.</w:t>
      </w:r>
    </w:p>
    <w:p w:rsidR="00000000" w:rsidRPr="001A03BC" w:rsidP="001A03BC">
      <w:pPr>
        <w:pStyle w:val="AllowPageBreak"/>
      </w:pPr>
    </w:p>
    <w:p w:rsidR="00000000" w:rsidRPr="001A03BC" w:rsidP="001A03BC">
      <w:pPr>
        <w:pStyle w:val="Heading1"/>
      </w:pPr>
      <w:bookmarkStart w:id="13" w:name="O_495485"/>
      <w:bookmarkEnd w:id="13"/>
      <w:r w:rsidRPr="001A03BC">
        <w:t>Competency field</w:t>
      </w:r>
    </w:p>
    <w:p w:rsidR="00000000" w:rsidRPr="001A03BC" w:rsidP="001A03BC">
      <w:pPr>
        <w:pStyle w:val="BodyText"/>
      </w:pPr>
      <w:r w:rsidRPr="001A03BC">
        <w:t>Translating and Interpreting.</w:t>
      </w:r>
    </w:p>
    <w:p w:rsidR="00000000" w:rsidRPr="001A03BC" w:rsidP="001A03BC"/>
    <w:sectPr w:rsidSect="001A03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3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4F73" w:rsidP="00ED4F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3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F73" w:rsidP="001A03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D4F73" w:rsidP="001A03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D4F73" w:rsidP="001A03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3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3BC" w:rsidRPr="00ED4F73" w:rsidP="00ED4F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3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F73" w:rsidRPr="002D2AF8" w:rsidP="001A03BC">
    <w:pPr>
      <w:pStyle w:val="Header"/>
      <w:framePr w:wrap="around"/>
    </w:pPr>
    <w:r>
      <w:fldChar w:fldCharType="begin"/>
    </w:r>
    <w:r>
      <w:instrText xml:space="preserve"> TITLE   \* MERGEFORMAT </w:instrText>
    </w:r>
    <w:r>
      <w:fldChar w:fldCharType="separate"/>
    </w:r>
    <w:r>
      <w:t>PSPTIS502A Prepare to translate and interpret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ED4F73" w:rsidP="001A03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6CD1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6A0B4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3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03BC"/>
    <w:pPr>
      <w:spacing w:before="360" w:after="60"/>
      <w:outlineLvl w:val="0"/>
    </w:pPr>
    <w:rPr>
      <w:sz w:val="32"/>
    </w:rPr>
  </w:style>
  <w:style w:type="paragraph" w:styleId="Heading2">
    <w:name w:val="heading 2"/>
    <w:basedOn w:val="HeadingBase"/>
    <w:next w:val="BodyText"/>
    <w:link w:val="Heading2Char"/>
    <w:qFormat/>
    <w:rsid w:val="001A03BC"/>
    <w:pPr>
      <w:keepLines/>
      <w:spacing w:before="240" w:after="120"/>
      <w:outlineLvl w:val="1"/>
    </w:pPr>
    <w:rPr>
      <w:sz w:val="28"/>
      <w:szCs w:val="40"/>
    </w:rPr>
  </w:style>
  <w:style w:type="paragraph" w:styleId="Heading3">
    <w:name w:val="heading 3"/>
    <w:basedOn w:val="HeadingBase"/>
    <w:next w:val="BodyText"/>
    <w:link w:val="Heading3Char"/>
    <w:qFormat/>
    <w:rsid w:val="001A03BC"/>
    <w:pPr>
      <w:spacing w:before="180" w:after="120"/>
      <w:outlineLvl w:val="2"/>
    </w:pPr>
    <w:rPr>
      <w:spacing w:val="-10"/>
      <w:kern w:val="32"/>
    </w:rPr>
  </w:style>
  <w:style w:type="paragraph" w:styleId="Heading4">
    <w:name w:val="heading 4"/>
    <w:basedOn w:val="HeadingBase"/>
    <w:next w:val="BodyText"/>
    <w:link w:val="Heading4Char"/>
    <w:qFormat/>
    <w:rsid w:val="001A03BC"/>
    <w:pPr>
      <w:spacing w:before="160" w:after="120"/>
      <w:outlineLvl w:val="3"/>
    </w:pPr>
    <w:rPr>
      <w:sz w:val="22"/>
    </w:rPr>
  </w:style>
  <w:style w:type="paragraph" w:styleId="Heading5">
    <w:name w:val="heading 5"/>
    <w:basedOn w:val="HeadingBase"/>
    <w:next w:val="Normal"/>
    <w:link w:val="Heading5Char"/>
    <w:qFormat/>
    <w:rsid w:val="001A03BC"/>
    <w:pPr>
      <w:spacing w:before="80"/>
      <w:outlineLvl w:val="4"/>
    </w:pPr>
    <w:rPr>
      <w:color w:val="918585"/>
      <w:sz w:val="20"/>
    </w:rPr>
  </w:style>
  <w:style w:type="paragraph" w:styleId="Heading6">
    <w:name w:val="heading 6"/>
    <w:basedOn w:val="HeadingBase"/>
    <w:next w:val="Normal"/>
    <w:link w:val="Heading6Char"/>
    <w:qFormat/>
    <w:rsid w:val="001A03BC"/>
    <w:pPr>
      <w:spacing w:before="60"/>
      <w:outlineLvl w:val="5"/>
    </w:pPr>
    <w:rPr>
      <w:color w:val="918585"/>
      <w:sz w:val="20"/>
    </w:rPr>
  </w:style>
  <w:style w:type="paragraph" w:styleId="Heading7">
    <w:name w:val="heading 7"/>
    <w:basedOn w:val="Normal"/>
    <w:next w:val="Normal"/>
    <w:link w:val="Heading7Char"/>
    <w:qFormat/>
    <w:rsid w:val="001A03BC"/>
    <w:pPr>
      <w:ind w:left="720"/>
      <w:outlineLvl w:val="6"/>
    </w:pPr>
    <w:rPr>
      <w:i/>
    </w:rPr>
  </w:style>
  <w:style w:type="paragraph" w:styleId="Heading8">
    <w:name w:val="heading 8"/>
    <w:basedOn w:val="Normal"/>
    <w:next w:val="Normal"/>
    <w:link w:val="Heading8Char"/>
    <w:qFormat/>
    <w:rsid w:val="001A03BC"/>
    <w:pPr>
      <w:ind w:left="720"/>
      <w:outlineLvl w:val="7"/>
    </w:pPr>
    <w:rPr>
      <w:i/>
    </w:rPr>
  </w:style>
  <w:style w:type="paragraph" w:styleId="Heading9">
    <w:name w:val="heading 9"/>
    <w:basedOn w:val="Normal"/>
    <w:next w:val="Normal"/>
    <w:link w:val="Heading9Char"/>
    <w:qFormat/>
    <w:rsid w:val="001A03BC"/>
    <w:pPr>
      <w:ind w:left="720"/>
      <w:outlineLvl w:val="8"/>
    </w:pPr>
    <w:rPr>
      <w:i/>
    </w:rPr>
  </w:style>
  <w:style w:type="character" w:default="1" w:styleId="DefaultParagraphFont">
    <w:name w:val="Default Paragraph Font"/>
    <w:uiPriority w:val="1"/>
    <w:unhideWhenUsed/>
    <w:rsid w:val="001A03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03BC"/>
  </w:style>
  <w:style w:type="character" w:customStyle="1" w:styleId="Heading1Char">
    <w:name w:val="Heading 1 Char"/>
    <w:basedOn w:val="DefaultParagraphFont"/>
    <w:link w:val="Heading1"/>
    <w:rsid w:val="001A03BC"/>
    <w:rPr>
      <w:rFonts w:ascii="Times New Roman" w:eastAsia="Times New Roman" w:hAnsi="Times New Roman" w:cs="Times New Roman"/>
      <w:b/>
      <w:sz w:val="32"/>
      <w:szCs w:val="20"/>
      <w:lang w:eastAsia="en-US"/>
    </w:rPr>
  </w:style>
  <w:style w:type="paragraph" w:styleId="BodyText">
    <w:name w:val="Body Text"/>
    <w:basedOn w:val="Normal"/>
    <w:link w:val="BodyTextChar"/>
    <w:rsid w:val="001A03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03BC"/>
    <w:rPr>
      <w:rFonts w:ascii="Times New Roman" w:eastAsia="Times New Roman" w:hAnsi="Times New Roman" w:cs="Times New Roman"/>
      <w:sz w:val="24"/>
      <w:lang w:eastAsia="en-US"/>
    </w:rPr>
  </w:style>
  <w:style w:type="paragraph" w:styleId="Footer">
    <w:name w:val="footer"/>
    <w:basedOn w:val="Normal"/>
    <w:link w:val="FooterChar"/>
    <w:rsid w:val="001A03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03BC"/>
    <w:rPr>
      <w:rFonts w:ascii="Times New Roman" w:eastAsia="Times New Roman" w:hAnsi="Times New Roman" w:cs="Times New Roman"/>
      <w:sz w:val="16"/>
      <w:lang w:eastAsia="en-US"/>
    </w:rPr>
  </w:style>
  <w:style w:type="paragraph" w:styleId="List">
    <w:name w:val="List"/>
    <w:basedOn w:val="BodyText"/>
    <w:next w:val="BodyText"/>
    <w:rsid w:val="001A03BC"/>
    <w:pPr>
      <w:tabs>
        <w:tab w:val="left" w:pos="340"/>
      </w:tabs>
      <w:spacing w:before="60" w:after="60"/>
      <w:ind w:left="340" w:hanging="340"/>
    </w:pPr>
  </w:style>
  <w:style w:type="character" w:customStyle="1" w:styleId="SpecialBold">
    <w:name w:val="Special Bold"/>
    <w:basedOn w:val="DefaultParagraphFont"/>
    <w:rsid w:val="001A03BC"/>
    <w:rPr>
      <w:b/>
      <w:spacing w:val="0"/>
    </w:rPr>
  </w:style>
  <w:style w:type="paragraph" w:styleId="ListBullet2">
    <w:name w:val="List Bullet 2"/>
    <w:basedOn w:val="List2"/>
    <w:rsid w:val="001A03BC"/>
    <w:pPr>
      <w:numPr>
        <w:numId w:val="14"/>
      </w:numPr>
      <w:tabs>
        <w:tab w:val="clear" w:pos="680"/>
      </w:tabs>
    </w:pPr>
  </w:style>
  <w:style w:type="paragraph" w:customStyle="1" w:styleId="SuperHeading">
    <w:name w:val="SuperHeading"/>
    <w:basedOn w:val="Normal"/>
    <w:rsid w:val="001A03BC"/>
    <w:pPr>
      <w:spacing w:before="240" w:after="120"/>
      <w:outlineLvl w:val="0"/>
    </w:pPr>
    <w:rPr>
      <w:rFonts w:ascii="Times New Roman" w:hAnsi="Times New Roman"/>
      <w:b/>
      <w:sz w:val="28"/>
    </w:rPr>
  </w:style>
  <w:style w:type="paragraph" w:customStyle="1" w:styleId="AllowPageBreak">
    <w:name w:val="AllowPageBreak"/>
    <w:rsid w:val="001A03B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A03BC"/>
    <w:pPr>
      <w:numPr>
        <w:numId w:val="2"/>
      </w:numPr>
      <w:tabs>
        <w:tab w:val="clear" w:pos="1021"/>
      </w:tabs>
      <w:ind w:left="1037" w:hanging="357"/>
    </w:pPr>
  </w:style>
  <w:style w:type="character" w:customStyle="1" w:styleId="BoldandItalics">
    <w:name w:val="Bold and Italics"/>
    <w:qFormat/>
    <w:rsid w:val="001A03BC"/>
    <w:rPr>
      <w:b/>
      <w:i/>
      <w:u w:val="none"/>
    </w:rPr>
  </w:style>
  <w:style w:type="character" w:customStyle="1" w:styleId="Heading2Char">
    <w:name w:val="Heading 2 Char"/>
    <w:basedOn w:val="DefaultParagraphFont"/>
    <w:link w:val="Heading2"/>
    <w:rsid w:val="001A03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03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03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03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03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03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03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03BC"/>
    <w:rPr>
      <w:rFonts w:ascii="Courier New" w:eastAsia="Times New Roman" w:hAnsi="Courier New" w:cs="Times New Roman"/>
      <w:i/>
      <w:szCs w:val="20"/>
      <w:lang w:eastAsia="en-US"/>
    </w:rPr>
  </w:style>
  <w:style w:type="paragraph" w:customStyle="1" w:styleId="HeadingBase">
    <w:name w:val="Heading Base"/>
    <w:rsid w:val="001A03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03BC"/>
    <w:pPr>
      <w:tabs>
        <w:tab w:val="right" w:leader="dot" w:pos="9072"/>
      </w:tabs>
      <w:ind w:left="567"/>
    </w:pPr>
    <w:rPr>
      <w:szCs w:val="22"/>
    </w:rPr>
  </w:style>
  <w:style w:type="paragraph" w:customStyle="1" w:styleId="TOCBase">
    <w:name w:val="TOC Base"/>
    <w:rsid w:val="001A03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03BC"/>
    <w:pPr>
      <w:tabs>
        <w:tab w:val="right" w:leader="dot" w:pos="9072"/>
      </w:tabs>
      <w:spacing w:before="40" w:after="40"/>
      <w:ind w:left="284"/>
    </w:pPr>
    <w:rPr>
      <w:rFonts w:ascii="Times New Roman" w:hAnsi="Times New Roman"/>
    </w:rPr>
  </w:style>
  <w:style w:type="paragraph" w:styleId="TOC1">
    <w:name w:val="toc 1"/>
    <w:basedOn w:val="TOCBase"/>
    <w:next w:val="Normal"/>
    <w:rsid w:val="001A03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03BC"/>
    <w:pPr>
      <w:spacing w:before="5040"/>
      <w:jc w:val="center"/>
    </w:pPr>
    <w:rPr>
      <w:sz w:val="48"/>
      <w:szCs w:val="72"/>
      <w:lang w:val="en-US"/>
    </w:rPr>
  </w:style>
  <w:style w:type="character" w:customStyle="1" w:styleId="TitleChar">
    <w:name w:val="Title Char"/>
    <w:basedOn w:val="DefaultParagraphFont"/>
    <w:link w:val="Title"/>
    <w:rsid w:val="001A03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03BC"/>
    <w:pPr>
      <w:tabs>
        <w:tab w:val="left" w:pos="3600"/>
        <w:tab w:val="left" w:pos="3958"/>
      </w:tabs>
    </w:pPr>
  </w:style>
  <w:style w:type="paragraph" w:styleId="ListBullet">
    <w:name w:val="List Bullet"/>
    <w:basedOn w:val="List"/>
    <w:rsid w:val="001A03BC"/>
    <w:pPr>
      <w:numPr>
        <w:numId w:val="13"/>
      </w:numPr>
      <w:tabs>
        <w:tab w:val="clear" w:pos="340"/>
      </w:tabs>
      <w:spacing w:before="40" w:after="40"/>
    </w:pPr>
  </w:style>
  <w:style w:type="paragraph" w:customStyle="1" w:styleId="Note">
    <w:name w:val="Note"/>
    <w:basedOn w:val="BodyText"/>
    <w:rsid w:val="001A03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03BC"/>
    <w:pPr>
      <w:framePr w:wrap="auto" w:hAnchor="text" w:y="6049"/>
    </w:pPr>
    <w:rPr>
      <w:color w:val="000000"/>
      <w:sz w:val="40"/>
    </w:rPr>
  </w:style>
  <w:style w:type="paragraph" w:customStyle="1" w:styleId="TOCTitle">
    <w:name w:val="TOCTitle"/>
    <w:basedOn w:val="Heading1"/>
    <w:rsid w:val="001A03BC"/>
    <w:pPr>
      <w:spacing w:after="240"/>
      <w:jc w:val="center"/>
      <w:outlineLvl w:val="9"/>
    </w:pPr>
    <w:rPr>
      <w:caps/>
    </w:rPr>
  </w:style>
  <w:style w:type="paragraph" w:customStyle="1" w:styleId="Version">
    <w:name w:val="Version"/>
    <w:rsid w:val="001A03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03BC"/>
    <w:pPr>
      <w:keepNext w:val="0"/>
      <w:tabs>
        <w:tab w:val="right" w:pos="4176"/>
      </w:tabs>
      <w:ind w:left="198" w:hanging="198"/>
    </w:pPr>
    <w:rPr>
      <w:rFonts w:ascii="Garamond" w:hAnsi="Garamond"/>
    </w:rPr>
  </w:style>
  <w:style w:type="paragraph" w:styleId="IndexHeading">
    <w:name w:val="index heading"/>
    <w:basedOn w:val="Normal"/>
    <w:next w:val="Index1"/>
    <w:semiHidden/>
    <w:rsid w:val="001A03BC"/>
    <w:pPr>
      <w:spacing w:before="120" w:after="120"/>
    </w:pPr>
    <w:rPr>
      <w:rFonts w:ascii="Arial" w:hAnsi="Arial"/>
      <w:b/>
      <w:color w:val="918585"/>
      <w:sz w:val="24"/>
    </w:rPr>
  </w:style>
  <w:style w:type="paragraph" w:styleId="Header">
    <w:name w:val="header"/>
    <w:basedOn w:val="Normal"/>
    <w:link w:val="HeaderChar"/>
    <w:rsid w:val="001A03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03BC"/>
    <w:rPr>
      <w:rFonts w:ascii="Times New Roman" w:eastAsia="Times New Roman" w:hAnsi="Times New Roman" w:cs="Times New Roman"/>
      <w:sz w:val="16"/>
      <w:szCs w:val="20"/>
      <w:lang w:val="en-GB" w:eastAsia="en-US"/>
    </w:rPr>
  </w:style>
  <w:style w:type="paragraph" w:customStyle="1" w:styleId="Chapter">
    <w:name w:val="Chapter"/>
    <w:basedOn w:val="Normal"/>
    <w:rsid w:val="001A03BC"/>
    <w:pPr>
      <w:spacing w:before="240"/>
    </w:pPr>
    <w:rPr>
      <w:rFonts w:ascii="Times New Roman" w:hAnsi="Times New Roman"/>
      <w:smallCaps/>
      <w:spacing w:val="80"/>
      <w:sz w:val="28"/>
    </w:rPr>
  </w:style>
  <w:style w:type="paragraph" w:customStyle="1" w:styleId="InChapter">
    <w:name w:val="InChapter"/>
    <w:basedOn w:val="Heading3"/>
    <w:rsid w:val="001A03BC"/>
    <w:pPr>
      <w:spacing w:after="240"/>
      <w:outlineLvl w:val="9"/>
    </w:pPr>
    <w:rPr>
      <w:noProof/>
    </w:rPr>
  </w:style>
  <w:style w:type="paragraph" w:styleId="Index2">
    <w:name w:val="index 2"/>
    <w:basedOn w:val="Normal"/>
    <w:next w:val="Normal"/>
    <w:semiHidden/>
    <w:rsid w:val="001A03BC"/>
    <w:pPr>
      <w:tabs>
        <w:tab w:val="right" w:pos="4176"/>
      </w:tabs>
      <w:ind w:left="568" w:hanging="284"/>
    </w:pPr>
    <w:rPr>
      <w:rFonts w:ascii="Garamond" w:hAnsi="Garamond"/>
    </w:rPr>
  </w:style>
  <w:style w:type="paragraph" w:customStyle="1" w:styleId="Byline">
    <w:name w:val="Byline"/>
    <w:rsid w:val="001A03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03BC"/>
    <w:pPr>
      <w:tabs>
        <w:tab w:val="clear" w:pos="3600"/>
        <w:tab w:val="clear" w:pos="3958"/>
      </w:tabs>
      <w:jc w:val="right"/>
    </w:pPr>
  </w:style>
  <w:style w:type="character" w:styleId="Emphasis">
    <w:name w:val="Emphasis"/>
    <w:basedOn w:val="DefaultParagraphFont"/>
    <w:qFormat/>
    <w:rsid w:val="001A03BC"/>
    <w:rPr>
      <w:i/>
    </w:rPr>
  </w:style>
  <w:style w:type="paragraph" w:styleId="Caption">
    <w:name w:val="caption"/>
    <w:basedOn w:val="BodyText"/>
    <w:next w:val="Normal"/>
    <w:qFormat/>
    <w:rsid w:val="001A03BC"/>
    <w:pPr>
      <w:framePr w:w="2268" w:hSpace="181" w:vSpace="181" w:wrap="around" w:vAnchor="text" w:hAnchor="page" w:x="1135" w:y="285" w:anchorLock="1"/>
    </w:pPr>
    <w:rPr>
      <w:i/>
    </w:rPr>
  </w:style>
  <w:style w:type="paragraph" w:customStyle="1" w:styleId="MiniTOCTitle">
    <w:name w:val="MiniTOCTitle"/>
    <w:basedOn w:val="Heading4"/>
    <w:rsid w:val="001A03BC"/>
    <w:pPr>
      <w:spacing w:before="240"/>
      <w:outlineLvl w:val="9"/>
    </w:pPr>
    <w:rPr>
      <w:noProof/>
      <w:sz w:val="24"/>
    </w:rPr>
  </w:style>
  <w:style w:type="paragraph" w:customStyle="1" w:styleId="MiniTOCItem">
    <w:name w:val="MiniTOCItem"/>
    <w:basedOn w:val="ListBullet"/>
    <w:rsid w:val="001A03BC"/>
    <w:pPr>
      <w:numPr>
        <w:numId w:val="0"/>
      </w:numPr>
      <w:tabs>
        <w:tab w:val="right" w:leader="dot" w:pos="6521"/>
      </w:tabs>
      <w:spacing w:before="0" w:after="0"/>
    </w:pPr>
  </w:style>
  <w:style w:type="paragraph" w:customStyle="1" w:styleId="TOFTitle">
    <w:name w:val="TOFTitle"/>
    <w:basedOn w:val="TOCTitle"/>
    <w:rsid w:val="001A03BC"/>
  </w:style>
  <w:style w:type="paragraph" w:styleId="TableofFigures">
    <w:name w:val="table of figures"/>
    <w:basedOn w:val="Normal"/>
    <w:next w:val="Normal"/>
    <w:semiHidden/>
    <w:rsid w:val="001A03BC"/>
    <w:pPr>
      <w:tabs>
        <w:tab w:val="right" w:leader="dot" w:pos="9072"/>
      </w:tabs>
      <w:ind w:left="970" w:hanging="403"/>
    </w:pPr>
    <w:rPr>
      <w:rFonts w:ascii="Times New Roman" w:hAnsi="Times New Roman"/>
      <w:b/>
    </w:rPr>
  </w:style>
  <w:style w:type="paragraph" w:styleId="ListNumber">
    <w:name w:val="List Number"/>
    <w:basedOn w:val="List"/>
    <w:rsid w:val="001A03BC"/>
    <w:pPr>
      <w:numPr>
        <w:numId w:val="11"/>
      </w:numPr>
    </w:pPr>
  </w:style>
  <w:style w:type="character" w:customStyle="1" w:styleId="WingdingSymbols">
    <w:name w:val="Wingding Symbols"/>
    <w:rsid w:val="001A03BC"/>
    <w:rPr>
      <w:rFonts w:ascii="Wingdings" w:hAnsi="Wingdings"/>
    </w:rPr>
  </w:style>
  <w:style w:type="paragraph" w:customStyle="1" w:styleId="TableHeading">
    <w:name w:val="Table Heading"/>
    <w:basedOn w:val="HeadingBase"/>
    <w:rsid w:val="001A03BC"/>
    <w:pPr>
      <w:keepLines/>
      <w:pBdr>
        <w:bottom w:val="single" w:sz="6" w:space="1" w:color="918585"/>
      </w:pBdr>
      <w:spacing w:before="240"/>
    </w:pPr>
  </w:style>
  <w:style w:type="character" w:customStyle="1" w:styleId="HotSpot">
    <w:name w:val="HotSpot"/>
    <w:rsid w:val="001A03BC"/>
    <w:rPr>
      <w:color w:val="0033CC"/>
      <w:u w:val="none"/>
    </w:rPr>
  </w:style>
  <w:style w:type="paragraph" w:customStyle="1" w:styleId="BodyTextRight">
    <w:name w:val="Body Text Right"/>
    <w:basedOn w:val="BodyText"/>
    <w:rsid w:val="001A03BC"/>
    <w:pPr>
      <w:spacing w:before="0" w:after="0"/>
      <w:jc w:val="right"/>
    </w:pPr>
  </w:style>
  <w:style w:type="paragraph" w:styleId="Index3">
    <w:name w:val="index 3"/>
    <w:basedOn w:val="ListNumber2"/>
    <w:next w:val="Normal"/>
    <w:semiHidden/>
    <w:rsid w:val="001A03BC"/>
    <w:pPr>
      <w:numPr>
        <w:numId w:val="0"/>
      </w:numPr>
      <w:tabs>
        <w:tab w:val="right" w:leader="dot" w:pos="4176"/>
      </w:tabs>
    </w:pPr>
  </w:style>
  <w:style w:type="paragraph" w:styleId="ListNumber2">
    <w:name w:val="List Number 2"/>
    <w:basedOn w:val="List2"/>
    <w:rsid w:val="001A03BC"/>
    <w:pPr>
      <w:numPr>
        <w:numId w:val="10"/>
      </w:numPr>
      <w:tabs>
        <w:tab w:val="clear" w:pos="1060"/>
      </w:tabs>
    </w:pPr>
  </w:style>
  <w:style w:type="paragraph" w:customStyle="1" w:styleId="MarginNote">
    <w:name w:val="Margin Note"/>
    <w:basedOn w:val="BodyText"/>
    <w:rsid w:val="001A03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03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03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03BC"/>
    <w:rPr>
      <w:sz w:val="32"/>
    </w:rPr>
  </w:style>
  <w:style w:type="paragraph" w:customStyle="1" w:styleId="HeadingProcedure">
    <w:name w:val="Heading Procedure"/>
    <w:basedOn w:val="HeadingBase"/>
    <w:next w:val="Normal"/>
    <w:rsid w:val="001A03BC"/>
    <w:pPr>
      <w:tabs>
        <w:tab w:val="left" w:pos="0"/>
      </w:tabs>
      <w:spacing w:before="120" w:after="60"/>
    </w:pPr>
    <w:rPr>
      <w:i/>
      <w:color w:val="918585"/>
      <w:sz w:val="22"/>
    </w:rPr>
  </w:style>
  <w:style w:type="paragraph" w:customStyle="1" w:styleId="TableBodyText">
    <w:name w:val="Table Body Text"/>
    <w:basedOn w:val="BodyText"/>
    <w:rsid w:val="001A03BC"/>
    <w:pPr>
      <w:spacing w:before="60" w:after="60"/>
    </w:pPr>
  </w:style>
  <w:style w:type="paragraph" w:styleId="ListContinue">
    <w:name w:val="List Continue"/>
    <w:basedOn w:val="List"/>
    <w:rsid w:val="001A03BC"/>
    <w:pPr>
      <w:ind w:firstLine="0"/>
    </w:pPr>
  </w:style>
  <w:style w:type="paragraph" w:customStyle="1" w:styleId="ListNote">
    <w:name w:val="List Note"/>
    <w:basedOn w:val="List"/>
    <w:rsid w:val="001A03BC"/>
    <w:pPr>
      <w:pBdr>
        <w:top w:val="single" w:sz="6" w:space="2" w:color="918585"/>
        <w:bottom w:val="single" w:sz="6" w:space="2" w:color="918585"/>
      </w:pBdr>
      <w:tabs>
        <w:tab w:val="left" w:pos="1021"/>
      </w:tabs>
      <w:ind w:firstLine="0"/>
    </w:pPr>
  </w:style>
  <w:style w:type="paragraph" w:customStyle="1" w:styleId="Warning">
    <w:name w:val="Warning"/>
    <w:basedOn w:val="BodyText"/>
    <w:rsid w:val="001A03BC"/>
    <w:pPr>
      <w:shd w:val="clear" w:color="auto" w:fill="D9D9D9"/>
      <w:tabs>
        <w:tab w:val="left" w:pos="992"/>
      </w:tabs>
      <w:ind w:left="119" w:right="119"/>
    </w:pPr>
    <w:rPr>
      <w:sz w:val="20"/>
    </w:rPr>
  </w:style>
  <w:style w:type="paragraph" w:customStyle="1" w:styleId="MarginIcons">
    <w:name w:val="Margin Icons"/>
    <w:basedOn w:val="BodyText"/>
    <w:rsid w:val="001A03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03BC"/>
    <w:rPr>
      <w:rFonts w:ascii="Courier New" w:hAnsi="Courier New"/>
    </w:rPr>
  </w:style>
  <w:style w:type="paragraph" w:customStyle="1" w:styleId="NoteBullet">
    <w:name w:val="Note Bullet"/>
    <w:basedOn w:val="Note"/>
    <w:rsid w:val="001A03BC"/>
    <w:pPr>
      <w:tabs>
        <w:tab w:val="clear" w:pos="680"/>
      </w:tabs>
      <w:spacing w:before="60" w:after="60"/>
    </w:pPr>
  </w:style>
  <w:style w:type="paragraph" w:customStyle="1" w:styleId="SubHeading2">
    <w:name w:val="SubHeading2"/>
    <w:basedOn w:val="HeadingBase"/>
    <w:rsid w:val="001A03BC"/>
    <w:pPr>
      <w:spacing w:before="240" w:after="60"/>
    </w:pPr>
    <w:rPr>
      <w:sz w:val="20"/>
    </w:rPr>
  </w:style>
  <w:style w:type="paragraph" w:customStyle="1" w:styleId="SubHeading1">
    <w:name w:val="SubHeading1"/>
    <w:basedOn w:val="HeadingBase"/>
    <w:rsid w:val="001A03BC"/>
    <w:pPr>
      <w:spacing w:before="240" w:after="60"/>
    </w:pPr>
    <w:rPr>
      <w:color w:val="918585"/>
      <w:sz w:val="22"/>
    </w:rPr>
  </w:style>
  <w:style w:type="paragraph" w:customStyle="1" w:styleId="SideHeading">
    <w:name w:val="Side Heading"/>
    <w:basedOn w:val="HeadingBase"/>
    <w:rsid w:val="001A03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03BC"/>
    <w:pPr>
      <w:numPr>
        <w:numId w:val="12"/>
      </w:numPr>
    </w:pPr>
  </w:style>
  <w:style w:type="paragraph" w:styleId="PlainText">
    <w:name w:val="Plain Text"/>
    <w:basedOn w:val="Normal"/>
    <w:link w:val="PlainTextChar"/>
    <w:rsid w:val="001A03BC"/>
    <w:rPr>
      <w:sz w:val="20"/>
    </w:rPr>
  </w:style>
  <w:style w:type="character" w:customStyle="1" w:styleId="PlainTextChar">
    <w:name w:val="Plain Text Char"/>
    <w:basedOn w:val="DefaultParagraphFont"/>
    <w:link w:val="PlainText"/>
    <w:rsid w:val="001A03BC"/>
    <w:rPr>
      <w:rFonts w:ascii="Courier New" w:eastAsia="Times New Roman" w:hAnsi="Courier New" w:cs="Times New Roman"/>
      <w:sz w:val="20"/>
      <w:szCs w:val="20"/>
      <w:lang w:eastAsia="en-US"/>
    </w:rPr>
  </w:style>
  <w:style w:type="character" w:customStyle="1" w:styleId="MenuOption">
    <w:name w:val="Menu Option"/>
    <w:basedOn w:val="DefaultParagraphFont"/>
    <w:rsid w:val="001A03BC"/>
    <w:rPr>
      <w:b/>
      <w:smallCaps/>
    </w:rPr>
  </w:style>
  <w:style w:type="paragraph" w:customStyle="1" w:styleId="TableListNumber">
    <w:name w:val="Table List Number"/>
    <w:basedOn w:val="ListNumber"/>
    <w:rsid w:val="001A03BC"/>
    <w:pPr>
      <w:numPr>
        <w:numId w:val="0"/>
      </w:numPr>
    </w:pPr>
  </w:style>
  <w:style w:type="paragraph" w:styleId="TOC4">
    <w:name w:val="toc 4"/>
    <w:basedOn w:val="TOCBase"/>
    <w:next w:val="Normal"/>
    <w:semiHidden/>
    <w:rsid w:val="001A03BC"/>
    <w:pPr>
      <w:tabs>
        <w:tab w:val="right" w:leader="dot" w:pos="9071"/>
      </w:tabs>
      <w:ind w:left="1701"/>
    </w:pPr>
  </w:style>
  <w:style w:type="paragraph" w:customStyle="1" w:styleId="ListAlpha">
    <w:name w:val="List Alpha"/>
    <w:basedOn w:val="List"/>
    <w:rsid w:val="001A03BC"/>
    <w:pPr>
      <w:numPr>
        <w:numId w:val="9"/>
      </w:numPr>
    </w:pPr>
  </w:style>
  <w:style w:type="paragraph" w:customStyle="1" w:styleId="ListAlpha2">
    <w:name w:val="List Alpha 2"/>
    <w:basedOn w:val="List2"/>
    <w:rsid w:val="001A03BC"/>
    <w:pPr>
      <w:numPr>
        <w:numId w:val="8"/>
      </w:numPr>
    </w:pPr>
  </w:style>
  <w:style w:type="paragraph" w:styleId="List2">
    <w:name w:val="List 2"/>
    <w:basedOn w:val="BodyText"/>
    <w:rsid w:val="001A03BC"/>
    <w:pPr>
      <w:tabs>
        <w:tab w:val="left" w:pos="680"/>
      </w:tabs>
      <w:spacing w:before="60" w:after="60"/>
      <w:ind w:left="680" w:hanging="340"/>
    </w:pPr>
  </w:style>
  <w:style w:type="paragraph" w:styleId="List3">
    <w:name w:val="List 3"/>
    <w:basedOn w:val="BodyText"/>
    <w:rsid w:val="001A03BC"/>
    <w:pPr>
      <w:tabs>
        <w:tab w:val="left" w:pos="1021"/>
      </w:tabs>
      <w:spacing w:before="60" w:after="60"/>
      <w:ind w:left="1020" w:hanging="340"/>
    </w:pPr>
  </w:style>
  <w:style w:type="paragraph" w:styleId="List4">
    <w:name w:val="List 4"/>
    <w:basedOn w:val="BodyText"/>
    <w:rsid w:val="001A03BC"/>
    <w:pPr>
      <w:tabs>
        <w:tab w:val="left" w:pos="1361"/>
      </w:tabs>
      <w:spacing w:before="60" w:after="60"/>
      <w:ind w:left="1361" w:hanging="340"/>
    </w:pPr>
  </w:style>
  <w:style w:type="paragraph" w:styleId="List5">
    <w:name w:val="List 5"/>
    <w:basedOn w:val="BodyText"/>
    <w:rsid w:val="001A03BC"/>
    <w:pPr>
      <w:tabs>
        <w:tab w:val="left" w:pos="1701"/>
      </w:tabs>
      <w:spacing w:before="60" w:after="60"/>
      <w:ind w:left="1701" w:hanging="340"/>
    </w:pPr>
  </w:style>
  <w:style w:type="paragraph" w:styleId="ListBullet4">
    <w:name w:val="List Bullet 4"/>
    <w:basedOn w:val="List4"/>
    <w:rsid w:val="001A03BC"/>
    <w:pPr>
      <w:numPr>
        <w:numId w:val="3"/>
      </w:numPr>
    </w:pPr>
  </w:style>
  <w:style w:type="paragraph" w:styleId="ListBullet5">
    <w:name w:val="List Bullet 5"/>
    <w:basedOn w:val="List5"/>
    <w:rsid w:val="001A03BC"/>
    <w:pPr>
      <w:numPr>
        <w:numId w:val="4"/>
      </w:numPr>
    </w:pPr>
  </w:style>
  <w:style w:type="paragraph" w:styleId="ListContinue2">
    <w:name w:val="List Continue 2"/>
    <w:basedOn w:val="List2"/>
    <w:rsid w:val="001A03BC"/>
    <w:pPr>
      <w:ind w:firstLine="0"/>
    </w:pPr>
  </w:style>
  <w:style w:type="paragraph" w:styleId="ListContinue3">
    <w:name w:val="List Continue 3"/>
    <w:basedOn w:val="List3"/>
    <w:rsid w:val="001A03BC"/>
    <w:pPr>
      <w:ind w:left="1021" w:firstLine="0"/>
    </w:pPr>
  </w:style>
  <w:style w:type="paragraph" w:styleId="ListContinue4">
    <w:name w:val="List Continue 4"/>
    <w:basedOn w:val="List4"/>
    <w:rsid w:val="001A03BC"/>
    <w:pPr>
      <w:ind w:firstLine="0"/>
    </w:pPr>
  </w:style>
  <w:style w:type="paragraph" w:styleId="ListContinue5">
    <w:name w:val="List Continue 5"/>
    <w:basedOn w:val="List5"/>
    <w:rsid w:val="001A03BC"/>
    <w:pPr>
      <w:ind w:firstLine="0"/>
    </w:pPr>
  </w:style>
  <w:style w:type="paragraph" w:styleId="ListNumber3">
    <w:name w:val="List Number 3"/>
    <w:basedOn w:val="List3"/>
    <w:rsid w:val="001A03BC"/>
    <w:pPr>
      <w:numPr>
        <w:numId w:val="5"/>
      </w:numPr>
    </w:pPr>
  </w:style>
  <w:style w:type="paragraph" w:styleId="ListNumber4">
    <w:name w:val="List Number 4"/>
    <w:basedOn w:val="List4"/>
    <w:rsid w:val="001A03BC"/>
    <w:pPr>
      <w:numPr>
        <w:numId w:val="6"/>
      </w:numPr>
    </w:pPr>
  </w:style>
  <w:style w:type="paragraph" w:styleId="ListNumber5">
    <w:name w:val="List Number 5"/>
    <w:basedOn w:val="List5"/>
    <w:rsid w:val="001A03BC"/>
    <w:pPr>
      <w:numPr>
        <w:numId w:val="7"/>
      </w:numPr>
    </w:pPr>
  </w:style>
  <w:style w:type="paragraph" w:styleId="BlockText">
    <w:name w:val="Block Text"/>
    <w:basedOn w:val="Normal"/>
    <w:rsid w:val="001A03BC"/>
    <w:pPr>
      <w:spacing w:after="120"/>
      <w:ind w:left="1440" w:right="1440"/>
    </w:pPr>
  </w:style>
  <w:style w:type="character" w:customStyle="1" w:styleId="Subscript">
    <w:name w:val="Subscript"/>
    <w:basedOn w:val="DefaultParagraphFont"/>
    <w:rsid w:val="001A03BC"/>
    <w:rPr>
      <w:sz w:val="16"/>
      <w:vertAlign w:val="subscript"/>
    </w:rPr>
  </w:style>
  <w:style w:type="character" w:customStyle="1" w:styleId="Superscript">
    <w:name w:val="Superscript"/>
    <w:basedOn w:val="DefaultParagraphFont"/>
    <w:rsid w:val="001A03BC"/>
    <w:rPr>
      <w:sz w:val="16"/>
      <w:vertAlign w:val="superscript"/>
    </w:rPr>
  </w:style>
  <w:style w:type="character" w:customStyle="1" w:styleId="Symbols">
    <w:name w:val="Symbols"/>
    <w:basedOn w:val="DefaultParagraphFont"/>
    <w:rsid w:val="001A03BC"/>
    <w:rPr>
      <w:rFonts w:ascii="Symbol" w:hAnsi="Symbol"/>
    </w:rPr>
  </w:style>
  <w:style w:type="character" w:customStyle="1" w:styleId="MenuOptions">
    <w:name w:val="Menu Options"/>
    <w:basedOn w:val="DefaultParagraphFont"/>
    <w:rsid w:val="001A03BC"/>
    <w:rPr>
      <w:rFonts w:ascii="Arial Narrow" w:hAnsi="Arial Narrow"/>
      <w:smallCaps/>
    </w:rPr>
  </w:style>
  <w:style w:type="character" w:customStyle="1" w:styleId="Buttons">
    <w:name w:val="Buttons"/>
    <w:basedOn w:val="DefaultParagraphFont"/>
    <w:rsid w:val="001A03BC"/>
    <w:rPr>
      <w:b/>
    </w:rPr>
  </w:style>
  <w:style w:type="character" w:customStyle="1" w:styleId="Underlined">
    <w:name w:val="Underlined"/>
    <w:basedOn w:val="DefaultParagraphFont"/>
    <w:rsid w:val="001A03BC"/>
    <w:rPr>
      <w:u w:val="single"/>
    </w:rPr>
  </w:style>
  <w:style w:type="paragraph" w:customStyle="1" w:styleId="TableBodyTextRight">
    <w:name w:val="Table Body Text Right"/>
    <w:basedOn w:val="TableBodyText"/>
    <w:rsid w:val="001A03BC"/>
    <w:pPr>
      <w:widowControl w:val="0"/>
      <w:autoSpaceDE w:val="0"/>
      <w:autoSpaceDN w:val="0"/>
      <w:adjustRightInd w:val="0"/>
      <w:jc w:val="right"/>
    </w:pPr>
    <w:rPr>
      <w:rFonts w:cs="Arial"/>
      <w:szCs w:val="18"/>
    </w:rPr>
  </w:style>
  <w:style w:type="paragraph" w:customStyle="1" w:styleId="CopyrightText">
    <w:name w:val="Copyright Text"/>
    <w:basedOn w:val="BodyText"/>
    <w:rsid w:val="001A03BC"/>
    <w:rPr>
      <w:sz w:val="18"/>
    </w:rPr>
  </w:style>
  <w:style w:type="paragraph" w:customStyle="1" w:styleId="BodySmallRight">
    <w:name w:val="Body Small Right"/>
    <w:basedOn w:val="BodyTextRight"/>
    <w:rsid w:val="001A03BC"/>
    <w:rPr>
      <w:sz w:val="18"/>
      <w:szCs w:val="18"/>
    </w:rPr>
  </w:style>
  <w:style w:type="paragraph" w:customStyle="1" w:styleId="MarginEdition">
    <w:name w:val="Margin Edition"/>
    <w:basedOn w:val="MarginNote"/>
    <w:rsid w:val="001A03BC"/>
    <w:pPr>
      <w:spacing w:before="0" w:after="0"/>
    </w:pPr>
    <w:rPr>
      <w:rFonts w:ascii="Times New Roman" w:hAnsi="Times New Roman"/>
      <w:color w:val="999999"/>
    </w:rPr>
  </w:style>
  <w:style w:type="paragraph" w:customStyle="1" w:styleId="Spacer">
    <w:name w:val="Spacer"/>
    <w:basedOn w:val="Normal"/>
    <w:rsid w:val="001A03BC"/>
    <w:rPr>
      <w:sz w:val="2"/>
      <w:szCs w:val="2"/>
    </w:rPr>
  </w:style>
  <w:style w:type="character" w:customStyle="1" w:styleId="Small">
    <w:name w:val="Small"/>
    <w:basedOn w:val="DefaultParagraphFont"/>
    <w:rsid w:val="001A03BC"/>
    <w:rPr>
      <w:sz w:val="16"/>
    </w:rPr>
  </w:style>
  <w:style w:type="paragraph" w:customStyle="1" w:styleId="WideTable">
    <w:name w:val="Wide Table"/>
    <w:basedOn w:val="Normal"/>
    <w:rsid w:val="001A03BC"/>
    <w:pPr>
      <w:ind w:left="-1418"/>
    </w:pPr>
    <w:rPr>
      <w:sz w:val="2"/>
      <w:szCs w:val="2"/>
    </w:rPr>
  </w:style>
  <w:style w:type="character" w:styleId="PageNumber">
    <w:name w:val="page number"/>
    <w:basedOn w:val="DefaultParagraphFont"/>
    <w:rsid w:val="001A03BC"/>
  </w:style>
  <w:style w:type="paragraph" w:styleId="Quote">
    <w:name w:val="Quote"/>
    <w:basedOn w:val="Heading1"/>
    <w:link w:val="QuoteChar"/>
    <w:qFormat/>
    <w:rsid w:val="001A03BC"/>
    <w:rPr>
      <w:b w:val="0"/>
      <w:sz w:val="72"/>
      <w:szCs w:val="72"/>
      <w:lang w:val="en-NZ"/>
    </w:rPr>
  </w:style>
  <w:style w:type="character" w:customStyle="1" w:styleId="QuoteChar">
    <w:name w:val="Quote Char"/>
    <w:basedOn w:val="DefaultParagraphFont"/>
    <w:link w:val="Quote"/>
    <w:rsid w:val="001A03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03BC"/>
    <w:pPr>
      <w:pageBreakBefore/>
    </w:pPr>
  </w:style>
  <w:style w:type="paragraph" w:customStyle="1" w:styleId="Border">
    <w:name w:val="Border"/>
    <w:basedOn w:val="Normal"/>
    <w:qFormat/>
    <w:rsid w:val="001A03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03BC"/>
    <w:rPr>
      <w:b/>
      <w:bCs/>
      <w:i/>
      <w:iCs/>
      <w:color w:val="auto"/>
    </w:rPr>
  </w:style>
  <w:style w:type="paragraph" w:styleId="IntenseQuote">
    <w:name w:val="Intense Quote"/>
    <w:basedOn w:val="Normal"/>
    <w:next w:val="Normal"/>
    <w:link w:val="IntenseQuoteChar"/>
    <w:uiPriority w:val="30"/>
    <w:qFormat/>
    <w:rsid w:val="001A03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03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03BC"/>
    <w:rPr>
      <w:smallCaps/>
      <w:color w:val="auto"/>
      <w:u w:val="single"/>
    </w:rPr>
  </w:style>
  <w:style w:type="character" w:styleId="IntenseReference">
    <w:name w:val="Intense Reference"/>
    <w:basedOn w:val="DefaultParagraphFont"/>
    <w:uiPriority w:val="32"/>
    <w:qFormat/>
    <w:rsid w:val="001A03BC"/>
    <w:rPr>
      <w:b/>
      <w:bCs/>
      <w:smallCaps/>
      <w:color w:val="auto"/>
      <w:spacing w:val="5"/>
      <w:u w:val="single"/>
    </w:rPr>
  </w:style>
  <w:style w:type="paragraph" w:customStyle="1" w:styleId="2ColumnHeading">
    <w:name w:val="2Column Heading"/>
    <w:basedOn w:val="BodyText"/>
    <w:qFormat/>
    <w:rsid w:val="001A03BC"/>
    <w:pPr>
      <w:spacing w:after="60"/>
      <w:ind w:left="-2268"/>
    </w:pPr>
    <w:rPr>
      <w:b/>
    </w:rPr>
  </w:style>
  <w:style w:type="paragraph" w:customStyle="1" w:styleId="Heading1TOC">
    <w:name w:val="Heading1 TOC"/>
    <w:basedOn w:val="Normal"/>
    <w:qFormat/>
    <w:rsid w:val="001A03BC"/>
    <w:pPr>
      <w:spacing w:before="240" w:after="120"/>
    </w:pPr>
    <w:rPr>
      <w:rFonts w:ascii="Times New Roman" w:hAnsi="Times New Roman"/>
      <w:b/>
      <w:sz w:val="32"/>
    </w:rPr>
  </w:style>
  <w:style w:type="paragraph" w:customStyle="1" w:styleId="Heading2TOC">
    <w:name w:val="Heading2 TOC"/>
    <w:basedOn w:val="Normal"/>
    <w:qFormat/>
    <w:rsid w:val="001A03BC"/>
    <w:pPr>
      <w:spacing w:before="240" w:after="60"/>
    </w:pPr>
    <w:rPr>
      <w:rFonts w:ascii="Times New Roman" w:hAnsi="Times New Roman"/>
      <w:b/>
      <w:sz w:val="28"/>
    </w:rPr>
  </w:style>
  <w:style w:type="character" w:customStyle="1" w:styleId="Underline">
    <w:name w:val="Underline"/>
    <w:basedOn w:val="DefaultParagraphFont"/>
    <w:qFormat/>
    <w:rsid w:val="001A03BC"/>
    <w:rPr>
      <w:u w:val="single"/>
    </w:rPr>
  </w:style>
  <w:style w:type="paragraph" w:styleId="BalloonText">
    <w:name w:val="Balloon Text"/>
    <w:basedOn w:val="Normal"/>
    <w:link w:val="BalloonTextChar"/>
    <w:rsid w:val="001A03BC"/>
    <w:rPr>
      <w:rFonts w:ascii="Tahoma" w:hAnsi="Tahoma" w:cs="Tahoma"/>
      <w:sz w:val="16"/>
      <w:szCs w:val="16"/>
    </w:rPr>
  </w:style>
  <w:style w:type="character" w:customStyle="1" w:styleId="BalloonTextChar">
    <w:name w:val="Balloon Text Char"/>
    <w:basedOn w:val="DefaultParagraphFont"/>
    <w:link w:val="BalloonText"/>
    <w:rsid w:val="001A03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03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03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03BC"/>
    <w:rPr>
      <w:b/>
      <w:color w:val="660033"/>
      <w:spacing w:val="0"/>
    </w:rPr>
  </w:style>
  <w:style w:type="paragraph" w:customStyle="1" w:styleId="Nameditemlist">
    <w:name w:val="Named item list"/>
    <w:basedOn w:val="BodyText"/>
    <w:qFormat/>
    <w:rsid w:val="001A03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1571</Words>
  <Characters>10522</Characters>
  <Application>Microsoft Office Word</Application>
  <DocSecurity>0</DocSecurity>
  <Lines>352</Lines>
  <Paragraphs>220</Paragraphs>
  <ScaleCrop>false</ScaleCrop>
  <Company>Author-it Software Corporation Ltd.</Company>
  <LinksUpToDate>false</LinksUpToDate>
  <CharactersWithSpaces>12015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PSPTIS502A Prepare to translate and interpret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2012-11-01T02:53:00Z</dcterms:created>
  <dcterms:modified xsi:type="dcterms:W3CDTF">2012-11-01T02:53:00Z</dcterms:modified>
</cp:coreProperties>
</file>