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0B74" w:rsidP="00950B74">
      <w:pPr>
        <w:pStyle w:val="Title"/>
      </w:pPr>
      <w:r>
        <w:fldChar w:fldCharType="begin"/>
      </w:r>
      <w:r>
        <w:instrText xml:space="preserve"> TITLE   \* MERGEFORMAT </w:instrText>
      </w:r>
      <w:r>
        <w:fldChar w:fldCharType="separate"/>
      </w:r>
      <w:r>
        <w:t>PSPSOHS405A Contribute to the implementation of emergency procedures</w:t>
      </w:r>
      <w:r>
        <w:fldChar w:fldCharType="end"/>
      </w:r>
    </w:p>
    <w:p w:rsidR="00950B74" w:rsidP="00950B74">
      <w:pPr>
        <w:pStyle w:val="Version"/>
        <w:sectPr w:rsidSect="00B721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72112" w:rsidP="00B72112">
      <w:pPr>
        <w:pStyle w:val="SuperHeading"/>
      </w:pPr>
      <w:r w:rsidRPr="00B72112">
        <w:t>PSPSOHS405A Contribute to the implementation of emergency procedures</w:t>
      </w:r>
    </w:p>
    <w:p w:rsidR="00000000" w:rsidRPr="00B72112" w:rsidP="00B72112">
      <w:pPr>
        <w:pStyle w:val="SuperHeading"/>
      </w:pPr>
    </w:p>
    <w:p w:rsidR="00000000" w:rsidRPr="00B72112" w:rsidP="00B72112">
      <w:pPr>
        <w:pStyle w:val="Heading1"/>
      </w:pPr>
      <w:bookmarkStart w:id="1" w:name="O_500317"/>
      <w:bookmarkEnd w:id="1"/>
      <w:r w:rsidRPr="00B72112">
        <w:t>Modification History</w:t>
      </w:r>
    </w:p>
    <w:tbl>
      <w:tblPr>
        <w:tblW w:w="0" w:type="auto"/>
        <w:tblLayout w:type="fixed"/>
        <w:tblCellMar>
          <w:left w:w="62" w:type="dxa"/>
          <w:right w:w="62" w:type="dxa"/>
        </w:tblCellMar>
        <w:tblLook w:val="0000"/>
      </w:tblPr>
      <w:tblGrid>
        <w:gridCol w:w="3052"/>
        <w:gridCol w:w="3052"/>
        <w:gridCol w:w="3052"/>
      </w:tblGrid>
      <w:tr w:rsidTr="00950B7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112" w:rsidP="00B72112">
            <w:pPr>
              <w:pStyle w:val="BodyText"/>
            </w:pPr>
            <w:r w:rsidRPr="00B72112">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112" w:rsidP="00B72112">
            <w:pPr>
              <w:pStyle w:val="BodyText"/>
            </w:pPr>
            <w:r w:rsidRPr="00B72112">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112">
            <w:pPr>
              <w:pStyle w:val="BodyText"/>
              <w:rPr>
                <w:lang w:val="en-NZ"/>
              </w:rPr>
            </w:pPr>
            <w:r w:rsidRPr="00B72112">
              <w:rPr>
                <w:rStyle w:val="SpecialBold"/>
              </w:rPr>
              <w:t>Comments</w:t>
            </w:r>
          </w:p>
        </w:tc>
      </w:tr>
      <w:tr w:rsidTr="00950B7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112">
            <w:pPr>
              <w:pStyle w:val="BodyText"/>
              <w:rPr>
                <w:lang w:val="en-NZ"/>
              </w:rPr>
            </w:pPr>
            <w:r w:rsidRPr="00B72112">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112">
            <w:pPr>
              <w:pStyle w:val="BodyText"/>
              <w:rPr>
                <w:lang w:val="en-NZ"/>
              </w:rPr>
            </w:pPr>
            <w:r w:rsidRPr="00B72112">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112">
            <w:pPr>
              <w:pStyle w:val="BodyText"/>
              <w:rPr>
                <w:lang w:val="en-NZ"/>
              </w:rPr>
            </w:pPr>
            <w:r w:rsidRPr="00B72112">
              <w:t>Unit descriptor edit</w:t>
            </w:r>
            <w:r w:rsidRPr="00B72112">
              <w:t xml:space="preserve">ed. </w:t>
            </w:r>
          </w:p>
        </w:tc>
      </w:tr>
      <w:tr w:rsidTr="00950B7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112">
            <w:pPr>
              <w:pStyle w:val="BodyText"/>
              <w:rPr>
                <w:lang w:val="en-NZ"/>
              </w:rPr>
            </w:pPr>
            <w:r w:rsidRPr="00B72112">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112">
            <w:pPr>
              <w:pStyle w:val="BodyText"/>
              <w:rPr>
                <w:lang w:val="en-NZ"/>
              </w:rPr>
            </w:pPr>
            <w:r w:rsidRPr="00B72112">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112">
            <w:pPr>
              <w:pStyle w:val="BodyText"/>
              <w:rPr>
                <w:lang w:val="en-NZ"/>
              </w:rPr>
            </w:pPr>
            <w:r w:rsidRPr="00B72112">
              <w:t>Layout adjusted. No changes to content.</w:t>
            </w:r>
          </w:p>
        </w:tc>
      </w:tr>
      <w:tr w:rsidTr="00950B7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112">
            <w:pPr>
              <w:pStyle w:val="BodyText"/>
              <w:rPr>
                <w:lang w:val="en-NZ"/>
              </w:rPr>
            </w:pPr>
            <w:r w:rsidRPr="00B72112">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112">
            <w:pPr>
              <w:pStyle w:val="BodyText"/>
              <w:rPr>
                <w:lang w:val="en-NZ"/>
              </w:rPr>
            </w:pPr>
            <w:r w:rsidRPr="00B72112">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112" w:rsidP="00B72112">
            <w:pPr>
              <w:pStyle w:val="BodyText"/>
            </w:pPr>
            <w:r w:rsidRPr="00B72112">
              <w:t>Primary release.</w:t>
            </w:r>
          </w:p>
        </w:tc>
      </w:tr>
    </w:tbl>
    <w:p w:rsidR="00950B74" w:rsidP="00B72112">
      <w:pPr>
        <w:pStyle w:val="BodyText"/>
      </w:pPr>
    </w:p>
    <w:p w:rsidR="00950B74" w:rsidP="00B72112">
      <w:pPr>
        <w:pStyle w:val="BodyText"/>
      </w:pPr>
    </w:p>
    <w:p w:rsidR="00000000" w:rsidRPr="00B72112" w:rsidP="00B72112">
      <w:pPr>
        <w:pStyle w:val="Heading1"/>
      </w:pPr>
      <w:bookmarkStart w:id="2" w:name="O_500315"/>
      <w:bookmarkEnd w:id="2"/>
      <w:r w:rsidRPr="00B72112">
        <w:t>Unit Descriptor</w:t>
      </w:r>
    </w:p>
    <w:p w:rsidR="00000000" w:rsidRPr="00B72112" w:rsidP="00B72112">
      <w:pPr>
        <w:pStyle w:val="BodyText"/>
      </w:pPr>
      <w:r w:rsidRPr="00B72112">
        <w:t xml:space="preserve">This unit covers the knowledge, processes and techniques necessary to contribute to the </w:t>
      </w:r>
      <w:r w:rsidRPr="00B72112">
        <w:t xml:space="preserve">implementation of procedures for responding to emergencies. </w:t>
      </w:r>
    </w:p>
    <w:p w:rsidR="00000000" w:rsidRPr="00B72112" w:rsidP="00B72112">
      <w:pPr>
        <w:pStyle w:val="BodyText"/>
      </w:pPr>
      <w:r w:rsidRPr="00B72112">
        <w:t>In practice, contributing to the implementation of emergency procedures may overlap with other generalist or specialist public sector work activities such as acting ethically, using communication</w:t>
      </w:r>
      <w:r w:rsidRPr="00B72112">
        <w:t xml:space="preserve"> strategies, gathering and analysing information, delivering client services, supporting policy implementation.</w:t>
      </w:r>
    </w:p>
    <w:p w:rsidR="00000000" w:rsidRPr="00B72112" w:rsidP="00B72112">
      <w:pPr>
        <w:pStyle w:val="BodyText"/>
      </w:pPr>
      <w:r w:rsidRPr="00B72112">
        <w:t>No licensing, legislative, regulatory or certification requirements apply to this unit at the time of endorsement.</w:t>
      </w:r>
    </w:p>
    <w:p w:rsidR="00000000" w:rsidRPr="00B72112" w:rsidP="00B72112">
      <w:pPr>
        <w:pStyle w:val="AllowPageBreak"/>
      </w:pPr>
    </w:p>
    <w:p w:rsidR="00000000" w:rsidRPr="00B72112" w:rsidP="00B72112">
      <w:pPr>
        <w:pStyle w:val="Heading1"/>
      </w:pPr>
      <w:bookmarkStart w:id="3" w:name="O_500326"/>
      <w:bookmarkEnd w:id="3"/>
      <w:r w:rsidRPr="00B72112">
        <w:t xml:space="preserve">Application </w:t>
      </w:r>
      <w:r w:rsidRPr="00B72112">
        <w:t>of the Unit</w:t>
      </w:r>
    </w:p>
    <w:p w:rsidR="00000000" w:rsidRPr="00B72112" w:rsidP="00B72112">
      <w:pPr>
        <w:pStyle w:val="BodyText"/>
      </w:pPr>
      <w:r w:rsidRPr="00B72112">
        <w:t>This unit applies to individuals with supervisory responsibilities for managing OHS in the workplace who contribute to the procedures for responding to emergencies.  This unit assumes that expert advice will be available in identifying potentia</w:t>
      </w:r>
      <w:r w:rsidRPr="00B72112">
        <w:t>l emergencies and in formulating the response plans.</w:t>
      </w:r>
    </w:p>
    <w:p w:rsidR="00000000" w:rsidRPr="00B72112" w:rsidP="00B72112">
      <w:pPr>
        <w:pStyle w:val="BodyText"/>
      </w:pPr>
      <w:r w:rsidRPr="00B72112">
        <w:t>As the unit focuses on implementation of procedures already developed for short term emergency responses, it is less complex than PSPSPOHS508A Participate in the investigation of incidents,, which has gr</w:t>
      </w:r>
      <w:r w:rsidRPr="00B72112">
        <w:t>eater scope both in situations addressed and the timeframe for action.</w:t>
      </w:r>
    </w:p>
    <w:p w:rsidR="00000000" w:rsidRPr="00B72112" w:rsidP="00B72112">
      <w:pPr>
        <w:pStyle w:val="BodyText"/>
      </w:pPr>
      <w:r w:rsidRPr="00B72112">
        <w:t>Contributions to the actions to control OHS risks are covered in PSPSOHS404A Contribute to the implementation of strategies to control OHS risk.</w:t>
      </w:r>
    </w:p>
    <w:p w:rsidR="00000000" w:rsidRPr="00B72112" w:rsidP="00B72112">
      <w:pPr>
        <w:pStyle w:val="AllowPageBreak"/>
      </w:pPr>
    </w:p>
    <w:p w:rsidR="00000000" w:rsidRPr="00B72112" w:rsidP="00B72112">
      <w:pPr>
        <w:pStyle w:val="Heading1"/>
      </w:pPr>
      <w:bookmarkStart w:id="4" w:name="O_500316"/>
      <w:bookmarkEnd w:id="4"/>
      <w:r w:rsidRPr="00B72112">
        <w:t>Licensing/Regulatory In</w:t>
      </w:r>
      <w:r w:rsidRPr="00B72112">
        <w:t>formation</w:t>
      </w:r>
    </w:p>
    <w:p w:rsidR="00000000" w:rsidRPr="00B72112" w:rsidP="00B72112">
      <w:pPr>
        <w:pStyle w:val="BodyText"/>
      </w:pPr>
      <w:r w:rsidRPr="00B72112">
        <w:t>Not applicable.</w:t>
      </w:r>
    </w:p>
    <w:p w:rsidR="00000000" w:rsidRPr="00B72112" w:rsidP="00B72112">
      <w:pPr>
        <w:pStyle w:val="AllowPageBreak"/>
      </w:pPr>
    </w:p>
    <w:p w:rsidR="00000000" w:rsidRPr="00B72112" w:rsidP="00B72112">
      <w:pPr>
        <w:pStyle w:val="Heading1"/>
      </w:pPr>
      <w:bookmarkStart w:id="5" w:name="O_500321"/>
      <w:bookmarkEnd w:id="5"/>
      <w:r w:rsidRPr="00B72112">
        <w:t>Pre-Requisites</w:t>
      </w:r>
    </w:p>
    <w:p w:rsidR="00000000" w:rsidRPr="00B72112" w:rsidP="00B72112">
      <w:pPr>
        <w:pStyle w:val="BodyText"/>
      </w:pPr>
      <w:r w:rsidRPr="00B72112">
        <w:t>Not applicable.</w:t>
      </w:r>
    </w:p>
    <w:p w:rsidR="00000000" w:rsidRPr="00B72112" w:rsidP="00B72112">
      <w:pPr>
        <w:pStyle w:val="AllowPageBreak"/>
      </w:pPr>
    </w:p>
    <w:p w:rsidR="00000000" w:rsidRPr="00B72112" w:rsidP="00B72112">
      <w:pPr>
        <w:pStyle w:val="Heading1"/>
      </w:pPr>
      <w:bookmarkStart w:id="6" w:name="O_500322"/>
      <w:bookmarkEnd w:id="6"/>
      <w:r w:rsidRPr="00B72112">
        <w:t>Employability Skills Information</w:t>
      </w:r>
    </w:p>
    <w:p w:rsidR="00000000" w:rsidRPr="00B72112" w:rsidP="00B72112">
      <w:pPr>
        <w:pStyle w:val="BodyText"/>
      </w:pPr>
      <w:r w:rsidRPr="00B72112">
        <w:t>This unit contains employability skills.</w:t>
      </w:r>
    </w:p>
    <w:p w:rsidR="00000000" w:rsidRPr="00B72112" w:rsidP="00B72112">
      <w:pPr>
        <w:pStyle w:val="AllowPageBreak"/>
      </w:pPr>
    </w:p>
    <w:p w:rsidR="00000000" w:rsidRPr="00B72112" w:rsidP="00B72112">
      <w:pPr>
        <w:pStyle w:val="Heading1"/>
      </w:pPr>
      <w:bookmarkStart w:id="7" w:name="O_500323"/>
      <w:bookmarkEnd w:id="7"/>
      <w:r w:rsidRPr="00B72112">
        <w:t>Elements and Performance Criteria Pre-Content</w:t>
      </w:r>
    </w:p>
    <w:tbl>
      <w:tblPr>
        <w:tblW w:w="0" w:type="auto"/>
        <w:tblLayout w:type="fixed"/>
        <w:tblCellMar>
          <w:left w:w="62" w:type="dxa"/>
          <w:right w:w="62" w:type="dxa"/>
        </w:tblCellMar>
        <w:tblLook w:val="0000"/>
      </w:tblPr>
      <w:tblGrid>
        <w:gridCol w:w="2448"/>
        <w:gridCol w:w="6074"/>
      </w:tblGrid>
      <w:tr w:rsidTr="00950B74">
        <w:tblPrEx>
          <w:tblW w:w="0" w:type="auto"/>
          <w:tblLayout w:type="fixed"/>
          <w:tblCellMar>
            <w:left w:w="62" w:type="dxa"/>
            <w:right w:w="62" w:type="dxa"/>
          </w:tblCellMar>
          <w:tblLook w:val="0000"/>
        </w:tblPrEx>
        <w:tc>
          <w:tcPr>
            <w:tcW w:w="2448" w:type="dxa"/>
            <w:tcBorders>
              <w:top w:val="nil"/>
              <w:left w:val="nil"/>
              <w:bottom w:val="nil"/>
              <w:right w:val="nil"/>
            </w:tcBorders>
            <w:tcMar>
              <w:top w:w="0" w:type="dxa"/>
              <w:left w:w="62" w:type="dxa"/>
              <w:bottom w:w="0" w:type="dxa"/>
              <w:right w:w="62" w:type="dxa"/>
            </w:tcMar>
          </w:tcPr>
          <w:p w:rsidR="00000000" w:rsidP="00B72112">
            <w:pPr>
              <w:pStyle w:val="BodyText"/>
              <w:rPr>
                <w:lang w:val="en-NZ"/>
              </w:rPr>
            </w:pPr>
            <w:r w:rsidRPr="00B72112">
              <w:t>Elements are the essential o</w:t>
            </w:r>
            <w:r w:rsidRPr="00B72112">
              <w:t>utcomes of the unit of competency.</w:t>
            </w:r>
          </w:p>
        </w:tc>
        <w:tc>
          <w:tcPr>
            <w:tcW w:w="6074" w:type="dxa"/>
            <w:tcBorders>
              <w:top w:val="nil"/>
              <w:left w:val="nil"/>
              <w:bottom w:val="nil"/>
              <w:right w:val="nil"/>
            </w:tcBorders>
            <w:tcMar>
              <w:top w:w="0" w:type="dxa"/>
              <w:left w:w="62" w:type="dxa"/>
              <w:bottom w:w="0" w:type="dxa"/>
              <w:right w:w="62" w:type="dxa"/>
            </w:tcMar>
          </w:tcPr>
          <w:p w:rsidR="00000000" w:rsidRPr="00B72112" w:rsidP="00B72112">
            <w:pPr>
              <w:pStyle w:val="BodyText"/>
            </w:pPr>
            <w:r w:rsidRPr="00B72112">
              <w:t>Performance criteria describe the required performance needed to demonstrate achievement of the element. Where</w:t>
            </w:r>
            <w:r w:rsidRPr="00B72112">
              <w:rPr>
                <w:rStyle w:val="BoldandItalics"/>
              </w:rPr>
              <w:t xml:space="preserve"> bold italicised </w:t>
            </w:r>
            <w:r w:rsidRPr="00B72112">
              <w:t>text is used, further information is detailed in the required skills and knowledge and/or the range statement. Assessment of performance is to be consistent with the evidence guide.</w:t>
            </w:r>
          </w:p>
        </w:tc>
      </w:tr>
    </w:tbl>
    <w:p w:rsidR="00000000" w:rsidRPr="00B72112" w:rsidP="00B72112">
      <w:pPr>
        <w:pStyle w:val="BodyText"/>
      </w:pPr>
    </w:p>
    <w:p w:rsidR="00000000" w:rsidRPr="00B72112" w:rsidP="00B72112">
      <w:pPr>
        <w:pStyle w:val="AllowPageBreak"/>
      </w:pPr>
    </w:p>
    <w:p w:rsidR="00000000" w:rsidRPr="00B72112" w:rsidP="00B72112">
      <w:pPr>
        <w:pStyle w:val="Heading1"/>
      </w:pPr>
      <w:bookmarkStart w:id="8" w:name="O_500324"/>
      <w:bookmarkEnd w:id="8"/>
      <w:r w:rsidRPr="00B72112">
        <w:t>Elements and Performance Criteria</w:t>
      </w:r>
    </w:p>
    <w:tbl>
      <w:tblPr>
        <w:tblW w:w="0" w:type="auto"/>
        <w:tblLayout w:type="fixed"/>
        <w:tblCellMar>
          <w:left w:w="62" w:type="dxa"/>
          <w:right w:w="62" w:type="dxa"/>
        </w:tblCellMar>
        <w:tblLook w:val="0000"/>
      </w:tblPr>
      <w:tblGrid>
        <w:gridCol w:w="2489"/>
        <w:gridCol w:w="6118"/>
      </w:tblGrid>
      <w:tr w:rsidTr="00950B74">
        <w:tblPrEx>
          <w:tblW w:w="0" w:type="auto"/>
          <w:tblLayout w:type="fixed"/>
          <w:tblCellMar>
            <w:left w:w="62" w:type="dxa"/>
            <w:right w:w="62" w:type="dxa"/>
          </w:tblCellMar>
          <w:tblLook w:val="0000"/>
        </w:tblPrEx>
        <w:trPr>
          <w:tblHeader/>
        </w:trPr>
        <w:tc>
          <w:tcPr>
            <w:tcW w:w="2489" w:type="dxa"/>
            <w:tcBorders>
              <w:top w:val="nil"/>
              <w:left w:val="nil"/>
              <w:bottom w:val="nil"/>
              <w:right w:val="nil"/>
            </w:tcBorders>
            <w:tcMar>
              <w:top w:w="0" w:type="dxa"/>
              <w:left w:w="62" w:type="dxa"/>
              <w:bottom w:w="0" w:type="dxa"/>
              <w:right w:w="62" w:type="dxa"/>
            </w:tcMar>
          </w:tcPr>
          <w:p w:rsidR="00000000" w:rsidRPr="00B72112" w:rsidP="00B72112">
            <w:pPr>
              <w:pStyle w:val="BodyText"/>
            </w:pPr>
            <w:r w:rsidRPr="00B72112">
              <w:rPr>
                <w:rStyle w:val="SpecialBold"/>
              </w:rPr>
              <w:t>ELEMENT</w:t>
            </w:r>
          </w:p>
        </w:tc>
        <w:tc>
          <w:tcPr>
            <w:tcW w:w="6118" w:type="dxa"/>
            <w:tcBorders>
              <w:top w:val="nil"/>
              <w:left w:val="nil"/>
              <w:bottom w:val="nil"/>
              <w:right w:val="nil"/>
            </w:tcBorders>
            <w:tcMar>
              <w:top w:w="0" w:type="dxa"/>
              <w:left w:w="62" w:type="dxa"/>
              <w:bottom w:w="0" w:type="dxa"/>
              <w:right w:w="62" w:type="dxa"/>
            </w:tcMar>
          </w:tcPr>
          <w:p w:rsidR="00000000" w:rsidP="00B72112">
            <w:pPr>
              <w:pStyle w:val="BodyText"/>
              <w:rPr>
                <w:lang w:val="en-NZ"/>
              </w:rPr>
            </w:pPr>
            <w:r w:rsidRPr="00B72112">
              <w:rPr>
                <w:rStyle w:val="SpecialBold"/>
              </w:rPr>
              <w:t>PERFORMANCE CRITERIA</w:t>
            </w:r>
          </w:p>
        </w:tc>
      </w:tr>
      <w:tr w:rsidTr="00950B74">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B72112">
            <w:pPr>
              <w:pStyle w:val="List"/>
              <w:rPr>
                <w:lang w:val="en-NZ"/>
              </w:rPr>
            </w:pPr>
            <w:r w:rsidRPr="00B72112">
              <w:rPr>
                <w:rStyle w:val="SpecialBold"/>
              </w:rPr>
              <w:t>1</w:t>
            </w:r>
            <w:r w:rsidRPr="00B72112">
              <w:rPr>
                <w:rStyle w:val="SpecialBold"/>
              </w:rPr>
              <w:tab/>
              <w:t>Identify potential emergencies</w:t>
            </w:r>
          </w:p>
        </w:tc>
        <w:tc>
          <w:tcPr>
            <w:tcW w:w="6118" w:type="dxa"/>
            <w:tcBorders>
              <w:top w:val="nil"/>
              <w:left w:val="nil"/>
              <w:bottom w:val="nil"/>
              <w:right w:val="nil"/>
            </w:tcBorders>
            <w:tcMar>
              <w:top w:w="0" w:type="dxa"/>
              <w:left w:w="62" w:type="dxa"/>
              <w:bottom w:w="0" w:type="dxa"/>
              <w:right w:w="62" w:type="dxa"/>
            </w:tcMar>
          </w:tcPr>
          <w:p w:rsidR="00000000" w:rsidRPr="00B72112" w:rsidP="00B72112">
            <w:pPr>
              <w:pStyle w:val="List"/>
            </w:pPr>
            <w:r w:rsidRPr="00B72112">
              <w:t>1.1</w:t>
            </w:r>
            <w:r w:rsidRPr="00B72112">
              <w:tab/>
              <w:t>A knowledge of OHS</w:t>
            </w:r>
            <w:r w:rsidRPr="00B72112">
              <w:rPr>
                <w:rStyle w:val="BoldandItalics"/>
              </w:rPr>
              <w:t xml:space="preserve"> hazards and standards </w:t>
            </w:r>
            <w:r w:rsidRPr="00B72112">
              <w:t xml:space="preserve">is applied to identify causes of potential </w:t>
            </w:r>
            <w:r w:rsidRPr="00B72112">
              <w:rPr>
                <w:rStyle w:val="BoldandItalics"/>
              </w:rPr>
              <w:t>emergencies</w:t>
            </w:r>
            <w:r w:rsidRPr="00B72112">
              <w:t>.</w:t>
            </w:r>
          </w:p>
          <w:p w:rsidR="00000000" w:rsidRPr="00B72112" w:rsidP="00B72112">
            <w:pPr>
              <w:pStyle w:val="List"/>
            </w:pPr>
            <w:r w:rsidRPr="00B72112">
              <w:t>1.2</w:t>
            </w:r>
            <w:r w:rsidRPr="00B72112">
              <w:tab/>
              <w:t xml:space="preserve">Input of </w:t>
            </w:r>
            <w:r w:rsidRPr="00B72112">
              <w:rPr>
                <w:rStyle w:val="BoldandItalics"/>
              </w:rPr>
              <w:t xml:space="preserve">stakeholders </w:t>
            </w:r>
            <w:r w:rsidRPr="00B72112">
              <w:t>is sought in identifying potential emergencies.</w:t>
            </w:r>
          </w:p>
          <w:p w:rsidR="00000000" w:rsidRPr="00B72112" w:rsidP="00B72112">
            <w:pPr>
              <w:pStyle w:val="List"/>
            </w:pPr>
            <w:r w:rsidRPr="00B72112">
              <w:t>1.3</w:t>
            </w:r>
            <w:r w:rsidRPr="00B72112">
              <w:tab/>
              <w:t xml:space="preserve">Appropriate </w:t>
            </w:r>
            <w:r w:rsidRPr="00B72112">
              <w:rPr>
                <w:rStyle w:val="BoldandItalics"/>
              </w:rPr>
              <w:t>specialist</w:t>
            </w:r>
            <w:r w:rsidRPr="00B72112">
              <w:rPr>
                <w:rStyle w:val="BoldandItalics"/>
              </w:rPr>
              <w:t xml:space="preserve"> advisors </w:t>
            </w:r>
            <w:r w:rsidRPr="00B72112">
              <w:t>and</w:t>
            </w:r>
            <w:r w:rsidRPr="00B72112">
              <w:rPr>
                <w:rStyle w:val="BoldandItalics"/>
              </w:rPr>
              <w:t xml:space="preserve"> emergency agencies</w:t>
            </w:r>
            <w:r w:rsidRPr="00B72112">
              <w:t xml:space="preserve"> are identified and liaised with to identify causes of potential emergencies.</w:t>
            </w:r>
          </w:p>
          <w:p w:rsidR="00000000" w:rsidP="00B72112">
            <w:pPr>
              <w:pStyle w:val="List"/>
              <w:rPr>
                <w:lang w:val="en-NZ"/>
              </w:rPr>
            </w:pPr>
            <w:r w:rsidRPr="00B72112">
              <w:t>1.4</w:t>
            </w:r>
            <w:r w:rsidRPr="00B72112">
              <w:tab/>
              <w:t>A</w:t>
            </w:r>
            <w:r w:rsidRPr="00B72112">
              <w:rPr>
                <w:rStyle w:val="BoldandItalics"/>
              </w:rPr>
              <w:t xml:space="preserve"> risk register </w:t>
            </w:r>
            <w:r w:rsidRPr="00B72112">
              <w:t>is developed to identify potential emergencies and their causes.</w:t>
            </w:r>
          </w:p>
        </w:tc>
      </w:tr>
      <w:tr w:rsidTr="00950B74">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B72112">
            <w:pPr>
              <w:pStyle w:val="List"/>
              <w:rPr>
                <w:lang w:val="en-NZ"/>
              </w:rPr>
            </w:pPr>
            <w:r w:rsidRPr="00B72112">
              <w:rPr>
                <w:rStyle w:val="SpecialBold"/>
              </w:rPr>
              <w:t>2</w:t>
            </w:r>
            <w:r w:rsidRPr="00B72112">
              <w:rPr>
                <w:rStyle w:val="SpecialBold"/>
              </w:rPr>
              <w:tab/>
              <w:t>Identify options for initial response</w:t>
            </w:r>
          </w:p>
        </w:tc>
        <w:tc>
          <w:tcPr>
            <w:tcW w:w="6118" w:type="dxa"/>
            <w:tcBorders>
              <w:top w:val="nil"/>
              <w:left w:val="nil"/>
              <w:bottom w:val="nil"/>
              <w:right w:val="nil"/>
            </w:tcBorders>
            <w:tcMar>
              <w:top w:w="0" w:type="dxa"/>
              <w:left w:w="62" w:type="dxa"/>
              <w:bottom w:w="0" w:type="dxa"/>
              <w:right w:w="62" w:type="dxa"/>
            </w:tcMar>
          </w:tcPr>
          <w:p w:rsidR="00000000" w:rsidRPr="00B72112" w:rsidP="00B72112">
            <w:pPr>
              <w:pStyle w:val="List"/>
            </w:pPr>
            <w:r w:rsidRPr="00B72112">
              <w:t>2.1</w:t>
            </w:r>
            <w:r w:rsidRPr="00B72112">
              <w:tab/>
            </w:r>
            <w:r w:rsidRPr="00B72112">
              <w:t>Major types of emergencies are categorised.</w:t>
            </w:r>
          </w:p>
          <w:p w:rsidR="00000000" w:rsidRPr="00B72112" w:rsidP="00B72112">
            <w:pPr>
              <w:pStyle w:val="List"/>
            </w:pPr>
            <w:r w:rsidRPr="00B72112">
              <w:t>2.2</w:t>
            </w:r>
            <w:r w:rsidRPr="00B72112">
              <w:tab/>
              <w:t>Actions required to contain or limit potential emergencies are identified.</w:t>
            </w:r>
          </w:p>
          <w:p w:rsidR="00000000" w:rsidRPr="00B72112" w:rsidP="00B72112">
            <w:pPr>
              <w:pStyle w:val="List"/>
            </w:pPr>
            <w:r w:rsidRPr="00B72112">
              <w:t>2.3</w:t>
            </w:r>
            <w:r w:rsidRPr="00B72112">
              <w:tab/>
              <w:t>Actions required to limit effect on personnel, property and the environment are identified.</w:t>
            </w:r>
          </w:p>
          <w:p w:rsidR="00000000" w:rsidRPr="00B72112" w:rsidP="00B72112">
            <w:pPr>
              <w:pStyle w:val="List"/>
            </w:pPr>
            <w:r w:rsidRPr="00B72112">
              <w:t>2.4</w:t>
            </w:r>
            <w:r w:rsidRPr="00B72112">
              <w:tab/>
              <w:t>Requirements for liaison with eme</w:t>
            </w:r>
            <w:r w:rsidRPr="00B72112">
              <w:t>rgency agencies are identified.</w:t>
            </w:r>
          </w:p>
          <w:p w:rsidR="00000000" w:rsidP="00B72112">
            <w:pPr>
              <w:pStyle w:val="List"/>
              <w:rPr>
                <w:lang w:val="en-NZ"/>
              </w:rPr>
            </w:pPr>
            <w:r w:rsidRPr="00B72112">
              <w:t>2.5</w:t>
            </w:r>
            <w:r w:rsidRPr="00B72112">
              <w:tab/>
              <w:t>Actions to be taken during emergencies are prioritised.</w:t>
            </w:r>
          </w:p>
        </w:tc>
      </w:tr>
      <w:tr w:rsidTr="00950B74">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B72112">
            <w:pPr>
              <w:pStyle w:val="List"/>
              <w:rPr>
                <w:lang w:val="en-NZ"/>
              </w:rPr>
            </w:pPr>
            <w:r w:rsidRPr="00B72112">
              <w:rPr>
                <w:rStyle w:val="SpecialBold"/>
              </w:rPr>
              <w:t>3</w:t>
            </w:r>
            <w:r w:rsidRPr="00B72112">
              <w:rPr>
                <w:rStyle w:val="SpecialBold"/>
              </w:rPr>
              <w:tab/>
              <w:t>Plan initial response procedures</w:t>
            </w:r>
          </w:p>
        </w:tc>
        <w:tc>
          <w:tcPr>
            <w:tcW w:w="6118" w:type="dxa"/>
            <w:tcBorders>
              <w:top w:val="nil"/>
              <w:left w:val="nil"/>
              <w:bottom w:val="nil"/>
              <w:right w:val="nil"/>
            </w:tcBorders>
            <w:tcMar>
              <w:top w:w="0" w:type="dxa"/>
              <w:left w:w="62" w:type="dxa"/>
              <w:bottom w:w="0" w:type="dxa"/>
              <w:right w:w="62" w:type="dxa"/>
            </w:tcMar>
          </w:tcPr>
          <w:p w:rsidR="00000000" w:rsidRPr="00B72112" w:rsidP="00B72112">
            <w:pPr>
              <w:pStyle w:val="List"/>
            </w:pPr>
            <w:r w:rsidRPr="00B72112">
              <w:t>3.1</w:t>
            </w:r>
            <w:r w:rsidRPr="00B72112">
              <w:tab/>
            </w:r>
            <w:r w:rsidRPr="00B72112">
              <w:rPr>
                <w:rStyle w:val="BoldandItalics"/>
              </w:rPr>
              <w:t xml:space="preserve">Resources </w:t>
            </w:r>
            <w:r w:rsidRPr="00B72112">
              <w:t>available and required for immediate response are identified.</w:t>
            </w:r>
          </w:p>
          <w:p w:rsidR="00000000" w:rsidRPr="00B72112" w:rsidP="00B72112">
            <w:pPr>
              <w:pStyle w:val="List"/>
            </w:pPr>
            <w:r w:rsidRPr="00B72112">
              <w:t>3.2</w:t>
            </w:r>
            <w:r w:rsidRPr="00B72112">
              <w:tab/>
            </w:r>
            <w:r w:rsidRPr="00B72112">
              <w:rPr>
                <w:rStyle w:val="BoldandItalics"/>
              </w:rPr>
              <w:t xml:space="preserve">Emergency equipment </w:t>
            </w:r>
            <w:r w:rsidRPr="00B72112">
              <w:t>is checked to ensure service</w:t>
            </w:r>
            <w:r w:rsidRPr="00B72112">
              <w:t>ability, accessibility, cleanliness and correct location.</w:t>
            </w:r>
          </w:p>
          <w:p w:rsidR="00000000" w:rsidRPr="00B72112" w:rsidP="00B72112">
            <w:pPr>
              <w:pStyle w:val="List"/>
            </w:pPr>
            <w:r w:rsidRPr="00B72112">
              <w:t>3.3</w:t>
            </w:r>
            <w:r w:rsidRPr="00B72112">
              <w:tab/>
              <w:t>Actions required for a number of major types of emergency are documented, taking account of standards, current industry practice, specialist advice and input by emergency agencies.</w:t>
            </w:r>
          </w:p>
          <w:p w:rsidR="00000000" w:rsidP="00B72112">
            <w:pPr>
              <w:pStyle w:val="List"/>
              <w:rPr>
                <w:lang w:val="en-NZ"/>
              </w:rPr>
            </w:pPr>
            <w:r w:rsidRPr="00B72112">
              <w:t>3.4</w:t>
            </w:r>
            <w:r w:rsidRPr="00B72112">
              <w:tab/>
              <w:t xml:space="preserve">Training </w:t>
            </w:r>
            <w:r w:rsidRPr="00B72112">
              <w:t>needs and appropriate providers are identified.</w:t>
            </w:r>
          </w:p>
        </w:tc>
      </w:tr>
      <w:tr w:rsidTr="00950B74">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B72112">
            <w:pPr>
              <w:pStyle w:val="List"/>
              <w:rPr>
                <w:lang w:val="en-NZ"/>
              </w:rPr>
            </w:pPr>
            <w:r w:rsidRPr="00B72112">
              <w:rPr>
                <w:rStyle w:val="SpecialBold"/>
              </w:rPr>
              <w:t>4</w:t>
            </w:r>
            <w:r w:rsidRPr="00B72112">
              <w:rPr>
                <w:rStyle w:val="SpecialBold"/>
              </w:rPr>
              <w:tab/>
              <w:t>Implement initial response procedures</w:t>
            </w:r>
          </w:p>
        </w:tc>
        <w:tc>
          <w:tcPr>
            <w:tcW w:w="6118" w:type="dxa"/>
            <w:tcBorders>
              <w:top w:val="nil"/>
              <w:left w:val="nil"/>
              <w:bottom w:val="nil"/>
              <w:right w:val="nil"/>
            </w:tcBorders>
            <w:tcMar>
              <w:top w:w="0" w:type="dxa"/>
              <w:left w:w="62" w:type="dxa"/>
              <w:bottom w:w="0" w:type="dxa"/>
              <w:right w:w="62" w:type="dxa"/>
            </w:tcMar>
          </w:tcPr>
          <w:p w:rsidR="00000000" w:rsidRPr="00B72112" w:rsidP="00B72112">
            <w:pPr>
              <w:pStyle w:val="List"/>
            </w:pPr>
            <w:r w:rsidRPr="00B72112">
              <w:t>4.1</w:t>
            </w:r>
            <w:r w:rsidRPr="00B72112">
              <w:tab/>
              <w:t>Actions for initial response are documented and displayed.</w:t>
            </w:r>
          </w:p>
          <w:p w:rsidR="00000000" w:rsidP="00B72112">
            <w:pPr>
              <w:pStyle w:val="List"/>
              <w:rPr>
                <w:lang w:val="en-NZ"/>
              </w:rPr>
            </w:pPr>
            <w:r w:rsidRPr="00B72112">
              <w:t>4.2</w:t>
            </w:r>
            <w:r w:rsidRPr="00B72112">
              <w:tab/>
              <w:t>Own role in emergency response is known and implemented.</w:t>
            </w:r>
          </w:p>
        </w:tc>
      </w:tr>
      <w:tr w:rsidTr="00950B74">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B72112">
            <w:pPr>
              <w:pStyle w:val="List"/>
              <w:rPr>
                <w:lang w:val="en-NZ"/>
              </w:rPr>
            </w:pPr>
            <w:r w:rsidRPr="00B72112">
              <w:rPr>
                <w:rStyle w:val="SpecialBold"/>
              </w:rPr>
              <w:t>5</w:t>
            </w:r>
            <w:r w:rsidRPr="00B72112">
              <w:rPr>
                <w:rStyle w:val="SpecialBold"/>
              </w:rPr>
              <w:tab/>
              <w:t>Contribute to post event activities</w:t>
            </w:r>
          </w:p>
        </w:tc>
        <w:tc>
          <w:tcPr>
            <w:tcW w:w="6118" w:type="dxa"/>
            <w:tcBorders>
              <w:top w:val="nil"/>
              <w:left w:val="nil"/>
              <w:bottom w:val="nil"/>
              <w:right w:val="nil"/>
            </w:tcBorders>
            <w:tcMar>
              <w:top w:w="0" w:type="dxa"/>
              <w:left w:w="62" w:type="dxa"/>
              <w:bottom w:w="0" w:type="dxa"/>
              <w:right w:w="62" w:type="dxa"/>
            </w:tcMar>
          </w:tcPr>
          <w:p w:rsidR="00000000" w:rsidRPr="00B72112" w:rsidP="00B72112">
            <w:pPr>
              <w:pStyle w:val="List"/>
            </w:pPr>
            <w:r w:rsidRPr="00B72112">
              <w:t>5.1</w:t>
            </w:r>
            <w:r w:rsidRPr="00B72112">
              <w:tab/>
            </w:r>
            <w:r w:rsidRPr="00B72112">
              <w:t xml:space="preserve">Other personnel in </w:t>
            </w:r>
            <w:r w:rsidRPr="00B72112">
              <w:rPr>
                <w:rStyle w:val="BoldandItalics"/>
              </w:rPr>
              <w:t xml:space="preserve">second response phase </w:t>
            </w:r>
            <w:r w:rsidRPr="00B72112">
              <w:t>are identified and supported.</w:t>
            </w:r>
          </w:p>
          <w:p w:rsidR="00000000" w:rsidP="00B72112">
            <w:pPr>
              <w:pStyle w:val="List"/>
              <w:rPr>
                <w:lang w:val="en-NZ"/>
              </w:rPr>
            </w:pPr>
            <w:r w:rsidRPr="00B72112">
              <w:t>5.2</w:t>
            </w:r>
            <w:r w:rsidRPr="00B72112">
              <w:tab/>
              <w:t>Contributions are made to debriefing processes, including specialist advice and input by emergency agencies.</w:t>
            </w:r>
          </w:p>
        </w:tc>
      </w:tr>
      <w:tr w:rsidTr="00950B74">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B72112">
            <w:pPr>
              <w:pStyle w:val="List"/>
              <w:rPr>
                <w:lang w:val="en-NZ"/>
              </w:rPr>
            </w:pPr>
            <w:r w:rsidRPr="00B72112">
              <w:rPr>
                <w:rStyle w:val="SpecialBold"/>
              </w:rPr>
              <w:t>6</w:t>
            </w:r>
            <w:r w:rsidRPr="00B72112">
              <w:rPr>
                <w:rStyle w:val="SpecialBold"/>
              </w:rPr>
              <w:tab/>
              <w:t>Monitor emergency response and address deficiencies</w:t>
            </w:r>
          </w:p>
        </w:tc>
        <w:tc>
          <w:tcPr>
            <w:tcW w:w="6118" w:type="dxa"/>
            <w:tcBorders>
              <w:top w:val="nil"/>
              <w:left w:val="nil"/>
              <w:bottom w:val="nil"/>
              <w:right w:val="nil"/>
            </w:tcBorders>
            <w:tcMar>
              <w:top w:w="0" w:type="dxa"/>
              <w:left w:w="62" w:type="dxa"/>
              <w:bottom w:w="0" w:type="dxa"/>
              <w:right w:w="62" w:type="dxa"/>
            </w:tcMar>
          </w:tcPr>
          <w:p w:rsidR="00000000" w:rsidRPr="00B72112" w:rsidP="00B72112">
            <w:pPr>
              <w:pStyle w:val="List"/>
            </w:pPr>
            <w:r w:rsidRPr="00B72112">
              <w:t>6.1</w:t>
            </w:r>
            <w:r w:rsidRPr="00B72112">
              <w:tab/>
            </w:r>
            <w:r w:rsidRPr="00B72112">
              <w:t>Responses to emergencies are monitored for efficiency and timeliness in consultation with stakeholders and, as appropriate, specialist advisors and agencies.</w:t>
            </w:r>
          </w:p>
          <w:p w:rsidR="00000000" w:rsidRPr="00B72112" w:rsidP="00B72112">
            <w:pPr>
              <w:pStyle w:val="List"/>
            </w:pPr>
            <w:r w:rsidRPr="00B72112">
              <w:t>6.2</w:t>
            </w:r>
            <w:r w:rsidRPr="00B72112">
              <w:tab/>
              <w:t>Results of monitoring are documented and promptly and appropriately reported to managers and k</w:t>
            </w:r>
            <w:r w:rsidRPr="00B72112">
              <w:t>ey personnel.</w:t>
            </w:r>
          </w:p>
          <w:p w:rsidR="00000000" w:rsidRPr="00B72112" w:rsidP="00B72112">
            <w:pPr>
              <w:pStyle w:val="List"/>
            </w:pPr>
            <w:r w:rsidRPr="00B72112">
              <w:t>6.3</w:t>
            </w:r>
            <w:r w:rsidRPr="00B72112">
              <w:tab/>
              <w:t xml:space="preserve">Areas for improvement in response are identified and </w:t>
            </w:r>
            <w:r w:rsidRPr="00B72112">
              <w:t>recommendations made for improvement.</w:t>
            </w:r>
          </w:p>
        </w:tc>
      </w:tr>
    </w:tbl>
    <w:p w:rsidR="00000000" w:rsidRPr="00B72112" w:rsidP="00B72112">
      <w:pPr>
        <w:pStyle w:val="BodyText"/>
      </w:pPr>
    </w:p>
    <w:p w:rsidR="00000000" w:rsidRPr="00B72112" w:rsidP="00B72112">
      <w:pPr>
        <w:pStyle w:val="AllowPageBreak"/>
      </w:pPr>
    </w:p>
    <w:p w:rsidR="00000000" w:rsidRPr="00B72112" w:rsidP="00B72112">
      <w:pPr>
        <w:pStyle w:val="Heading1"/>
      </w:pPr>
      <w:bookmarkStart w:id="9" w:name="O_500318"/>
      <w:bookmarkEnd w:id="9"/>
      <w:r w:rsidRPr="00B72112">
        <w:t>Required Skills and Knowledge</w:t>
      </w:r>
    </w:p>
    <w:tbl>
      <w:tblPr>
        <w:tblW w:w="0" w:type="auto"/>
        <w:tblLayout w:type="fixed"/>
        <w:tblCellMar>
          <w:left w:w="62" w:type="dxa"/>
          <w:right w:w="62" w:type="dxa"/>
        </w:tblCellMar>
        <w:tblLook w:val="0000"/>
      </w:tblPr>
      <w:tblGrid>
        <w:gridCol w:w="8513"/>
      </w:tblGrid>
      <w:tr w:rsidTr="00950B74">
        <w:tblPrEx>
          <w:tblW w:w="0" w:type="auto"/>
          <w:tblLayout w:type="fixed"/>
          <w:tblCellMar>
            <w:left w:w="62" w:type="dxa"/>
            <w:right w:w="62" w:type="dxa"/>
          </w:tblCellMar>
          <w:tblLook w:val="0000"/>
        </w:tblPrEx>
        <w:tc>
          <w:tcPr>
            <w:tcW w:w="8513" w:type="dxa"/>
            <w:tcBorders>
              <w:top w:val="nil"/>
              <w:left w:val="nil"/>
              <w:bottom w:val="nil"/>
              <w:right w:val="nil"/>
            </w:tcBorders>
            <w:tcMar>
              <w:top w:w="0" w:type="dxa"/>
              <w:left w:w="62" w:type="dxa"/>
              <w:bottom w:w="0" w:type="dxa"/>
              <w:right w:w="62" w:type="dxa"/>
            </w:tcMar>
          </w:tcPr>
          <w:p w:rsidR="00000000" w:rsidP="00B72112">
            <w:pPr>
              <w:pStyle w:val="BodyText"/>
              <w:rPr>
                <w:lang w:val="en-NZ"/>
              </w:rPr>
            </w:pPr>
            <w:r w:rsidRPr="00B72112">
              <w:t>This section describes the essential skills and knowledge and their level, required for this unit.</w:t>
            </w:r>
          </w:p>
        </w:tc>
      </w:tr>
      <w:tr w:rsidTr="00950B74">
        <w:tblPrEx>
          <w:tblW w:w="0" w:type="auto"/>
          <w:tblLayout w:type="fixed"/>
          <w:tblCellMar>
            <w:left w:w="62" w:type="dxa"/>
            <w:right w:w="62" w:type="dxa"/>
          </w:tblCellMar>
          <w:tblLook w:val="0000"/>
        </w:tblPrEx>
        <w:tc>
          <w:tcPr>
            <w:tcW w:w="8513" w:type="dxa"/>
            <w:tcBorders>
              <w:top w:val="nil"/>
              <w:left w:val="nil"/>
              <w:bottom w:val="nil"/>
              <w:right w:val="nil"/>
            </w:tcBorders>
            <w:tcMar>
              <w:top w:w="0" w:type="dxa"/>
              <w:left w:w="62" w:type="dxa"/>
              <w:bottom w:w="0" w:type="dxa"/>
              <w:right w:w="62" w:type="dxa"/>
            </w:tcMar>
          </w:tcPr>
          <w:p w:rsidR="00000000" w:rsidRPr="00B72112" w:rsidP="00B72112">
            <w:pPr>
              <w:pStyle w:val="BodyText"/>
            </w:pPr>
            <w:r w:rsidRPr="00B72112">
              <w:rPr>
                <w:rStyle w:val="SpecialBold"/>
              </w:rPr>
              <w:t>Required skills</w:t>
            </w:r>
            <w:r w:rsidRPr="00B72112">
              <w:t>:</w:t>
            </w:r>
          </w:p>
          <w:p w:rsidR="00000000" w:rsidRPr="00B72112" w:rsidP="00B72112">
            <w:pPr>
              <w:pStyle w:val="BodyText"/>
            </w:pPr>
            <w:r w:rsidRPr="00B72112">
              <w:t>Look for evidence that confirms skills in:</w:t>
            </w:r>
          </w:p>
          <w:p w:rsidR="00000000" w:rsidRPr="00B72112" w:rsidP="00B72112">
            <w:pPr>
              <w:pStyle w:val="ListBullet2"/>
            </w:pPr>
            <w:r w:rsidRPr="00B72112">
              <w:t>relating to people from a range of social, cultural and ethnic backgrounds and physical and mental abilities</w:t>
            </w:r>
          </w:p>
          <w:p w:rsidR="00000000" w:rsidRPr="00B72112" w:rsidP="00B72112">
            <w:pPr>
              <w:pStyle w:val="ListBullet2"/>
            </w:pPr>
            <w:r w:rsidRPr="00B72112">
              <w:t>communicating effectively with personnel at all levels of the organisation, OHS specialists and, as required, emergency service personnel</w:t>
            </w:r>
          </w:p>
          <w:p w:rsidR="00000000" w:rsidRPr="00B72112" w:rsidP="00B72112">
            <w:pPr>
              <w:pStyle w:val="ListBullet2"/>
            </w:pPr>
            <w:r w:rsidRPr="00B72112">
              <w:t>managing own tasks within a time frame</w:t>
            </w:r>
          </w:p>
          <w:p w:rsidR="00000000" w:rsidRPr="00B72112" w:rsidP="00B72112">
            <w:pPr>
              <w:pStyle w:val="ListBullet2"/>
            </w:pPr>
            <w:r w:rsidRPr="00B72112">
              <w:t>analysing relevant workplace information and data, making observations includin</w:t>
            </w:r>
            <w:r w:rsidRPr="00B72112">
              <w:t>g of workplace tasks and interactions between people, their activities, equipment, environment and systems</w:t>
            </w:r>
          </w:p>
          <w:p w:rsidR="00000000" w:rsidRPr="00B72112" w:rsidP="00B72112">
            <w:pPr>
              <w:pStyle w:val="ListBullet2"/>
            </w:pPr>
            <w:r w:rsidRPr="00B72112">
              <w:t>using basic computer and information technology skills to access internal and external information and data on OHS</w:t>
            </w:r>
          </w:p>
          <w:p w:rsidR="00000000" w:rsidP="00B72112">
            <w:pPr>
              <w:pStyle w:val="ListBullet2"/>
              <w:rPr>
                <w:lang w:val="en-NZ"/>
              </w:rPr>
            </w:pPr>
            <w:r w:rsidRPr="00B72112">
              <w:t>issuing instructions in an authori</w:t>
            </w:r>
            <w:r w:rsidRPr="00B72112">
              <w:t>tative manner during unusual circumstances.</w:t>
            </w:r>
          </w:p>
        </w:tc>
      </w:tr>
      <w:tr w:rsidTr="00950B74">
        <w:tblPrEx>
          <w:tblW w:w="0" w:type="auto"/>
          <w:tblLayout w:type="fixed"/>
          <w:tblCellMar>
            <w:left w:w="62" w:type="dxa"/>
            <w:right w:w="62" w:type="dxa"/>
          </w:tblCellMar>
          <w:tblLook w:val="0000"/>
        </w:tblPrEx>
        <w:tc>
          <w:tcPr>
            <w:tcW w:w="8513" w:type="dxa"/>
            <w:tcBorders>
              <w:top w:val="nil"/>
              <w:left w:val="nil"/>
              <w:bottom w:val="nil"/>
              <w:right w:val="nil"/>
            </w:tcBorders>
            <w:tcMar>
              <w:top w:w="0" w:type="dxa"/>
              <w:left w:w="62" w:type="dxa"/>
              <w:bottom w:w="0" w:type="dxa"/>
              <w:right w:w="62" w:type="dxa"/>
            </w:tcMar>
          </w:tcPr>
          <w:p w:rsidR="00000000" w:rsidRPr="00B72112" w:rsidP="00B72112">
            <w:pPr>
              <w:pStyle w:val="BodyText"/>
            </w:pPr>
            <w:r w:rsidRPr="00B72112">
              <w:rPr>
                <w:rStyle w:val="SpecialBold"/>
              </w:rPr>
              <w:t>Required knowledge</w:t>
            </w:r>
            <w:r w:rsidRPr="00B72112">
              <w:t>:</w:t>
            </w:r>
          </w:p>
          <w:p w:rsidR="00000000" w:rsidRPr="00B72112" w:rsidP="00B72112">
            <w:pPr>
              <w:pStyle w:val="BodyText"/>
            </w:pPr>
            <w:r w:rsidRPr="00B72112">
              <w:t>Look for evidence that confirms knowledge and understanding of:</w:t>
            </w:r>
          </w:p>
          <w:p w:rsidR="00000000" w:rsidRPr="00B72112" w:rsidP="00B72112">
            <w:pPr>
              <w:pStyle w:val="ListBullet2"/>
            </w:pPr>
            <w:r w:rsidRPr="00B72112">
              <w:t>State/Territory/Commonwealth OHS legislation (Acts, regulations, codes of practice, associated standards and guidance material</w:t>
            </w:r>
            <w:r w:rsidRPr="00B72112">
              <w:t>) including prescriptive and performance approaches and links to other relevant legislation such as industrial relations, equal employment opportunity, workers compensation, rehabilitation etc</w:t>
            </w:r>
          </w:p>
          <w:p w:rsidR="00000000" w:rsidRPr="00B72112" w:rsidP="00B72112">
            <w:pPr>
              <w:pStyle w:val="ListBullet2"/>
            </w:pPr>
            <w:r w:rsidRPr="00B72112">
              <w:t>internal and external sources of OHS information and data</w:t>
            </w:r>
          </w:p>
          <w:p w:rsidR="00000000" w:rsidRPr="00B72112" w:rsidP="00B72112">
            <w:pPr>
              <w:pStyle w:val="ListBullet2"/>
            </w:pPr>
            <w:r w:rsidRPr="00B72112">
              <w:t>how t</w:t>
            </w:r>
            <w:r w:rsidRPr="00B72112">
              <w:t>he characteristics and composition of the workforce impact on risk and the systematic approach to managing OHS e.g.</w:t>
            </w:r>
          </w:p>
          <w:p w:rsidR="00000000" w:rsidRPr="00B72112" w:rsidP="00B72112">
            <w:pPr>
              <w:pStyle w:val="ListBullet3"/>
            </w:pPr>
            <w:r w:rsidRPr="00B72112">
              <w:t>labour market changes</w:t>
            </w:r>
          </w:p>
          <w:p w:rsidR="00000000" w:rsidRPr="00B72112" w:rsidP="00B72112">
            <w:pPr>
              <w:pStyle w:val="ListBullet3"/>
            </w:pPr>
            <w:r w:rsidRPr="00B72112">
              <w:t>structure and organisation of workforce - part-time, casual and contract workers, shift rosters, geographical location</w:t>
            </w:r>
          </w:p>
          <w:p w:rsidR="00000000" w:rsidRPr="00B72112" w:rsidP="00B72112">
            <w:pPr>
              <w:pStyle w:val="ListBullet3"/>
            </w:pPr>
            <w:r w:rsidRPr="00B72112">
              <w:t>language, literacy and numeracy</w:t>
            </w:r>
          </w:p>
          <w:p w:rsidR="00000000" w:rsidRPr="00B72112" w:rsidP="00B72112">
            <w:pPr>
              <w:pStyle w:val="ListBullet3"/>
            </w:pPr>
            <w:r w:rsidRPr="00B72112">
              <w:t>communication skills</w:t>
            </w:r>
          </w:p>
          <w:p w:rsidR="00000000" w:rsidRPr="00B72112" w:rsidP="00B72112">
            <w:pPr>
              <w:pStyle w:val="ListBullet3"/>
            </w:pPr>
            <w:r w:rsidRPr="00B72112">
              <w:t>cultural background/workplace diversity</w:t>
            </w:r>
          </w:p>
          <w:p w:rsidR="00000000" w:rsidRPr="00B72112" w:rsidP="00B72112">
            <w:pPr>
              <w:pStyle w:val="ListBullet3"/>
            </w:pPr>
            <w:r w:rsidRPr="00B72112">
              <w:t>gender</w:t>
            </w:r>
          </w:p>
          <w:p w:rsidR="00000000" w:rsidRPr="00B72112" w:rsidP="00B72112">
            <w:pPr>
              <w:pStyle w:val="ListBullet3"/>
            </w:pPr>
            <w:r w:rsidRPr="00B72112">
              <w:t>workers with special needs</w:t>
            </w:r>
          </w:p>
          <w:p w:rsidR="00000000" w:rsidRPr="00B72112" w:rsidP="00B72112">
            <w:pPr>
              <w:pStyle w:val="ListBullet2"/>
            </w:pPr>
            <w:r w:rsidRPr="00B72112">
              <w:t>the role,</w:t>
            </w:r>
            <w:r w:rsidRPr="00B72112">
              <w:t xml:space="preserve"> responsibility and authority of emergency response personnel</w:t>
            </w:r>
          </w:p>
          <w:p w:rsidR="00000000" w:rsidRPr="00B72112" w:rsidP="00B72112">
            <w:pPr>
              <w:pStyle w:val="ListBullet2"/>
            </w:pPr>
            <w:r w:rsidRPr="00B72112">
              <w:t>the principles of building compartmentation including identification and role of smoke and fire doors</w:t>
            </w:r>
          </w:p>
          <w:p w:rsidR="00000000" w:rsidRPr="00B72112" w:rsidP="00B72112">
            <w:pPr>
              <w:pStyle w:val="ListBullet2"/>
            </w:pPr>
            <w:r w:rsidRPr="00B72112">
              <w:t>emergency alerting systems, signals and instructions typically used in workplaces</w:t>
            </w:r>
          </w:p>
          <w:p w:rsidR="00000000" w:rsidRPr="00B72112" w:rsidP="00B72112">
            <w:pPr>
              <w:pStyle w:val="ListBullet2"/>
            </w:pPr>
            <w:r w:rsidRPr="00B72112">
              <w:t xml:space="preserve">emergency </w:t>
            </w:r>
            <w:r w:rsidRPr="00B72112">
              <w:t xml:space="preserve">response processes typically used in workplaces, including roles </w:t>
            </w:r>
            <w:r w:rsidRPr="00B72112">
              <w:t>and responsibilities</w:t>
            </w:r>
          </w:p>
          <w:p w:rsidR="00000000" w:rsidRPr="00B72112" w:rsidP="00B72112">
            <w:pPr>
              <w:pStyle w:val="ListBullet2"/>
            </w:pPr>
            <w:r w:rsidRPr="00B72112">
              <w:t>priorities and limitations of workplace response to emergencies</w:t>
            </w:r>
          </w:p>
          <w:p w:rsidR="00000000" w:rsidRPr="00B72112" w:rsidP="00B72112">
            <w:pPr>
              <w:pStyle w:val="ListBullet2"/>
            </w:pPr>
            <w:r w:rsidRPr="00B72112">
              <w:t>hazards and precautions during an emergency, including during an evacuation</w:t>
            </w:r>
          </w:p>
          <w:p w:rsidR="00000000" w:rsidRPr="00B72112" w:rsidP="00B72112">
            <w:pPr>
              <w:pStyle w:val="ListBullet2"/>
            </w:pPr>
            <w:r w:rsidRPr="00B72112">
              <w:t>situations when evacuation is required and when evacuation is inappropriate, including circumstances where evacuation processes may need to be modified</w:t>
            </w:r>
          </w:p>
          <w:p w:rsidR="00000000" w:rsidRPr="00B72112" w:rsidP="00B72112">
            <w:pPr>
              <w:pStyle w:val="ListBullet2"/>
            </w:pPr>
            <w:r w:rsidRPr="00B72112">
              <w:t>principles and priorities for evacuation, including checking and accounting procedures</w:t>
            </w:r>
          </w:p>
          <w:p w:rsidR="00000000" w:rsidRPr="00B72112" w:rsidP="00B72112">
            <w:pPr>
              <w:pStyle w:val="ListBullet2"/>
            </w:pPr>
            <w:r w:rsidRPr="00B72112">
              <w:t xml:space="preserve">circumstances or </w:t>
            </w:r>
            <w:r w:rsidRPr="00B72112">
              <w:t>actions that may block, damage or inhibit function or use of emergency equipment</w:t>
            </w:r>
          </w:p>
          <w:p w:rsidR="00000000" w:rsidRPr="00B72112" w:rsidP="00B72112">
            <w:pPr>
              <w:pStyle w:val="ListBullet2"/>
            </w:pPr>
            <w:r w:rsidRPr="00B72112">
              <w:t>information needs of emergency response agencies at the time of reporting an emergency, arrival of response and during management of emergency</w:t>
            </w:r>
          </w:p>
          <w:p w:rsidR="00000000" w:rsidRPr="00B72112" w:rsidP="00B72112">
            <w:pPr>
              <w:pStyle w:val="ListBullet2"/>
            </w:pPr>
            <w:r w:rsidRPr="00B72112">
              <w:t>method of use, including hazards</w:t>
            </w:r>
            <w:r w:rsidRPr="00B72112">
              <w:t xml:space="preserve"> and limitations, of relevant emergency equipment, including communication equipment</w:t>
            </w:r>
          </w:p>
          <w:p w:rsidR="00000000" w:rsidRPr="00B72112" w:rsidP="00B72112">
            <w:pPr>
              <w:pStyle w:val="ListBullet2"/>
            </w:pPr>
            <w:r w:rsidRPr="00B72112">
              <w:t>principles of effective liaison with emergency service personnel including ensuring that there is no interference or hindrance to their action</w:t>
            </w:r>
          </w:p>
          <w:p w:rsidR="00000000" w:rsidRPr="00B72112" w:rsidP="00B72112">
            <w:pPr>
              <w:pStyle w:val="ListBullet2"/>
            </w:pPr>
            <w:r w:rsidRPr="00B72112">
              <w:t xml:space="preserve">knowledge of organisational </w:t>
            </w:r>
            <w:r w:rsidRPr="00B72112">
              <w:t>OHS policies and procedures</w:t>
            </w:r>
          </w:p>
          <w:p w:rsidR="00000000" w:rsidRPr="00B72112" w:rsidP="00B72112">
            <w:pPr>
              <w:pStyle w:val="ListBullet2"/>
            </w:pPr>
            <w:r w:rsidRPr="00B72112">
              <w:t>nature of workplace processes (including work flow, planning and control) and hazards relevant to the particular workplace</w:t>
            </w:r>
          </w:p>
          <w:p w:rsidR="00000000" w:rsidRPr="00B72112" w:rsidP="00B72112">
            <w:pPr>
              <w:pStyle w:val="ListBullet2"/>
            </w:pPr>
            <w:r w:rsidRPr="00B72112">
              <w:t>key personnel, including identifying 'change agents', within workplace management structure</w:t>
            </w:r>
          </w:p>
          <w:p w:rsidR="00000000" w:rsidRPr="00B72112" w:rsidP="00B72112">
            <w:pPr>
              <w:pStyle w:val="ListBullet2"/>
            </w:pPr>
            <w:r w:rsidRPr="00B72112">
              <w:t>formal and in</w:t>
            </w:r>
            <w:r w:rsidRPr="00B72112">
              <w:t>formal communication and consultation processes and key personnel related to communication</w:t>
            </w:r>
          </w:p>
          <w:p w:rsidR="00000000" w:rsidRPr="00B72112" w:rsidP="00B72112">
            <w:pPr>
              <w:pStyle w:val="ListBullet2"/>
            </w:pPr>
            <w:r w:rsidRPr="00B72112">
              <w:t>language, literacy and cultural profile of the work group</w:t>
            </w:r>
          </w:p>
          <w:p w:rsidR="00000000" w:rsidRPr="00B72112" w:rsidP="00B72112">
            <w:pPr>
              <w:pStyle w:val="ListBullet2"/>
            </w:pPr>
            <w:r w:rsidRPr="00B72112">
              <w:t>organisational emergency procedures, including various roles of the workplace emergency personnel</w:t>
            </w:r>
          </w:p>
          <w:p w:rsidR="00000000" w:rsidRPr="00B72112" w:rsidP="00B72112">
            <w:pPr>
              <w:pStyle w:val="ListBullet2"/>
            </w:pPr>
            <w:r w:rsidRPr="00B72112">
              <w:t>essential</w:t>
            </w:r>
            <w:r w:rsidRPr="00B72112">
              <w:t xml:space="preserve"> actions of self/other key personnel in emergency</w:t>
            </w:r>
          </w:p>
          <w:p w:rsidR="00000000" w:rsidRPr="00B72112" w:rsidP="00B72112">
            <w:pPr>
              <w:pStyle w:val="ListBullet2"/>
            </w:pPr>
            <w:r w:rsidRPr="00B72112">
              <w:t>location of emergency procedures, equipment and evacuation assembly areas</w:t>
            </w:r>
          </w:p>
        </w:tc>
      </w:tr>
    </w:tbl>
    <w:p w:rsidR="00000000" w:rsidRPr="00B72112" w:rsidP="00B72112">
      <w:pPr>
        <w:pStyle w:val="BodyText"/>
      </w:pPr>
    </w:p>
    <w:p w:rsidR="00000000" w:rsidRPr="00B72112" w:rsidP="00B72112">
      <w:pPr>
        <w:pStyle w:val="AllowPageBreak"/>
      </w:pPr>
    </w:p>
    <w:p w:rsidR="00000000" w:rsidRPr="00B72112" w:rsidP="00B72112">
      <w:pPr>
        <w:pStyle w:val="Heading1"/>
      </w:pPr>
      <w:bookmarkStart w:id="10" w:name="O_500314"/>
      <w:bookmarkEnd w:id="10"/>
      <w:r w:rsidRPr="00B72112">
        <w:t>Evidence Guide</w:t>
      </w:r>
    </w:p>
    <w:tbl>
      <w:tblPr>
        <w:tblW w:w="9322" w:type="dxa"/>
        <w:tblLayout w:type="fixed"/>
        <w:tblCellMar>
          <w:left w:w="62" w:type="dxa"/>
          <w:right w:w="62" w:type="dxa"/>
        </w:tblCellMar>
        <w:tblLook w:val="0000"/>
      </w:tblPr>
      <w:tblGrid>
        <w:gridCol w:w="2660"/>
        <w:gridCol w:w="6662"/>
      </w:tblGrid>
      <w:tr w:rsidTr="00950B74">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B72112">
            <w:pPr>
              <w:pStyle w:val="BodyText"/>
              <w:rPr>
                <w:lang w:val="en-NZ"/>
              </w:rPr>
            </w:pPr>
            <w:r w:rsidRPr="00B72112">
              <w:t>The Evidence Guide specifies the evidence required to demonstrate achievement in the unit of competency as a whole. It must be read in conjunction with the unit descriptor, performance criteria, The range statement and the Assessment Guidelines for the Pub</w:t>
            </w:r>
            <w:r w:rsidRPr="00B72112">
              <w:t>lic Sector Training Package.</w:t>
            </w:r>
          </w:p>
        </w:tc>
      </w:tr>
      <w:tr w:rsidTr="00950B7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72112">
            <w:pPr>
              <w:pStyle w:val="BodyText"/>
              <w:rPr>
                <w:lang w:val="en-NZ"/>
              </w:rPr>
            </w:pPr>
            <w:r w:rsidRPr="00B72112">
              <w:rPr>
                <w:rStyle w:val="SpecialBold"/>
              </w:rPr>
              <w:t>Units to be assessed together</w:t>
            </w:r>
            <w:r w:rsidRPr="00B72112">
              <w:t xml:space="preserve"> </w:t>
            </w:r>
          </w:p>
        </w:tc>
        <w:tc>
          <w:tcPr>
            <w:tcW w:w="6662" w:type="dxa"/>
            <w:tcBorders>
              <w:top w:val="nil"/>
              <w:left w:val="nil"/>
              <w:bottom w:val="nil"/>
              <w:right w:val="nil"/>
            </w:tcBorders>
            <w:tcMar>
              <w:top w:w="0" w:type="dxa"/>
              <w:left w:w="62" w:type="dxa"/>
              <w:bottom w:w="0" w:type="dxa"/>
              <w:right w:w="62" w:type="dxa"/>
            </w:tcMar>
          </w:tcPr>
          <w:p w:rsidR="00000000" w:rsidRPr="00B72112" w:rsidP="00B72112">
            <w:pPr>
              <w:pStyle w:val="BodyText"/>
            </w:pPr>
            <w:r w:rsidRPr="00B72112">
              <w:t>Co-assessed units that may be assessed with this unit to increase the efficiency and realism of the assessment process include:</w:t>
            </w:r>
          </w:p>
          <w:p w:rsidR="00000000" w:rsidRPr="00B72112" w:rsidP="00B72112">
            <w:pPr>
              <w:pStyle w:val="ListBullet2"/>
            </w:pPr>
            <w:r w:rsidRPr="00B72112">
              <w:t>PSPETHC401A Uphold and support the values and principles of publi</w:t>
            </w:r>
            <w:r w:rsidRPr="00B72112">
              <w:t>c service</w:t>
            </w:r>
          </w:p>
          <w:p w:rsidR="00000000" w:rsidRPr="00B72112" w:rsidP="00B72112">
            <w:pPr>
              <w:pStyle w:val="ListBullet2"/>
            </w:pPr>
            <w:r w:rsidRPr="00B72112">
              <w:t>PSPGOV402B Deliver and monitor service to clients</w:t>
            </w:r>
          </w:p>
          <w:p w:rsidR="00000000" w:rsidRPr="00B72112" w:rsidP="00B72112">
            <w:pPr>
              <w:pStyle w:val="ListBullet2"/>
            </w:pPr>
            <w:r w:rsidRPr="00B72112">
              <w:t>PSPGOV406B Gather and analyse information</w:t>
            </w:r>
          </w:p>
          <w:p w:rsidR="00000000" w:rsidRPr="00B72112" w:rsidP="00B72112">
            <w:pPr>
              <w:pStyle w:val="ListBullet2"/>
            </w:pPr>
            <w:r w:rsidRPr="00B72112">
              <w:t>PSPGOV412A Use advanced workplace communication strategies</w:t>
            </w:r>
          </w:p>
          <w:p w:rsidR="00000000" w:rsidRPr="00B72112" w:rsidP="00B72112">
            <w:pPr>
              <w:pStyle w:val="ListBullet2"/>
            </w:pPr>
            <w:r w:rsidRPr="00B72112">
              <w:t>PSPGOV422A Apply government processes</w:t>
            </w:r>
          </w:p>
          <w:p w:rsidR="00000000" w:rsidRPr="00B72112" w:rsidP="00B72112">
            <w:pPr>
              <w:pStyle w:val="ListBullet2"/>
            </w:pPr>
            <w:r w:rsidRPr="00B72112">
              <w:t>PSPPOL404A Support policy implementation</w:t>
            </w:r>
          </w:p>
          <w:p w:rsidR="00000000" w:rsidRPr="00B72112" w:rsidP="00B72112">
            <w:pPr>
              <w:pStyle w:val="ListBullet2"/>
            </w:pPr>
            <w:r w:rsidRPr="00B72112">
              <w:t>PSPSOHS401A Contribute to the implementation of a systematic approach to managing OHS</w:t>
            </w:r>
          </w:p>
          <w:p w:rsidR="00000000" w:rsidP="00B72112">
            <w:pPr>
              <w:pStyle w:val="ListBullet2"/>
              <w:rPr>
                <w:lang w:val="en-NZ"/>
              </w:rPr>
            </w:pPr>
            <w:r w:rsidRPr="00B72112">
              <w:t>PSPSOHS407A Ensure compliance with OHS and other relevant laws.</w:t>
            </w:r>
          </w:p>
        </w:tc>
      </w:tr>
      <w:tr w:rsidTr="00950B7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72112">
            <w:pPr>
              <w:pStyle w:val="BodyText"/>
              <w:rPr>
                <w:lang w:val="en-NZ"/>
              </w:rPr>
            </w:pPr>
            <w:r w:rsidRPr="00B72112">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B72112" w:rsidP="00B72112">
            <w:pPr>
              <w:pStyle w:val="BodyText"/>
            </w:pPr>
            <w:r w:rsidRPr="00B72112">
              <w:t>In addition to integrated demonstration of the elements and their relat</w:t>
            </w:r>
            <w:r w:rsidRPr="00B72112">
              <w:t>ed performance criteria, look for evidence that confirms:</w:t>
            </w:r>
          </w:p>
          <w:p w:rsidR="00000000" w:rsidRPr="00B72112" w:rsidP="00B72112">
            <w:pPr>
              <w:pStyle w:val="ListBullet2"/>
            </w:pPr>
            <w:r w:rsidRPr="00B72112">
              <w:t xml:space="preserve">knowledge requirements of this unit </w:t>
            </w:r>
          </w:p>
          <w:p w:rsidR="00000000" w:rsidRPr="00B72112" w:rsidP="00B72112">
            <w:pPr>
              <w:pStyle w:val="ListBullet2"/>
            </w:pPr>
            <w:r w:rsidRPr="00B72112">
              <w:t>skill requirements of this unit</w:t>
            </w:r>
          </w:p>
          <w:p w:rsidR="00000000" w:rsidRPr="00B72112" w:rsidP="00B72112">
            <w:pPr>
              <w:pStyle w:val="ListBullet2"/>
            </w:pPr>
            <w:r w:rsidRPr="00B72112">
              <w:t>application of employability skills as they relate to this unit.</w:t>
            </w:r>
          </w:p>
          <w:p w:rsidR="00000000" w:rsidP="00B72112">
            <w:pPr>
              <w:pStyle w:val="BodyText"/>
              <w:rPr>
                <w:lang w:val="en-NZ"/>
              </w:rPr>
            </w:pPr>
            <w:r w:rsidRPr="00B72112">
              <w:t>The assessment environment should not disadvantage the candidat</w:t>
            </w:r>
            <w:r w:rsidRPr="00B72112">
              <w:t>e and where the person has a disability the principle of reasonable adjustment should be applied during assessment.</w:t>
            </w:r>
          </w:p>
        </w:tc>
      </w:tr>
      <w:tr w:rsidTr="00950B7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72112">
            <w:pPr>
              <w:pStyle w:val="BodyText"/>
              <w:rPr>
                <w:lang w:val="en-NZ"/>
              </w:rPr>
            </w:pPr>
            <w:r w:rsidRPr="00B72112">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B72112" w:rsidP="00B72112">
            <w:pPr>
              <w:pStyle w:val="BodyText"/>
            </w:pPr>
            <w:r w:rsidRPr="00B72112">
              <w:t>These resources include:</w:t>
            </w:r>
          </w:p>
          <w:p w:rsidR="00000000" w:rsidRPr="00B72112" w:rsidP="00B72112">
            <w:pPr>
              <w:pStyle w:val="ListBullet2"/>
            </w:pPr>
            <w:r w:rsidRPr="00B72112">
              <w:t>legislation, policy, procedures and protocols relating to the implemen</w:t>
            </w:r>
            <w:r w:rsidRPr="00B72112">
              <w:t>tation of emergency procedures</w:t>
            </w:r>
          </w:p>
          <w:p w:rsidR="00000000" w:rsidP="00B72112">
            <w:pPr>
              <w:pStyle w:val="ListBullet2"/>
              <w:rPr>
                <w:lang w:val="en-NZ"/>
              </w:rPr>
            </w:pPr>
            <w:r w:rsidRPr="00B72112">
              <w:t>case studies and workplace scenarios to capture the range of situations likely to be encountered when contributing to the implementation of emergency procedures.</w:t>
            </w:r>
          </w:p>
        </w:tc>
      </w:tr>
      <w:tr w:rsidTr="00950B7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72112">
            <w:pPr>
              <w:pStyle w:val="BodyText"/>
              <w:rPr>
                <w:lang w:val="en-NZ"/>
              </w:rPr>
            </w:pPr>
            <w:r w:rsidRPr="00B72112">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B72112" w:rsidP="00B72112">
            <w:pPr>
              <w:pStyle w:val="BodyText"/>
            </w:pPr>
            <w:r w:rsidRPr="00B72112">
              <w:t xml:space="preserve">Valid assessment of this unit requires: </w:t>
            </w:r>
          </w:p>
          <w:p w:rsidR="00000000" w:rsidRPr="00B72112" w:rsidP="00B72112">
            <w:pPr>
              <w:pStyle w:val="ListBullet2"/>
            </w:pPr>
            <w:r w:rsidRPr="00B72112">
              <w:t xml:space="preserve">a workplace environment or one that closely resembles normal work practice and replicates the range of conditions likely to be encountered when contributing to the implementation of emergency procedures, including </w:t>
            </w:r>
            <w:r w:rsidRPr="00B72112">
              <w:t>coping with difficulties, irregularities and breakdowns in routine</w:t>
            </w:r>
          </w:p>
          <w:p w:rsidR="00000000" w:rsidRPr="00B72112" w:rsidP="00B72112">
            <w:pPr>
              <w:pStyle w:val="ListBullet2"/>
            </w:pPr>
            <w:r w:rsidRPr="00B72112">
              <w:t>contribution to the implementation of emergency procedures in a range of three or more contexts or occasions, over time.</w:t>
            </w:r>
          </w:p>
          <w:p w:rsidR="00000000" w:rsidRPr="00B72112" w:rsidP="00B72112">
            <w:pPr>
              <w:pStyle w:val="BodyText"/>
            </w:pPr>
            <w:r w:rsidRPr="00B72112">
              <w:t xml:space="preserve">Assessment methods should reflect but not exceed workplace demands, </w:t>
            </w:r>
            <w:r w:rsidRPr="00B72112">
              <w:t>such as literacy, and the needs of individuals who might be disadvantaged.</w:t>
            </w:r>
          </w:p>
          <w:p w:rsidR="00000000" w:rsidRPr="00B72112" w:rsidP="00B72112">
            <w:pPr>
              <w:pStyle w:val="BodyText"/>
            </w:pPr>
            <w:r w:rsidRPr="00B72112">
              <w:t>Assessment methods suitable for valid and reliable assessment of this unit must use authenticated evidence from the workplace and/or training courses and may include a combination o</w:t>
            </w:r>
            <w:r w:rsidRPr="00B72112">
              <w:t xml:space="preserve">f two or more of: </w:t>
            </w:r>
          </w:p>
          <w:p w:rsidR="00000000" w:rsidRPr="00B72112" w:rsidP="00B72112">
            <w:pPr>
              <w:pStyle w:val="ListBullet2"/>
            </w:pPr>
            <w:r w:rsidRPr="00B72112">
              <w:t>workplace projects</w:t>
            </w:r>
          </w:p>
          <w:p w:rsidR="00000000" w:rsidRPr="00B72112" w:rsidP="00B72112">
            <w:pPr>
              <w:pStyle w:val="ListBullet2"/>
            </w:pPr>
            <w:r w:rsidRPr="00B72112">
              <w:t>simulation or role plays</w:t>
            </w:r>
          </w:p>
          <w:p w:rsidR="00000000" w:rsidRPr="00B72112" w:rsidP="00B72112">
            <w:pPr>
              <w:pStyle w:val="ListBullet2"/>
            </w:pPr>
            <w:r w:rsidRPr="00B72112">
              <w:t>case studies and scenarios</w:t>
            </w:r>
          </w:p>
          <w:p w:rsidR="00000000" w:rsidRPr="00B72112" w:rsidP="00B72112">
            <w:pPr>
              <w:pStyle w:val="ListBullet2"/>
            </w:pPr>
            <w:r w:rsidRPr="00B72112">
              <w:t>observation</w:t>
            </w:r>
          </w:p>
          <w:p w:rsidR="00000000" w:rsidRPr="00B72112" w:rsidP="00B72112">
            <w:pPr>
              <w:pStyle w:val="ListBullet2"/>
            </w:pPr>
            <w:r w:rsidRPr="00B72112">
              <w:t>portfolios.</w:t>
            </w:r>
          </w:p>
          <w:p w:rsidR="00000000" w:rsidP="00B72112">
            <w:pPr>
              <w:pStyle w:val="BodyText"/>
              <w:rPr>
                <w:lang w:val="en-NZ"/>
              </w:rPr>
            </w:pPr>
            <w:r w:rsidRPr="00B72112">
              <w:t>The assessment environment should not disadvantage the candidate and where the person has a disability the principle of reasonable adjustment</w:t>
            </w:r>
            <w:r w:rsidRPr="00B72112">
              <w:t xml:space="preserve"> should be applied during assessment.</w:t>
            </w:r>
          </w:p>
        </w:tc>
      </w:tr>
      <w:tr w:rsidTr="00950B7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72112">
            <w:pPr>
              <w:pStyle w:val="BodyText"/>
              <w:rPr>
                <w:lang w:val="en-NZ"/>
              </w:rPr>
            </w:pPr>
            <w:r w:rsidRPr="00B72112">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B72112" w:rsidP="00B72112">
            <w:pPr>
              <w:pStyle w:val="BodyText"/>
            </w:pPr>
            <w:r w:rsidRPr="00B72112">
              <w:t>Evidence must be gathered over time in a range of contexts to ensure the person can achieve the unit outcome and apply the competency in different situations or environments.</w:t>
            </w:r>
          </w:p>
        </w:tc>
      </w:tr>
    </w:tbl>
    <w:p w:rsidR="00000000" w:rsidRPr="00B72112" w:rsidP="00B72112">
      <w:pPr>
        <w:pStyle w:val="BodyText"/>
      </w:pPr>
    </w:p>
    <w:p w:rsidR="00000000" w:rsidRPr="00B72112" w:rsidP="00B72112">
      <w:pPr>
        <w:pStyle w:val="AllowPageBreak"/>
      </w:pPr>
    </w:p>
    <w:p w:rsidR="00000000" w:rsidRPr="00B72112" w:rsidP="00B72112">
      <w:pPr>
        <w:pStyle w:val="Heading1"/>
      </w:pPr>
      <w:bookmarkStart w:id="11" w:name="O_500320"/>
      <w:bookmarkEnd w:id="11"/>
      <w:r w:rsidRPr="00B72112">
        <w:t>Range Statement</w:t>
      </w:r>
    </w:p>
    <w:tbl>
      <w:tblPr>
        <w:tblW w:w="9322" w:type="dxa"/>
        <w:tblLayout w:type="fixed"/>
        <w:tblCellMar>
          <w:left w:w="62" w:type="dxa"/>
          <w:right w:w="62" w:type="dxa"/>
        </w:tblCellMar>
        <w:tblLook w:val="0000"/>
      </w:tblPr>
      <w:tblGrid>
        <w:gridCol w:w="2660"/>
        <w:gridCol w:w="6662"/>
      </w:tblGrid>
      <w:tr w:rsidTr="00950B74">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B72112">
            <w:pPr>
              <w:pStyle w:val="BodyText"/>
              <w:rPr>
                <w:lang w:val="en-NZ"/>
              </w:rPr>
            </w:pPr>
            <w:r w:rsidRPr="00B72112">
              <w:t>The range statement provides information about the context in which the unit of competency is carried out. The variables cater for differences between States and Territories and the Commonwealth, and between organisations and workpl</w:t>
            </w:r>
            <w:r w:rsidRPr="00B72112">
              <w:t xml:space="preserve">aces. They allow for different work requirements, work practices and knowledge. The range statement also provides a focus for assessment. It relates to the unit as a whole. Text in </w:t>
            </w:r>
            <w:r w:rsidRPr="00B72112">
              <w:rPr>
                <w:rStyle w:val="BoldandItalics"/>
              </w:rPr>
              <w:t xml:space="preserve">bold italics </w:t>
            </w:r>
            <w:r w:rsidRPr="00B72112">
              <w:t>in the Performance criteria is explained here.</w:t>
            </w:r>
          </w:p>
        </w:tc>
      </w:tr>
      <w:tr w:rsidTr="00950B7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72112">
            <w:pPr>
              <w:pStyle w:val="BodyText"/>
              <w:rPr>
                <w:lang w:val="en-NZ"/>
              </w:rPr>
            </w:pPr>
            <w:r w:rsidRPr="00B72112">
              <w:t xml:space="preserve">A </w:t>
            </w:r>
            <w:r w:rsidRPr="00B72112">
              <w:rPr>
                <w:rStyle w:val="BoldandItalics"/>
              </w:rPr>
              <w:t>hazard</w:t>
            </w:r>
            <w:r w:rsidRPr="00B72112">
              <w:t xml:space="preserve"> is:</w:t>
            </w:r>
          </w:p>
        </w:tc>
        <w:tc>
          <w:tcPr>
            <w:tcW w:w="6662" w:type="dxa"/>
            <w:tcBorders>
              <w:top w:val="nil"/>
              <w:left w:val="nil"/>
              <w:bottom w:val="nil"/>
              <w:right w:val="nil"/>
            </w:tcBorders>
            <w:tcMar>
              <w:top w:w="0" w:type="dxa"/>
              <w:left w:w="62" w:type="dxa"/>
              <w:bottom w:w="0" w:type="dxa"/>
              <w:right w:w="62" w:type="dxa"/>
            </w:tcMar>
          </w:tcPr>
          <w:p w:rsidR="00000000" w:rsidP="00B72112">
            <w:pPr>
              <w:pStyle w:val="ListBullet2"/>
              <w:rPr>
                <w:lang w:val="en-NZ"/>
              </w:rPr>
            </w:pPr>
            <w:r w:rsidRPr="00B72112">
              <w:t xml:space="preserve">a source or a situation with a potential for harm in terms of human injury or ill-health, damage to property, damage to the environment, or a combination of these </w:t>
            </w:r>
          </w:p>
        </w:tc>
      </w:tr>
      <w:tr w:rsidTr="00950B7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72112">
            <w:pPr>
              <w:pStyle w:val="BodyText"/>
              <w:rPr>
                <w:lang w:val="en-NZ"/>
              </w:rPr>
            </w:pPr>
            <w:r w:rsidRPr="00B72112">
              <w:rPr>
                <w:rStyle w:val="BoldandItalics"/>
              </w:rPr>
              <w:t>Standards</w:t>
            </w:r>
            <w:r w:rsidRPr="00B72112">
              <w:t xml:space="preserve"> may include:</w:t>
            </w:r>
          </w:p>
        </w:tc>
        <w:tc>
          <w:tcPr>
            <w:tcW w:w="6662" w:type="dxa"/>
            <w:tcBorders>
              <w:top w:val="nil"/>
              <w:left w:val="nil"/>
              <w:bottom w:val="nil"/>
              <w:right w:val="nil"/>
            </w:tcBorders>
            <w:tcMar>
              <w:top w:w="0" w:type="dxa"/>
              <w:left w:w="62" w:type="dxa"/>
              <w:bottom w:w="0" w:type="dxa"/>
              <w:right w:w="62" w:type="dxa"/>
            </w:tcMar>
          </w:tcPr>
          <w:p w:rsidR="00000000" w:rsidP="00B72112">
            <w:pPr>
              <w:pStyle w:val="ListBullet2"/>
              <w:rPr>
                <w:lang w:val="en-NZ"/>
              </w:rPr>
            </w:pPr>
            <w:r w:rsidRPr="00B72112">
              <w:t>international, Australian and industry-specific standards</w:t>
            </w:r>
          </w:p>
        </w:tc>
      </w:tr>
      <w:tr w:rsidTr="00950B7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72112">
            <w:pPr>
              <w:pStyle w:val="BodyText"/>
              <w:rPr>
                <w:lang w:val="en-NZ"/>
              </w:rPr>
            </w:pPr>
            <w:r w:rsidRPr="00B72112">
              <w:rPr>
                <w:rStyle w:val="BoldandItalics"/>
              </w:rPr>
              <w:t>Emergencies</w:t>
            </w:r>
            <w:r w:rsidRPr="00B72112">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B72112" w:rsidP="00B72112">
            <w:pPr>
              <w:pStyle w:val="ListBullet2"/>
            </w:pPr>
            <w:r w:rsidRPr="00B72112">
              <w:t>serious injury events</w:t>
            </w:r>
          </w:p>
          <w:p w:rsidR="00000000" w:rsidRPr="00B72112" w:rsidP="00B72112">
            <w:pPr>
              <w:pStyle w:val="ListBullet2"/>
            </w:pPr>
            <w:r w:rsidRPr="00B72112">
              <w:t>emergencies requiring evacuation</w:t>
            </w:r>
          </w:p>
          <w:p w:rsidR="00000000" w:rsidRPr="00B72112" w:rsidP="00B72112">
            <w:pPr>
              <w:pStyle w:val="ListBullet2"/>
            </w:pPr>
            <w:r w:rsidRPr="00B72112">
              <w:t>fires and explosions</w:t>
            </w:r>
          </w:p>
          <w:p w:rsidR="00000000" w:rsidRPr="00B72112" w:rsidP="00B72112">
            <w:pPr>
              <w:pStyle w:val="ListBullet2"/>
            </w:pPr>
            <w:r w:rsidRPr="00B72112">
              <w:t>hazardous substance and chemical spills</w:t>
            </w:r>
          </w:p>
          <w:p w:rsidR="00000000" w:rsidRPr="00B72112" w:rsidP="00B72112">
            <w:pPr>
              <w:pStyle w:val="ListBullet2"/>
            </w:pPr>
            <w:r w:rsidRPr="00B72112">
              <w:t>explosion and bomb alerts</w:t>
            </w:r>
          </w:p>
          <w:p w:rsidR="00000000" w:rsidRPr="00B72112" w:rsidP="00B72112">
            <w:pPr>
              <w:pStyle w:val="ListBullet2"/>
            </w:pPr>
            <w:r w:rsidRPr="00B72112">
              <w:t>security emergencies, such as armed robberies, intruders and disturbed persons</w:t>
            </w:r>
          </w:p>
          <w:p w:rsidR="00000000" w:rsidRPr="00B72112" w:rsidP="00B72112">
            <w:pPr>
              <w:pStyle w:val="ListBullet2"/>
            </w:pPr>
            <w:r w:rsidRPr="00B72112">
              <w:t xml:space="preserve">internal </w:t>
            </w:r>
            <w:r w:rsidRPr="00B72112">
              <w:t>emergencies, such as loss of power or water supply and structural collapse</w:t>
            </w:r>
          </w:p>
          <w:p w:rsidR="00000000" w:rsidP="00B72112">
            <w:pPr>
              <w:pStyle w:val="ListBullet2"/>
              <w:rPr>
                <w:lang w:val="en-NZ"/>
              </w:rPr>
            </w:pPr>
            <w:r w:rsidRPr="00B72112">
              <w:t>external emergencies and natural disasters, such as flood, storm and traffic accident impacting on the organisation</w:t>
            </w:r>
          </w:p>
        </w:tc>
      </w:tr>
      <w:tr w:rsidTr="00950B7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72112">
            <w:pPr>
              <w:pStyle w:val="BodyText"/>
              <w:rPr>
                <w:lang w:val="en-NZ"/>
              </w:rPr>
            </w:pPr>
            <w:r w:rsidRPr="00B72112">
              <w:rPr>
                <w:rStyle w:val="BoldandItalics"/>
              </w:rPr>
              <w:t>Stakeholders</w:t>
            </w:r>
            <w:r w:rsidRPr="00B72112">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B72112" w:rsidP="00B72112">
            <w:pPr>
              <w:pStyle w:val="ListBullet2"/>
            </w:pPr>
            <w:r w:rsidRPr="00B72112">
              <w:t>managers</w:t>
            </w:r>
          </w:p>
          <w:p w:rsidR="00000000" w:rsidRPr="00B72112" w:rsidP="00B72112">
            <w:pPr>
              <w:pStyle w:val="ListBullet2"/>
            </w:pPr>
            <w:r w:rsidRPr="00B72112">
              <w:t>supervisors</w:t>
            </w:r>
          </w:p>
          <w:p w:rsidR="00000000" w:rsidRPr="00B72112" w:rsidP="00B72112">
            <w:pPr>
              <w:pStyle w:val="ListBullet2"/>
            </w:pPr>
            <w:r w:rsidRPr="00B72112">
              <w:t xml:space="preserve">health and safety and other employee representatives </w:t>
            </w:r>
          </w:p>
          <w:p w:rsidR="00000000" w:rsidRPr="00B72112" w:rsidP="00B72112">
            <w:pPr>
              <w:pStyle w:val="ListBullet2"/>
            </w:pPr>
            <w:r w:rsidRPr="00B72112">
              <w:t>OHS committee</w:t>
            </w:r>
          </w:p>
          <w:p w:rsidR="00000000" w:rsidRPr="00B72112" w:rsidP="00B72112">
            <w:pPr>
              <w:pStyle w:val="ListBullet2"/>
            </w:pPr>
            <w:r w:rsidRPr="00B72112">
              <w:t>employees</w:t>
            </w:r>
          </w:p>
          <w:p w:rsidR="00000000" w:rsidP="00B72112">
            <w:pPr>
              <w:pStyle w:val="ListBullet2"/>
              <w:rPr>
                <w:lang w:val="en-NZ"/>
              </w:rPr>
            </w:pPr>
            <w:r w:rsidRPr="00B72112">
              <w:t>the community</w:t>
            </w:r>
          </w:p>
        </w:tc>
      </w:tr>
      <w:tr w:rsidTr="00950B7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72112">
            <w:pPr>
              <w:pStyle w:val="BodyText"/>
              <w:rPr>
                <w:lang w:val="en-NZ"/>
              </w:rPr>
            </w:pPr>
            <w:r w:rsidRPr="00B72112">
              <w:rPr>
                <w:rStyle w:val="BoldandItalics"/>
              </w:rPr>
              <w:t>Specialist advisors</w:t>
            </w:r>
            <w:r w:rsidRPr="00B72112">
              <w:t xml:space="preserve"> may include:</w:t>
            </w:r>
          </w:p>
        </w:tc>
        <w:tc>
          <w:tcPr>
            <w:tcW w:w="6662" w:type="dxa"/>
            <w:tcBorders>
              <w:top w:val="nil"/>
              <w:left w:val="nil"/>
              <w:bottom w:val="nil"/>
              <w:right w:val="nil"/>
            </w:tcBorders>
            <w:tcMar>
              <w:top w:w="0" w:type="dxa"/>
              <w:left w:w="62" w:type="dxa"/>
              <w:bottom w:w="0" w:type="dxa"/>
              <w:right w:w="62" w:type="dxa"/>
            </w:tcMar>
          </w:tcPr>
          <w:p w:rsidR="00000000" w:rsidP="00B72112">
            <w:pPr>
              <w:pStyle w:val="ListBullet2"/>
              <w:rPr>
                <w:lang w:val="en-NZ"/>
              </w:rPr>
            </w:pPr>
            <w:r w:rsidRPr="00B72112">
              <w:t>internal or external advisors in safety, chemicals, engineering, security and emergency response</w:t>
            </w:r>
          </w:p>
        </w:tc>
      </w:tr>
      <w:tr w:rsidTr="00950B7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72112">
            <w:pPr>
              <w:pStyle w:val="BodyText"/>
              <w:rPr>
                <w:lang w:val="en-NZ"/>
              </w:rPr>
            </w:pPr>
            <w:r w:rsidRPr="00B72112">
              <w:rPr>
                <w:rStyle w:val="BoldandItalics"/>
              </w:rPr>
              <w:t>Emergency agencies</w:t>
            </w:r>
            <w:r w:rsidRPr="00B72112">
              <w:t xml:space="preserve"> may include:</w:t>
            </w:r>
          </w:p>
        </w:tc>
        <w:tc>
          <w:tcPr>
            <w:tcW w:w="6662" w:type="dxa"/>
            <w:tcBorders>
              <w:top w:val="nil"/>
              <w:left w:val="nil"/>
              <w:bottom w:val="nil"/>
              <w:right w:val="nil"/>
            </w:tcBorders>
            <w:tcMar>
              <w:top w:w="0" w:type="dxa"/>
              <w:left w:w="62" w:type="dxa"/>
              <w:bottom w:w="0" w:type="dxa"/>
              <w:right w:w="62" w:type="dxa"/>
            </w:tcMar>
          </w:tcPr>
          <w:p w:rsidR="00000000" w:rsidP="00B72112">
            <w:pPr>
              <w:pStyle w:val="ListBullet2"/>
              <w:rPr>
                <w:lang w:val="en-NZ"/>
              </w:rPr>
            </w:pPr>
            <w:r w:rsidRPr="00B72112">
              <w:t>fire, police, ambulance, government departments, hazardous materials response teams (Hazmat) and OHS authorities</w:t>
            </w:r>
          </w:p>
        </w:tc>
      </w:tr>
      <w:tr w:rsidTr="00950B7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72112">
            <w:pPr>
              <w:pStyle w:val="BodyText"/>
              <w:rPr>
                <w:lang w:val="en-NZ"/>
              </w:rPr>
            </w:pPr>
            <w:r w:rsidRPr="00B72112">
              <w:t xml:space="preserve">A </w:t>
            </w:r>
            <w:r w:rsidRPr="00B72112">
              <w:rPr>
                <w:rStyle w:val="BoldandItalics"/>
              </w:rPr>
              <w:t>risk register</w:t>
            </w:r>
            <w:r w:rsidRPr="00B72112">
              <w:t xml:space="preserve"> contains:</w:t>
            </w:r>
          </w:p>
        </w:tc>
        <w:tc>
          <w:tcPr>
            <w:tcW w:w="6662" w:type="dxa"/>
            <w:tcBorders>
              <w:top w:val="nil"/>
              <w:left w:val="nil"/>
              <w:bottom w:val="nil"/>
              <w:right w:val="nil"/>
            </w:tcBorders>
            <w:tcMar>
              <w:top w:w="0" w:type="dxa"/>
              <w:left w:w="62" w:type="dxa"/>
              <w:bottom w:w="0" w:type="dxa"/>
              <w:right w:w="62" w:type="dxa"/>
            </w:tcMar>
          </w:tcPr>
          <w:p w:rsidR="00000000" w:rsidRPr="00B72112" w:rsidP="00B72112">
            <w:pPr>
              <w:pStyle w:val="ListBullet2"/>
            </w:pPr>
            <w:r w:rsidRPr="00B72112">
              <w:t>list of hazards</w:t>
            </w:r>
          </w:p>
          <w:p w:rsidR="00000000" w:rsidRPr="00B72112" w:rsidP="00B72112">
            <w:pPr>
              <w:pStyle w:val="ListBullet2"/>
            </w:pPr>
            <w:r w:rsidRPr="00B72112">
              <w:t>their location</w:t>
            </w:r>
          </w:p>
          <w:p w:rsidR="00000000" w:rsidRPr="00B72112" w:rsidP="00B72112">
            <w:pPr>
              <w:pStyle w:val="ListBullet2"/>
            </w:pPr>
            <w:r w:rsidRPr="00B72112">
              <w:t>a range of possible scenarios or circumstances under which an emergency could occur, including natural disasters</w:t>
            </w:r>
          </w:p>
          <w:p w:rsidR="00000000" w:rsidP="00B72112">
            <w:pPr>
              <w:pStyle w:val="ListBullet2"/>
              <w:rPr>
                <w:lang w:val="en-NZ"/>
              </w:rPr>
            </w:pPr>
            <w:r w:rsidRPr="00B72112">
              <w:t>the outcomes of any risk assessment or risk ranking</w:t>
            </w:r>
          </w:p>
        </w:tc>
      </w:tr>
      <w:tr w:rsidTr="00950B7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72112">
            <w:pPr>
              <w:pStyle w:val="BodyText"/>
              <w:rPr>
                <w:lang w:val="en-NZ"/>
              </w:rPr>
            </w:pPr>
            <w:r w:rsidRPr="00B72112">
              <w:rPr>
                <w:rStyle w:val="BoldandItalics"/>
              </w:rPr>
              <w:t>Resources</w:t>
            </w:r>
            <w:r w:rsidRPr="00B72112">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B72112" w:rsidP="00B72112">
            <w:pPr>
              <w:pStyle w:val="ListBullet2"/>
            </w:pPr>
            <w:r w:rsidRPr="00B72112">
              <w:t>emergency response personnel and equipment</w:t>
            </w:r>
          </w:p>
          <w:p w:rsidR="00000000" w:rsidRPr="00B72112" w:rsidP="00B72112">
            <w:pPr>
              <w:pStyle w:val="ListBullet2"/>
            </w:pPr>
            <w:r w:rsidRPr="00B72112">
              <w:t>first aid personnel and</w:t>
            </w:r>
            <w:r w:rsidRPr="00B72112">
              <w:t xml:space="preserve"> equipment</w:t>
            </w:r>
          </w:p>
          <w:p w:rsidR="00000000" w:rsidP="00B72112">
            <w:pPr>
              <w:pStyle w:val="ListBullet2"/>
              <w:rPr>
                <w:lang w:val="en-NZ"/>
              </w:rPr>
            </w:pPr>
            <w:r w:rsidRPr="00B72112">
              <w:t>emergency services personnel</w:t>
            </w:r>
          </w:p>
        </w:tc>
      </w:tr>
      <w:tr w:rsidTr="00950B7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72112">
            <w:pPr>
              <w:pStyle w:val="BodyText"/>
              <w:rPr>
                <w:lang w:val="en-NZ"/>
              </w:rPr>
            </w:pPr>
            <w:r w:rsidRPr="00B72112">
              <w:rPr>
                <w:rStyle w:val="BoldandItalics"/>
              </w:rPr>
              <w:t>Emergency equipment</w:t>
            </w:r>
            <w:r w:rsidRPr="00B72112">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B72112" w:rsidP="00B72112">
            <w:pPr>
              <w:pStyle w:val="ListBullet2"/>
            </w:pPr>
            <w:r w:rsidRPr="00B72112">
              <w:t xml:space="preserve">fire extinguishers and equipment </w:t>
            </w:r>
          </w:p>
          <w:p w:rsidR="00000000" w:rsidRPr="00B72112" w:rsidP="00B72112">
            <w:pPr>
              <w:pStyle w:val="ListBullet2"/>
            </w:pPr>
            <w:r w:rsidRPr="00B72112">
              <w:t>communication equipment</w:t>
            </w:r>
          </w:p>
          <w:p w:rsidR="00000000" w:rsidRPr="00B72112" w:rsidP="00B72112">
            <w:pPr>
              <w:pStyle w:val="ListBullet2"/>
            </w:pPr>
            <w:r w:rsidRPr="00B72112">
              <w:t>evacuation alarms</w:t>
            </w:r>
          </w:p>
          <w:p w:rsidR="00000000" w:rsidRPr="00B72112" w:rsidP="00B72112">
            <w:pPr>
              <w:pStyle w:val="ListBullet2"/>
            </w:pPr>
            <w:r w:rsidRPr="00B72112">
              <w:t>evacuation equipment, especially that for disabled persons</w:t>
            </w:r>
          </w:p>
          <w:p w:rsidR="00000000" w:rsidRPr="00B72112" w:rsidP="00B72112">
            <w:pPr>
              <w:pStyle w:val="ListBullet2"/>
            </w:pPr>
            <w:r w:rsidRPr="00B72112">
              <w:t>torches</w:t>
            </w:r>
          </w:p>
          <w:p w:rsidR="00000000" w:rsidP="00B72112">
            <w:pPr>
              <w:pStyle w:val="ListBullet2"/>
              <w:rPr>
                <w:lang w:val="en-NZ"/>
              </w:rPr>
            </w:pPr>
            <w:r w:rsidRPr="00B72112">
              <w:t>clothing items such as coloured hats and vests</w:t>
            </w:r>
          </w:p>
        </w:tc>
      </w:tr>
      <w:tr w:rsidTr="00950B7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72112">
            <w:pPr>
              <w:pStyle w:val="BodyText"/>
              <w:rPr>
                <w:lang w:val="en-NZ"/>
              </w:rPr>
            </w:pPr>
            <w:r w:rsidRPr="00B72112">
              <w:rPr>
                <w:rStyle w:val="BoldandItalics"/>
              </w:rPr>
              <w:t>Second response phase is after the emergency service</w:t>
            </w:r>
            <w:r w:rsidRPr="00B72112">
              <w:t>(</w:t>
            </w:r>
            <w:r w:rsidRPr="00B72112">
              <w:rPr>
                <w:rStyle w:val="BoldandItalics"/>
              </w:rPr>
              <w:t>s</w:t>
            </w:r>
            <w:r w:rsidRPr="00B72112">
              <w:t xml:space="preserve">) </w:t>
            </w:r>
            <w:r w:rsidRPr="00B72112">
              <w:rPr>
                <w:rStyle w:val="BoldandItalics"/>
              </w:rPr>
              <w:t>attend</w:t>
            </w:r>
            <w:r w:rsidRPr="00B72112">
              <w:t xml:space="preserve"> and may include:</w:t>
            </w:r>
          </w:p>
        </w:tc>
        <w:tc>
          <w:tcPr>
            <w:tcW w:w="6662" w:type="dxa"/>
            <w:tcBorders>
              <w:top w:val="nil"/>
              <w:left w:val="nil"/>
              <w:bottom w:val="nil"/>
              <w:right w:val="nil"/>
            </w:tcBorders>
            <w:tcMar>
              <w:top w:w="0" w:type="dxa"/>
              <w:left w:w="62" w:type="dxa"/>
              <w:bottom w:w="0" w:type="dxa"/>
              <w:right w:w="62" w:type="dxa"/>
            </w:tcMar>
          </w:tcPr>
          <w:p w:rsidR="00000000" w:rsidRPr="00B72112" w:rsidP="00B72112">
            <w:pPr>
              <w:pStyle w:val="ListBullet2"/>
            </w:pPr>
            <w:r w:rsidRPr="00B72112">
              <w:t xml:space="preserve">first aid </w:t>
            </w:r>
          </w:p>
          <w:p w:rsidR="00000000" w:rsidRPr="00B72112" w:rsidP="00B72112">
            <w:pPr>
              <w:pStyle w:val="ListBullet2"/>
            </w:pPr>
            <w:r w:rsidRPr="00B72112">
              <w:t>containment of personnel in evacuation area</w:t>
            </w:r>
          </w:p>
          <w:p w:rsidR="00000000" w:rsidRPr="00B72112" w:rsidP="00B72112">
            <w:pPr>
              <w:pStyle w:val="ListBullet2"/>
            </w:pPr>
            <w:r w:rsidRPr="00B72112">
              <w:t>support/counselling of personnel involved or affected</w:t>
            </w:r>
          </w:p>
          <w:p w:rsidR="00000000" w:rsidRPr="00B72112" w:rsidP="00B72112">
            <w:pPr>
              <w:pStyle w:val="ListBullet2"/>
            </w:pPr>
            <w:r w:rsidRPr="00B72112">
              <w:t>actions required i</w:t>
            </w:r>
            <w:r w:rsidRPr="00B72112">
              <w:t>f building cannot be re-occupied</w:t>
            </w:r>
          </w:p>
        </w:tc>
      </w:tr>
    </w:tbl>
    <w:p w:rsidR="00950B74" w:rsidP="00B72112">
      <w:pPr>
        <w:pStyle w:val="BodyText"/>
      </w:pPr>
    </w:p>
    <w:p w:rsidR="00950B74" w:rsidP="00B72112">
      <w:pPr>
        <w:pStyle w:val="BodyText"/>
      </w:pPr>
    </w:p>
    <w:p w:rsidR="00000000" w:rsidRPr="00B72112" w:rsidP="00B72112">
      <w:pPr>
        <w:pStyle w:val="Heading1"/>
      </w:pPr>
      <w:bookmarkStart w:id="12" w:name="O_500319"/>
      <w:bookmarkEnd w:id="12"/>
      <w:r w:rsidRPr="00B72112">
        <w:t>Unit Sector(s)</w:t>
      </w:r>
    </w:p>
    <w:p w:rsidR="00000000" w:rsidRPr="00B72112" w:rsidP="00B72112">
      <w:pPr>
        <w:pStyle w:val="BodyText"/>
      </w:pPr>
      <w:r w:rsidRPr="00B72112">
        <w:t>Not applicable.</w:t>
      </w:r>
    </w:p>
    <w:p w:rsidR="00000000" w:rsidRPr="00B72112" w:rsidP="00B72112">
      <w:pPr>
        <w:pStyle w:val="AllowPageBreak"/>
      </w:pPr>
    </w:p>
    <w:p w:rsidR="00000000" w:rsidRPr="00B72112" w:rsidP="00B72112">
      <w:pPr>
        <w:pStyle w:val="Heading1"/>
      </w:pPr>
      <w:bookmarkStart w:id="13" w:name="O_500325"/>
      <w:bookmarkEnd w:id="13"/>
      <w:r w:rsidRPr="00B72112">
        <w:t>Competency field</w:t>
      </w:r>
    </w:p>
    <w:p w:rsidR="00000000" w:rsidRPr="00B72112" w:rsidP="00B72112">
      <w:pPr>
        <w:pStyle w:val="BodyText"/>
      </w:pPr>
      <w:r w:rsidRPr="00B72112">
        <w:t>Specialist Occupational Health &amp; Safety</w:t>
      </w:r>
    </w:p>
    <w:p w:rsidR="00000000" w:rsidRPr="00B72112" w:rsidP="00B72112"/>
    <w:sectPr w:rsidSect="00B721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1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0B74" w:rsidP="00950B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1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B74" w:rsidP="00B721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50B74" w:rsidP="00B721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50B74" w:rsidP="00B721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1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112" w:rsidRPr="00950B74" w:rsidP="00950B7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1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B74" w:rsidRPr="002D2AF8" w:rsidP="00B72112">
    <w:pPr>
      <w:pStyle w:val="Header"/>
      <w:framePr w:wrap="around"/>
    </w:pPr>
    <w:r>
      <w:fldChar w:fldCharType="begin"/>
    </w:r>
    <w:r>
      <w:instrText xml:space="preserve"> TITLE   \* MERGEFORMAT </w:instrText>
    </w:r>
    <w:r>
      <w:fldChar w:fldCharType="separate"/>
    </w:r>
    <w:r>
      <w:t>PSPSOHS405A Contribute to the implementation of emergency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950B74" w:rsidP="00B721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1ECE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95E639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1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2112"/>
    <w:pPr>
      <w:spacing w:before="360" w:after="60"/>
      <w:outlineLvl w:val="0"/>
    </w:pPr>
    <w:rPr>
      <w:sz w:val="32"/>
    </w:rPr>
  </w:style>
  <w:style w:type="paragraph" w:styleId="Heading2">
    <w:name w:val="heading 2"/>
    <w:basedOn w:val="HeadingBase"/>
    <w:next w:val="BodyText"/>
    <w:link w:val="Heading2Char"/>
    <w:qFormat/>
    <w:rsid w:val="00B72112"/>
    <w:pPr>
      <w:keepLines/>
      <w:spacing w:before="240" w:after="120"/>
      <w:outlineLvl w:val="1"/>
    </w:pPr>
    <w:rPr>
      <w:sz w:val="28"/>
      <w:szCs w:val="40"/>
    </w:rPr>
  </w:style>
  <w:style w:type="paragraph" w:styleId="Heading3">
    <w:name w:val="heading 3"/>
    <w:basedOn w:val="HeadingBase"/>
    <w:next w:val="BodyText"/>
    <w:link w:val="Heading3Char"/>
    <w:qFormat/>
    <w:rsid w:val="00B72112"/>
    <w:pPr>
      <w:spacing w:before="180" w:after="120"/>
      <w:outlineLvl w:val="2"/>
    </w:pPr>
    <w:rPr>
      <w:spacing w:val="-10"/>
      <w:kern w:val="32"/>
    </w:rPr>
  </w:style>
  <w:style w:type="paragraph" w:styleId="Heading4">
    <w:name w:val="heading 4"/>
    <w:basedOn w:val="HeadingBase"/>
    <w:next w:val="BodyText"/>
    <w:link w:val="Heading4Char"/>
    <w:qFormat/>
    <w:rsid w:val="00B72112"/>
    <w:pPr>
      <w:spacing w:before="160" w:after="120"/>
      <w:outlineLvl w:val="3"/>
    </w:pPr>
    <w:rPr>
      <w:sz w:val="22"/>
    </w:rPr>
  </w:style>
  <w:style w:type="paragraph" w:styleId="Heading5">
    <w:name w:val="heading 5"/>
    <w:basedOn w:val="HeadingBase"/>
    <w:next w:val="Normal"/>
    <w:link w:val="Heading5Char"/>
    <w:qFormat/>
    <w:rsid w:val="00B72112"/>
    <w:pPr>
      <w:spacing w:before="80"/>
      <w:outlineLvl w:val="4"/>
    </w:pPr>
    <w:rPr>
      <w:color w:val="918585"/>
      <w:sz w:val="20"/>
    </w:rPr>
  </w:style>
  <w:style w:type="paragraph" w:styleId="Heading6">
    <w:name w:val="heading 6"/>
    <w:basedOn w:val="HeadingBase"/>
    <w:next w:val="Normal"/>
    <w:link w:val="Heading6Char"/>
    <w:qFormat/>
    <w:rsid w:val="00B72112"/>
    <w:pPr>
      <w:spacing w:before="60"/>
      <w:outlineLvl w:val="5"/>
    </w:pPr>
    <w:rPr>
      <w:color w:val="918585"/>
      <w:sz w:val="20"/>
    </w:rPr>
  </w:style>
  <w:style w:type="paragraph" w:styleId="Heading7">
    <w:name w:val="heading 7"/>
    <w:basedOn w:val="Normal"/>
    <w:next w:val="Normal"/>
    <w:link w:val="Heading7Char"/>
    <w:qFormat/>
    <w:rsid w:val="00B72112"/>
    <w:pPr>
      <w:ind w:left="720"/>
      <w:outlineLvl w:val="6"/>
    </w:pPr>
    <w:rPr>
      <w:i/>
    </w:rPr>
  </w:style>
  <w:style w:type="paragraph" w:styleId="Heading8">
    <w:name w:val="heading 8"/>
    <w:basedOn w:val="Normal"/>
    <w:next w:val="Normal"/>
    <w:link w:val="Heading8Char"/>
    <w:qFormat/>
    <w:rsid w:val="00B72112"/>
    <w:pPr>
      <w:ind w:left="720"/>
      <w:outlineLvl w:val="7"/>
    </w:pPr>
    <w:rPr>
      <w:i/>
    </w:rPr>
  </w:style>
  <w:style w:type="paragraph" w:styleId="Heading9">
    <w:name w:val="heading 9"/>
    <w:basedOn w:val="Normal"/>
    <w:next w:val="Normal"/>
    <w:link w:val="Heading9Char"/>
    <w:qFormat/>
    <w:rsid w:val="00B72112"/>
    <w:pPr>
      <w:ind w:left="720"/>
      <w:outlineLvl w:val="8"/>
    </w:pPr>
    <w:rPr>
      <w:i/>
    </w:rPr>
  </w:style>
  <w:style w:type="character" w:default="1" w:styleId="DefaultParagraphFont">
    <w:name w:val="Default Paragraph Font"/>
    <w:uiPriority w:val="1"/>
    <w:unhideWhenUsed/>
    <w:rsid w:val="00B721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2112"/>
  </w:style>
  <w:style w:type="character" w:customStyle="1" w:styleId="Heading1Char">
    <w:name w:val="Heading 1 Char"/>
    <w:basedOn w:val="DefaultParagraphFont"/>
    <w:link w:val="Heading1"/>
    <w:rsid w:val="00B72112"/>
    <w:rPr>
      <w:rFonts w:ascii="Times New Roman" w:eastAsia="Times New Roman" w:hAnsi="Times New Roman" w:cs="Times New Roman"/>
      <w:b/>
      <w:sz w:val="32"/>
      <w:szCs w:val="20"/>
      <w:lang w:eastAsia="en-US"/>
    </w:rPr>
  </w:style>
  <w:style w:type="paragraph" w:styleId="BodyText">
    <w:name w:val="Body Text"/>
    <w:basedOn w:val="Normal"/>
    <w:link w:val="BodyTextChar"/>
    <w:rsid w:val="00B721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2112"/>
    <w:rPr>
      <w:rFonts w:ascii="Times New Roman" w:eastAsia="Times New Roman" w:hAnsi="Times New Roman" w:cs="Times New Roman"/>
      <w:sz w:val="24"/>
      <w:lang w:eastAsia="en-US"/>
    </w:rPr>
  </w:style>
  <w:style w:type="paragraph" w:styleId="Footer">
    <w:name w:val="footer"/>
    <w:basedOn w:val="Normal"/>
    <w:link w:val="FooterChar"/>
    <w:rsid w:val="00B721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2112"/>
    <w:rPr>
      <w:rFonts w:ascii="Times New Roman" w:eastAsia="Times New Roman" w:hAnsi="Times New Roman" w:cs="Times New Roman"/>
      <w:sz w:val="16"/>
      <w:lang w:eastAsia="en-US"/>
    </w:rPr>
  </w:style>
  <w:style w:type="paragraph" w:styleId="List">
    <w:name w:val="List"/>
    <w:basedOn w:val="BodyText"/>
    <w:next w:val="BodyText"/>
    <w:rsid w:val="00B72112"/>
    <w:pPr>
      <w:tabs>
        <w:tab w:val="left" w:pos="340"/>
      </w:tabs>
      <w:spacing w:before="60" w:after="60"/>
      <w:ind w:left="340" w:hanging="340"/>
    </w:pPr>
  </w:style>
  <w:style w:type="character" w:customStyle="1" w:styleId="SpecialBold">
    <w:name w:val="Special Bold"/>
    <w:basedOn w:val="DefaultParagraphFont"/>
    <w:rsid w:val="00B72112"/>
    <w:rPr>
      <w:b/>
      <w:spacing w:val="0"/>
    </w:rPr>
  </w:style>
  <w:style w:type="paragraph" w:styleId="ListBullet2">
    <w:name w:val="List Bullet 2"/>
    <w:basedOn w:val="List2"/>
    <w:rsid w:val="00B72112"/>
    <w:pPr>
      <w:numPr>
        <w:numId w:val="14"/>
      </w:numPr>
      <w:tabs>
        <w:tab w:val="clear" w:pos="680"/>
      </w:tabs>
    </w:pPr>
  </w:style>
  <w:style w:type="paragraph" w:customStyle="1" w:styleId="SuperHeading">
    <w:name w:val="SuperHeading"/>
    <w:basedOn w:val="Normal"/>
    <w:rsid w:val="00B72112"/>
    <w:pPr>
      <w:spacing w:before="240" w:after="120"/>
      <w:outlineLvl w:val="0"/>
    </w:pPr>
    <w:rPr>
      <w:rFonts w:ascii="Times New Roman" w:hAnsi="Times New Roman"/>
      <w:b/>
      <w:sz w:val="28"/>
    </w:rPr>
  </w:style>
  <w:style w:type="paragraph" w:customStyle="1" w:styleId="AllowPageBreak">
    <w:name w:val="AllowPageBreak"/>
    <w:rsid w:val="00B7211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72112"/>
    <w:pPr>
      <w:numPr>
        <w:numId w:val="2"/>
      </w:numPr>
      <w:tabs>
        <w:tab w:val="clear" w:pos="1021"/>
      </w:tabs>
      <w:ind w:left="1037" w:hanging="357"/>
    </w:pPr>
  </w:style>
  <w:style w:type="character" w:customStyle="1" w:styleId="BoldandItalics">
    <w:name w:val="Bold and Italics"/>
    <w:qFormat/>
    <w:rsid w:val="00B72112"/>
    <w:rPr>
      <w:b/>
      <w:i/>
      <w:u w:val="none"/>
    </w:rPr>
  </w:style>
  <w:style w:type="character" w:customStyle="1" w:styleId="Heading2Char">
    <w:name w:val="Heading 2 Char"/>
    <w:basedOn w:val="DefaultParagraphFont"/>
    <w:link w:val="Heading2"/>
    <w:rsid w:val="00B721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21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21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21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21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21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21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2112"/>
    <w:rPr>
      <w:rFonts w:ascii="Courier New" w:eastAsia="Times New Roman" w:hAnsi="Courier New" w:cs="Times New Roman"/>
      <w:i/>
      <w:szCs w:val="20"/>
      <w:lang w:eastAsia="en-US"/>
    </w:rPr>
  </w:style>
  <w:style w:type="paragraph" w:customStyle="1" w:styleId="HeadingBase">
    <w:name w:val="Heading Base"/>
    <w:rsid w:val="00B721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2112"/>
    <w:pPr>
      <w:tabs>
        <w:tab w:val="right" w:leader="dot" w:pos="9072"/>
      </w:tabs>
      <w:ind w:left="567"/>
    </w:pPr>
    <w:rPr>
      <w:szCs w:val="22"/>
    </w:rPr>
  </w:style>
  <w:style w:type="paragraph" w:customStyle="1" w:styleId="TOCBase">
    <w:name w:val="TOC Base"/>
    <w:rsid w:val="00B721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2112"/>
    <w:pPr>
      <w:tabs>
        <w:tab w:val="right" w:leader="dot" w:pos="9072"/>
      </w:tabs>
      <w:spacing w:before="40" w:after="40"/>
      <w:ind w:left="284"/>
    </w:pPr>
    <w:rPr>
      <w:rFonts w:ascii="Times New Roman" w:hAnsi="Times New Roman"/>
    </w:rPr>
  </w:style>
  <w:style w:type="paragraph" w:styleId="TOC1">
    <w:name w:val="toc 1"/>
    <w:basedOn w:val="TOCBase"/>
    <w:next w:val="Normal"/>
    <w:rsid w:val="00B721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2112"/>
    <w:pPr>
      <w:spacing w:before="5040"/>
      <w:jc w:val="center"/>
    </w:pPr>
    <w:rPr>
      <w:sz w:val="48"/>
      <w:szCs w:val="72"/>
      <w:lang w:val="en-US"/>
    </w:rPr>
  </w:style>
  <w:style w:type="character" w:customStyle="1" w:styleId="TitleChar">
    <w:name w:val="Title Char"/>
    <w:basedOn w:val="DefaultParagraphFont"/>
    <w:link w:val="Title"/>
    <w:rsid w:val="00B721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2112"/>
    <w:pPr>
      <w:tabs>
        <w:tab w:val="left" w:pos="3600"/>
        <w:tab w:val="left" w:pos="3958"/>
      </w:tabs>
    </w:pPr>
  </w:style>
  <w:style w:type="paragraph" w:styleId="ListBullet">
    <w:name w:val="List Bullet"/>
    <w:basedOn w:val="List"/>
    <w:rsid w:val="00B72112"/>
    <w:pPr>
      <w:numPr>
        <w:numId w:val="13"/>
      </w:numPr>
      <w:tabs>
        <w:tab w:val="clear" w:pos="340"/>
      </w:tabs>
      <w:spacing w:before="40" w:after="40"/>
    </w:pPr>
  </w:style>
  <w:style w:type="paragraph" w:customStyle="1" w:styleId="Note">
    <w:name w:val="Note"/>
    <w:basedOn w:val="BodyText"/>
    <w:rsid w:val="00B721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2112"/>
    <w:pPr>
      <w:framePr w:wrap="auto" w:hAnchor="text" w:y="6049"/>
    </w:pPr>
    <w:rPr>
      <w:color w:val="000000"/>
      <w:sz w:val="40"/>
    </w:rPr>
  </w:style>
  <w:style w:type="paragraph" w:customStyle="1" w:styleId="TOCTitle">
    <w:name w:val="TOCTitle"/>
    <w:basedOn w:val="Heading1"/>
    <w:rsid w:val="00B72112"/>
    <w:pPr>
      <w:spacing w:after="240"/>
      <w:jc w:val="center"/>
      <w:outlineLvl w:val="9"/>
    </w:pPr>
    <w:rPr>
      <w:caps/>
    </w:rPr>
  </w:style>
  <w:style w:type="paragraph" w:customStyle="1" w:styleId="Version">
    <w:name w:val="Version"/>
    <w:rsid w:val="00B721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2112"/>
    <w:pPr>
      <w:keepNext w:val="0"/>
      <w:tabs>
        <w:tab w:val="right" w:pos="4176"/>
      </w:tabs>
      <w:ind w:left="198" w:hanging="198"/>
    </w:pPr>
    <w:rPr>
      <w:rFonts w:ascii="Garamond" w:hAnsi="Garamond"/>
    </w:rPr>
  </w:style>
  <w:style w:type="paragraph" w:styleId="IndexHeading">
    <w:name w:val="index heading"/>
    <w:basedOn w:val="Normal"/>
    <w:next w:val="Index1"/>
    <w:semiHidden/>
    <w:rsid w:val="00B72112"/>
    <w:pPr>
      <w:spacing w:before="120" w:after="120"/>
    </w:pPr>
    <w:rPr>
      <w:rFonts w:ascii="Arial" w:hAnsi="Arial"/>
      <w:b/>
      <w:color w:val="918585"/>
      <w:sz w:val="24"/>
    </w:rPr>
  </w:style>
  <w:style w:type="paragraph" w:styleId="Header">
    <w:name w:val="header"/>
    <w:basedOn w:val="Normal"/>
    <w:link w:val="HeaderChar"/>
    <w:rsid w:val="00B721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2112"/>
    <w:rPr>
      <w:rFonts w:ascii="Times New Roman" w:eastAsia="Times New Roman" w:hAnsi="Times New Roman" w:cs="Times New Roman"/>
      <w:sz w:val="16"/>
      <w:szCs w:val="20"/>
      <w:lang w:val="en-GB" w:eastAsia="en-US"/>
    </w:rPr>
  </w:style>
  <w:style w:type="paragraph" w:customStyle="1" w:styleId="Chapter">
    <w:name w:val="Chapter"/>
    <w:basedOn w:val="Normal"/>
    <w:rsid w:val="00B72112"/>
    <w:pPr>
      <w:spacing w:before="240"/>
    </w:pPr>
    <w:rPr>
      <w:rFonts w:ascii="Times New Roman" w:hAnsi="Times New Roman"/>
      <w:smallCaps/>
      <w:spacing w:val="80"/>
      <w:sz w:val="28"/>
    </w:rPr>
  </w:style>
  <w:style w:type="paragraph" w:customStyle="1" w:styleId="InChapter">
    <w:name w:val="InChapter"/>
    <w:basedOn w:val="Heading3"/>
    <w:rsid w:val="00B72112"/>
    <w:pPr>
      <w:spacing w:after="240"/>
      <w:outlineLvl w:val="9"/>
    </w:pPr>
    <w:rPr>
      <w:noProof/>
    </w:rPr>
  </w:style>
  <w:style w:type="paragraph" w:styleId="Index2">
    <w:name w:val="index 2"/>
    <w:basedOn w:val="Normal"/>
    <w:next w:val="Normal"/>
    <w:semiHidden/>
    <w:rsid w:val="00B72112"/>
    <w:pPr>
      <w:tabs>
        <w:tab w:val="right" w:pos="4176"/>
      </w:tabs>
      <w:ind w:left="568" w:hanging="284"/>
    </w:pPr>
    <w:rPr>
      <w:rFonts w:ascii="Garamond" w:hAnsi="Garamond"/>
    </w:rPr>
  </w:style>
  <w:style w:type="paragraph" w:customStyle="1" w:styleId="Byline">
    <w:name w:val="Byline"/>
    <w:rsid w:val="00B721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2112"/>
    <w:pPr>
      <w:tabs>
        <w:tab w:val="clear" w:pos="3600"/>
        <w:tab w:val="clear" w:pos="3958"/>
      </w:tabs>
      <w:jc w:val="right"/>
    </w:pPr>
  </w:style>
  <w:style w:type="character" w:styleId="Emphasis">
    <w:name w:val="Emphasis"/>
    <w:basedOn w:val="DefaultParagraphFont"/>
    <w:qFormat/>
    <w:rsid w:val="00B72112"/>
    <w:rPr>
      <w:i/>
    </w:rPr>
  </w:style>
  <w:style w:type="paragraph" w:styleId="Caption">
    <w:name w:val="caption"/>
    <w:basedOn w:val="BodyText"/>
    <w:next w:val="Normal"/>
    <w:qFormat/>
    <w:rsid w:val="00B72112"/>
    <w:pPr>
      <w:framePr w:w="2268" w:hSpace="181" w:vSpace="181" w:wrap="around" w:vAnchor="text" w:hAnchor="page" w:x="1135" w:y="285" w:anchorLock="1"/>
    </w:pPr>
    <w:rPr>
      <w:i/>
    </w:rPr>
  </w:style>
  <w:style w:type="paragraph" w:customStyle="1" w:styleId="MiniTOCTitle">
    <w:name w:val="MiniTOCTitle"/>
    <w:basedOn w:val="Heading4"/>
    <w:rsid w:val="00B72112"/>
    <w:pPr>
      <w:spacing w:before="240"/>
      <w:outlineLvl w:val="9"/>
    </w:pPr>
    <w:rPr>
      <w:noProof/>
      <w:sz w:val="24"/>
    </w:rPr>
  </w:style>
  <w:style w:type="paragraph" w:customStyle="1" w:styleId="MiniTOCItem">
    <w:name w:val="MiniTOCItem"/>
    <w:basedOn w:val="ListBullet"/>
    <w:rsid w:val="00B72112"/>
    <w:pPr>
      <w:numPr>
        <w:numId w:val="0"/>
      </w:numPr>
      <w:tabs>
        <w:tab w:val="right" w:leader="dot" w:pos="6521"/>
      </w:tabs>
      <w:spacing w:before="0" w:after="0"/>
    </w:pPr>
  </w:style>
  <w:style w:type="paragraph" w:customStyle="1" w:styleId="TOFTitle">
    <w:name w:val="TOFTitle"/>
    <w:basedOn w:val="TOCTitle"/>
    <w:rsid w:val="00B72112"/>
  </w:style>
  <w:style w:type="paragraph" w:styleId="TableofFigures">
    <w:name w:val="table of figures"/>
    <w:basedOn w:val="Normal"/>
    <w:next w:val="Normal"/>
    <w:semiHidden/>
    <w:rsid w:val="00B72112"/>
    <w:pPr>
      <w:tabs>
        <w:tab w:val="right" w:leader="dot" w:pos="9072"/>
      </w:tabs>
      <w:ind w:left="970" w:hanging="403"/>
    </w:pPr>
    <w:rPr>
      <w:rFonts w:ascii="Times New Roman" w:hAnsi="Times New Roman"/>
      <w:b/>
    </w:rPr>
  </w:style>
  <w:style w:type="paragraph" w:styleId="ListNumber">
    <w:name w:val="List Number"/>
    <w:basedOn w:val="List"/>
    <w:rsid w:val="00B72112"/>
    <w:pPr>
      <w:numPr>
        <w:numId w:val="11"/>
      </w:numPr>
    </w:pPr>
  </w:style>
  <w:style w:type="character" w:customStyle="1" w:styleId="WingdingSymbols">
    <w:name w:val="Wingding Symbols"/>
    <w:rsid w:val="00B72112"/>
    <w:rPr>
      <w:rFonts w:ascii="Wingdings" w:hAnsi="Wingdings"/>
    </w:rPr>
  </w:style>
  <w:style w:type="paragraph" w:customStyle="1" w:styleId="TableHeading">
    <w:name w:val="Table Heading"/>
    <w:basedOn w:val="HeadingBase"/>
    <w:rsid w:val="00B72112"/>
    <w:pPr>
      <w:keepLines/>
      <w:pBdr>
        <w:bottom w:val="single" w:sz="6" w:space="1" w:color="918585"/>
      </w:pBdr>
      <w:spacing w:before="240"/>
    </w:pPr>
  </w:style>
  <w:style w:type="character" w:customStyle="1" w:styleId="HotSpot">
    <w:name w:val="HotSpot"/>
    <w:rsid w:val="00B72112"/>
    <w:rPr>
      <w:color w:val="0033CC"/>
      <w:u w:val="none"/>
    </w:rPr>
  </w:style>
  <w:style w:type="paragraph" w:customStyle="1" w:styleId="BodyTextRight">
    <w:name w:val="Body Text Right"/>
    <w:basedOn w:val="BodyText"/>
    <w:rsid w:val="00B72112"/>
    <w:pPr>
      <w:spacing w:before="0" w:after="0"/>
      <w:jc w:val="right"/>
    </w:pPr>
  </w:style>
  <w:style w:type="paragraph" w:styleId="Index3">
    <w:name w:val="index 3"/>
    <w:basedOn w:val="ListNumber2"/>
    <w:next w:val="Normal"/>
    <w:semiHidden/>
    <w:rsid w:val="00B72112"/>
    <w:pPr>
      <w:numPr>
        <w:numId w:val="0"/>
      </w:numPr>
      <w:tabs>
        <w:tab w:val="right" w:leader="dot" w:pos="4176"/>
      </w:tabs>
    </w:pPr>
  </w:style>
  <w:style w:type="paragraph" w:styleId="ListNumber2">
    <w:name w:val="List Number 2"/>
    <w:basedOn w:val="List2"/>
    <w:rsid w:val="00B72112"/>
    <w:pPr>
      <w:numPr>
        <w:numId w:val="10"/>
      </w:numPr>
      <w:tabs>
        <w:tab w:val="clear" w:pos="1060"/>
      </w:tabs>
    </w:pPr>
  </w:style>
  <w:style w:type="paragraph" w:customStyle="1" w:styleId="MarginNote">
    <w:name w:val="Margin Note"/>
    <w:basedOn w:val="BodyText"/>
    <w:rsid w:val="00B721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21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21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2112"/>
    <w:rPr>
      <w:sz w:val="32"/>
    </w:rPr>
  </w:style>
  <w:style w:type="paragraph" w:customStyle="1" w:styleId="HeadingProcedure">
    <w:name w:val="Heading Procedure"/>
    <w:basedOn w:val="HeadingBase"/>
    <w:next w:val="Normal"/>
    <w:rsid w:val="00B72112"/>
    <w:pPr>
      <w:tabs>
        <w:tab w:val="left" w:pos="0"/>
      </w:tabs>
      <w:spacing w:before="120" w:after="60"/>
    </w:pPr>
    <w:rPr>
      <w:i/>
      <w:color w:val="918585"/>
      <w:sz w:val="22"/>
    </w:rPr>
  </w:style>
  <w:style w:type="paragraph" w:customStyle="1" w:styleId="TableBodyText">
    <w:name w:val="Table Body Text"/>
    <w:basedOn w:val="BodyText"/>
    <w:rsid w:val="00B72112"/>
    <w:pPr>
      <w:spacing w:before="60" w:after="60"/>
    </w:pPr>
  </w:style>
  <w:style w:type="paragraph" w:styleId="ListContinue">
    <w:name w:val="List Continue"/>
    <w:basedOn w:val="List"/>
    <w:rsid w:val="00B72112"/>
    <w:pPr>
      <w:ind w:firstLine="0"/>
    </w:pPr>
  </w:style>
  <w:style w:type="paragraph" w:customStyle="1" w:styleId="ListNote">
    <w:name w:val="List Note"/>
    <w:basedOn w:val="List"/>
    <w:rsid w:val="00B72112"/>
    <w:pPr>
      <w:pBdr>
        <w:top w:val="single" w:sz="6" w:space="2" w:color="918585"/>
        <w:bottom w:val="single" w:sz="6" w:space="2" w:color="918585"/>
      </w:pBdr>
      <w:tabs>
        <w:tab w:val="left" w:pos="1021"/>
      </w:tabs>
      <w:ind w:firstLine="0"/>
    </w:pPr>
  </w:style>
  <w:style w:type="paragraph" w:customStyle="1" w:styleId="Warning">
    <w:name w:val="Warning"/>
    <w:basedOn w:val="BodyText"/>
    <w:rsid w:val="00B72112"/>
    <w:pPr>
      <w:shd w:val="clear" w:color="auto" w:fill="D9D9D9"/>
      <w:tabs>
        <w:tab w:val="left" w:pos="992"/>
      </w:tabs>
      <w:ind w:left="119" w:right="119"/>
    </w:pPr>
    <w:rPr>
      <w:sz w:val="20"/>
    </w:rPr>
  </w:style>
  <w:style w:type="paragraph" w:customStyle="1" w:styleId="MarginIcons">
    <w:name w:val="Margin Icons"/>
    <w:basedOn w:val="BodyText"/>
    <w:rsid w:val="00B721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2112"/>
    <w:rPr>
      <w:rFonts w:ascii="Courier New" w:hAnsi="Courier New"/>
    </w:rPr>
  </w:style>
  <w:style w:type="paragraph" w:customStyle="1" w:styleId="NoteBullet">
    <w:name w:val="Note Bullet"/>
    <w:basedOn w:val="Note"/>
    <w:rsid w:val="00B72112"/>
    <w:pPr>
      <w:tabs>
        <w:tab w:val="clear" w:pos="680"/>
      </w:tabs>
      <w:spacing w:before="60" w:after="60"/>
    </w:pPr>
  </w:style>
  <w:style w:type="paragraph" w:customStyle="1" w:styleId="SubHeading2">
    <w:name w:val="SubHeading2"/>
    <w:basedOn w:val="HeadingBase"/>
    <w:rsid w:val="00B72112"/>
    <w:pPr>
      <w:spacing w:before="240" w:after="60"/>
    </w:pPr>
    <w:rPr>
      <w:sz w:val="20"/>
    </w:rPr>
  </w:style>
  <w:style w:type="paragraph" w:customStyle="1" w:styleId="SubHeading1">
    <w:name w:val="SubHeading1"/>
    <w:basedOn w:val="HeadingBase"/>
    <w:rsid w:val="00B72112"/>
    <w:pPr>
      <w:spacing w:before="240" w:after="60"/>
    </w:pPr>
    <w:rPr>
      <w:color w:val="918585"/>
      <w:sz w:val="22"/>
    </w:rPr>
  </w:style>
  <w:style w:type="paragraph" w:customStyle="1" w:styleId="SideHeading">
    <w:name w:val="Side Heading"/>
    <w:basedOn w:val="HeadingBase"/>
    <w:rsid w:val="00B721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2112"/>
    <w:pPr>
      <w:numPr>
        <w:numId w:val="12"/>
      </w:numPr>
    </w:pPr>
  </w:style>
  <w:style w:type="paragraph" w:styleId="PlainText">
    <w:name w:val="Plain Text"/>
    <w:basedOn w:val="Normal"/>
    <w:link w:val="PlainTextChar"/>
    <w:rsid w:val="00B72112"/>
    <w:rPr>
      <w:sz w:val="20"/>
    </w:rPr>
  </w:style>
  <w:style w:type="character" w:customStyle="1" w:styleId="PlainTextChar">
    <w:name w:val="Plain Text Char"/>
    <w:basedOn w:val="DefaultParagraphFont"/>
    <w:link w:val="PlainText"/>
    <w:rsid w:val="00B72112"/>
    <w:rPr>
      <w:rFonts w:ascii="Courier New" w:eastAsia="Times New Roman" w:hAnsi="Courier New" w:cs="Times New Roman"/>
      <w:sz w:val="20"/>
      <w:szCs w:val="20"/>
      <w:lang w:eastAsia="en-US"/>
    </w:rPr>
  </w:style>
  <w:style w:type="character" w:customStyle="1" w:styleId="MenuOption">
    <w:name w:val="Menu Option"/>
    <w:basedOn w:val="DefaultParagraphFont"/>
    <w:rsid w:val="00B72112"/>
    <w:rPr>
      <w:b/>
      <w:smallCaps/>
    </w:rPr>
  </w:style>
  <w:style w:type="paragraph" w:customStyle="1" w:styleId="TableListNumber">
    <w:name w:val="Table List Number"/>
    <w:basedOn w:val="ListNumber"/>
    <w:rsid w:val="00B72112"/>
    <w:pPr>
      <w:numPr>
        <w:numId w:val="0"/>
      </w:numPr>
    </w:pPr>
  </w:style>
  <w:style w:type="paragraph" w:styleId="TOC4">
    <w:name w:val="toc 4"/>
    <w:basedOn w:val="TOCBase"/>
    <w:next w:val="Normal"/>
    <w:semiHidden/>
    <w:rsid w:val="00B72112"/>
    <w:pPr>
      <w:tabs>
        <w:tab w:val="right" w:leader="dot" w:pos="9071"/>
      </w:tabs>
      <w:ind w:left="1701"/>
    </w:pPr>
  </w:style>
  <w:style w:type="paragraph" w:customStyle="1" w:styleId="ListAlpha">
    <w:name w:val="List Alpha"/>
    <w:basedOn w:val="List"/>
    <w:rsid w:val="00B72112"/>
    <w:pPr>
      <w:numPr>
        <w:numId w:val="9"/>
      </w:numPr>
    </w:pPr>
  </w:style>
  <w:style w:type="paragraph" w:customStyle="1" w:styleId="ListAlpha2">
    <w:name w:val="List Alpha 2"/>
    <w:basedOn w:val="List2"/>
    <w:rsid w:val="00B72112"/>
    <w:pPr>
      <w:numPr>
        <w:numId w:val="8"/>
      </w:numPr>
    </w:pPr>
  </w:style>
  <w:style w:type="paragraph" w:styleId="List2">
    <w:name w:val="List 2"/>
    <w:basedOn w:val="BodyText"/>
    <w:rsid w:val="00B72112"/>
    <w:pPr>
      <w:tabs>
        <w:tab w:val="left" w:pos="680"/>
      </w:tabs>
      <w:spacing w:before="60" w:after="60"/>
      <w:ind w:left="680" w:hanging="340"/>
    </w:pPr>
  </w:style>
  <w:style w:type="paragraph" w:styleId="List3">
    <w:name w:val="List 3"/>
    <w:basedOn w:val="BodyText"/>
    <w:rsid w:val="00B72112"/>
    <w:pPr>
      <w:tabs>
        <w:tab w:val="left" w:pos="1021"/>
      </w:tabs>
      <w:spacing w:before="60" w:after="60"/>
      <w:ind w:left="1020" w:hanging="340"/>
    </w:pPr>
  </w:style>
  <w:style w:type="paragraph" w:styleId="List4">
    <w:name w:val="List 4"/>
    <w:basedOn w:val="BodyText"/>
    <w:rsid w:val="00B72112"/>
    <w:pPr>
      <w:tabs>
        <w:tab w:val="left" w:pos="1361"/>
      </w:tabs>
      <w:spacing w:before="60" w:after="60"/>
      <w:ind w:left="1361" w:hanging="340"/>
    </w:pPr>
  </w:style>
  <w:style w:type="paragraph" w:styleId="List5">
    <w:name w:val="List 5"/>
    <w:basedOn w:val="BodyText"/>
    <w:rsid w:val="00B72112"/>
    <w:pPr>
      <w:tabs>
        <w:tab w:val="left" w:pos="1701"/>
      </w:tabs>
      <w:spacing w:before="60" w:after="60"/>
      <w:ind w:left="1701" w:hanging="340"/>
    </w:pPr>
  </w:style>
  <w:style w:type="paragraph" w:styleId="ListBullet4">
    <w:name w:val="List Bullet 4"/>
    <w:basedOn w:val="List4"/>
    <w:rsid w:val="00B72112"/>
    <w:pPr>
      <w:numPr>
        <w:numId w:val="3"/>
      </w:numPr>
    </w:pPr>
  </w:style>
  <w:style w:type="paragraph" w:styleId="ListBullet5">
    <w:name w:val="List Bullet 5"/>
    <w:basedOn w:val="List5"/>
    <w:rsid w:val="00B72112"/>
    <w:pPr>
      <w:numPr>
        <w:numId w:val="4"/>
      </w:numPr>
    </w:pPr>
  </w:style>
  <w:style w:type="paragraph" w:styleId="ListContinue2">
    <w:name w:val="List Continue 2"/>
    <w:basedOn w:val="List2"/>
    <w:rsid w:val="00B72112"/>
    <w:pPr>
      <w:ind w:firstLine="0"/>
    </w:pPr>
  </w:style>
  <w:style w:type="paragraph" w:styleId="ListContinue3">
    <w:name w:val="List Continue 3"/>
    <w:basedOn w:val="List3"/>
    <w:rsid w:val="00B72112"/>
    <w:pPr>
      <w:ind w:left="1021" w:firstLine="0"/>
    </w:pPr>
  </w:style>
  <w:style w:type="paragraph" w:styleId="ListContinue4">
    <w:name w:val="List Continue 4"/>
    <w:basedOn w:val="List4"/>
    <w:rsid w:val="00B72112"/>
    <w:pPr>
      <w:ind w:firstLine="0"/>
    </w:pPr>
  </w:style>
  <w:style w:type="paragraph" w:styleId="ListContinue5">
    <w:name w:val="List Continue 5"/>
    <w:basedOn w:val="List5"/>
    <w:rsid w:val="00B72112"/>
    <w:pPr>
      <w:ind w:firstLine="0"/>
    </w:pPr>
  </w:style>
  <w:style w:type="paragraph" w:styleId="ListNumber3">
    <w:name w:val="List Number 3"/>
    <w:basedOn w:val="List3"/>
    <w:rsid w:val="00B72112"/>
    <w:pPr>
      <w:numPr>
        <w:numId w:val="5"/>
      </w:numPr>
    </w:pPr>
  </w:style>
  <w:style w:type="paragraph" w:styleId="ListNumber4">
    <w:name w:val="List Number 4"/>
    <w:basedOn w:val="List4"/>
    <w:rsid w:val="00B72112"/>
    <w:pPr>
      <w:numPr>
        <w:numId w:val="6"/>
      </w:numPr>
    </w:pPr>
  </w:style>
  <w:style w:type="paragraph" w:styleId="ListNumber5">
    <w:name w:val="List Number 5"/>
    <w:basedOn w:val="List5"/>
    <w:rsid w:val="00B72112"/>
    <w:pPr>
      <w:numPr>
        <w:numId w:val="7"/>
      </w:numPr>
    </w:pPr>
  </w:style>
  <w:style w:type="paragraph" w:styleId="BlockText">
    <w:name w:val="Block Text"/>
    <w:basedOn w:val="Normal"/>
    <w:rsid w:val="00B72112"/>
    <w:pPr>
      <w:spacing w:after="120"/>
      <w:ind w:left="1440" w:right="1440"/>
    </w:pPr>
  </w:style>
  <w:style w:type="character" w:customStyle="1" w:styleId="Subscript">
    <w:name w:val="Subscript"/>
    <w:basedOn w:val="DefaultParagraphFont"/>
    <w:rsid w:val="00B72112"/>
    <w:rPr>
      <w:sz w:val="16"/>
      <w:vertAlign w:val="subscript"/>
    </w:rPr>
  </w:style>
  <w:style w:type="character" w:customStyle="1" w:styleId="Superscript">
    <w:name w:val="Superscript"/>
    <w:basedOn w:val="DefaultParagraphFont"/>
    <w:rsid w:val="00B72112"/>
    <w:rPr>
      <w:sz w:val="16"/>
      <w:vertAlign w:val="superscript"/>
    </w:rPr>
  </w:style>
  <w:style w:type="character" w:customStyle="1" w:styleId="Symbols">
    <w:name w:val="Symbols"/>
    <w:basedOn w:val="DefaultParagraphFont"/>
    <w:rsid w:val="00B72112"/>
    <w:rPr>
      <w:rFonts w:ascii="Symbol" w:hAnsi="Symbol"/>
    </w:rPr>
  </w:style>
  <w:style w:type="character" w:customStyle="1" w:styleId="MenuOptions">
    <w:name w:val="Menu Options"/>
    <w:basedOn w:val="DefaultParagraphFont"/>
    <w:rsid w:val="00B72112"/>
    <w:rPr>
      <w:rFonts w:ascii="Arial Narrow" w:hAnsi="Arial Narrow"/>
      <w:smallCaps/>
    </w:rPr>
  </w:style>
  <w:style w:type="character" w:customStyle="1" w:styleId="Buttons">
    <w:name w:val="Buttons"/>
    <w:basedOn w:val="DefaultParagraphFont"/>
    <w:rsid w:val="00B72112"/>
    <w:rPr>
      <w:b/>
    </w:rPr>
  </w:style>
  <w:style w:type="character" w:customStyle="1" w:styleId="Underlined">
    <w:name w:val="Underlined"/>
    <w:basedOn w:val="DefaultParagraphFont"/>
    <w:rsid w:val="00B72112"/>
    <w:rPr>
      <w:u w:val="single"/>
    </w:rPr>
  </w:style>
  <w:style w:type="paragraph" w:customStyle="1" w:styleId="TableBodyTextRight">
    <w:name w:val="Table Body Text Right"/>
    <w:basedOn w:val="TableBodyText"/>
    <w:rsid w:val="00B72112"/>
    <w:pPr>
      <w:widowControl w:val="0"/>
      <w:autoSpaceDE w:val="0"/>
      <w:autoSpaceDN w:val="0"/>
      <w:adjustRightInd w:val="0"/>
      <w:jc w:val="right"/>
    </w:pPr>
    <w:rPr>
      <w:rFonts w:cs="Arial"/>
      <w:szCs w:val="18"/>
    </w:rPr>
  </w:style>
  <w:style w:type="paragraph" w:customStyle="1" w:styleId="CopyrightText">
    <w:name w:val="Copyright Text"/>
    <w:basedOn w:val="BodyText"/>
    <w:rsid w:val="00B72112"/>
    <w:rPr>
      <w:sz w:val="18"/>
    </w:rPr>
  </w:style>
  <w:style w:type="paragraph" w:customStyle="1" w:styleId="BodySmallRight">
    <w:name w:val="Body Small Right"/>
    <w:basedOn w:val="BodyTextRight"/>
    <w:rsid w:val="00B72112"/>
    <w:rPr>
      <w:sz w:val="18"/>
      <w:szCs w:val="18"/>
    </w:rPr>
  </w:style>
  <w:style w:type="paragraph" w:customStyle="1" w:styleId="MarginEdition">
    <w:name w:val="Margin Edition"/>
    <w:basedOn w:val="MarginNote"/>
    <w:rsid w:val="00B72112"/>
    <w:pPr>
      <w:spacing w:before="0" w:after="0"/>
    </w:pPr>
    <w:rPr>
      <w:rFonts w:ascii="Times New Roman" w:hAnsi="Times New Roman"/>
      <w:color w:val="999999"/>
    </w:rPr>
  </w:style>
  <w:style w:type="paragraph" w:customStyle="1" w:styleId="Spacer">
    <w:name w:val="Spacer"/>
    <w:basedOn w:val="Normal"/>
    <w:rsid w:val="00B72112"/>
    <w:rPr>
      <w:sz w:val="2"/>
      <w:szCs w:val="2"/>
    </w:rPr>
  </w:style>
  <w:style w:type="character" w:customStyle="1" w:styleId="Small">
    <w:name w:val="Small"/>
    <w:basedOn w:val="DefaultParagraphFont"/>
    <w:rsid w:val="00B72112"/>
    <w:rPr>
      <w:sz w:val="16"/>
    </w:rPr>
  </w:style>
  <w:style w:type="paragraph" w:customStyle="1" w:styleId="WideTable">
    <w:name w:val="Wide Table"/>
    <w:basedOn w:val="Normal"/>
    <w:rsid w:val="00B72112"/>
    <w:pPr>
      <w:ind w:left="-1418"/>
    </w:pPr>
    <w:rPr>
      <w:sz w:val="2"/>
      <w:szCs w:val="2"/>
    </w:rPr>
  </w:style>
  <w:style w:type="character" w:styleId="PageNumber">
    <w:name w:val="page number"/>
    <w:basedOn w:val="DefaultParagraphFont"/>
    <w:rsid w:val="00B72112"/>
  </w:style>
  <w:style w:type="paragraph" w:styleId="Quote">
    <w:name w:val="Quote"/>
    <w:basedOn w:val="Heading1"/>
    <w:link w:val="QuoteChar"/>
    <w:qFormat/>
    <w:rsid w:val="00B72112"/>
    <w:rPr>
      <w:b w:val="0"/>
      <w:sz w:val="72"/>
      <w:szCs w:val="72"/>
      <w:lang w:val="en-NZ"/>
    </w:rPr>
  </w:style>
  <w:style w:type="character" w:customStyle="1" w:styleId="QuoteChar">
    <w:name w:val="Quote Char"/>
    <w:basedOn w:val="DefaultParagraphFont"/>
    <w:link w:val="Quote"/>
    <w:rsid w:val="00B721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2112"/>
    <w:pPr>
      <w:pageBreakBefore/>
    </w:pPr>
  </w:style>
  <w:style w:type="paragraph" w:customStyle="1" w:styleId="Border">
    <w:name w:val="Border"/>
    <w:basedOn w:val="Normal"/>
    <w:qFormat/>
    <w:rsid w:val="00B721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2112"/>
    <w:rPr>
      <w:b/>
      <w:bCs/>
      <w:i/>
      <w:iCs/>
      <w:color w:val="auto"/>
    </w:rPr>
  </w:style>
  <w:style w:type="paragraph" w:styleId="IntenseQuote">
    <w:name w:val="Intense Quote"/>
    <w:basedOn w:val="Normal"/>
    <w:next w:val="Normal"/>
    <w:link w:val="IntenseQuoteChar"/>
    <w:uiPriority w:val="30"/>
    <w:qFormat/>
    <w:rsid w:val="00B721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21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2112"/>
    <w:rPr>
      <w:smallCaps/>
      <w:color w:val="auto"/>
      <w:u w:val="single"/>
    </w:rPr>
  </w:style>
  <w:style w:type="character" w:styleId="IntenseReference">
    <w:name w:val="Intense Reference"/>
    <w:basedOn w:val="DefaultParagraphFont"/>
    <w:uiPriority w:val="32"/>
    <w:qFormat/>
    <w:rsid w:val="00B72112"/>
    <w:rPr>
      <w:b/>
      <w:bCs/>
      <w:smallCaps/>
      <w:color w:val="auto"/>
      <w:spacing w:val="5"/>
      <w:u w:val="single"/>
    </w:rPr>
  </w:style>
  <w:style w:type="paragraph" w:customStyle="1" w:styleId="2ColumnHeading">
    <w:name w:val="2Column Heading"/>
    <w:basedOn w:val="BodyText"/>
    <w:qFormat/>
    <w:rsid w:val="00B72112"/>
    <w:pPr>
      <w:spacing w:after="60"/>
      <w:ind w:left="-2268"/>
    </w:pPr>
    <w:rPr>
      <w:b/>
    </w:rPr>
  </w:style>
  <w:style w:type="paragraph" w:customStyle="1" w:styleId="Heading1TOC">
    <w:name w:val="Heading1 TOC"/>
    <w:basedOn w:val="Normal"/>
    <w:qFormat/>
    <w:rsid w:val="00B72112"/>
    <w:pPr>
      <w:spacing w:before="240" w:after="120"/>
    </w:pPr>
    <w:rPr>
      <w:rFonts w:ascii="Times New Roman" w:hAnsi="Times New Roman"/>
      <w:b/>
      <w:sz w:val="32"/>
    </w:rPr>
  </w:style>
  <w:style w:type="paragraph" w:customStyle="1" w:styleId="Heading2TOC">
    <w:name w:val="Heading2 TOC"/>
    <w:basedOn w:val="Normal"/>
    <w:qFormat/>
    <w:rsid w:val="00B72112"/>
    <w:pPr>
      <w:spacing w:before="240" w:after="60"/>
    </w:pPr>
    <w:rPr>
      <w:rFonts w:ascii="Times New Roman" w:hAnsi="Times New Roman"/>
      <w:b/>
      <w:sz w:val="28"/>
    </w:rPr>
  </w:style>
  <w:style w:type="character" w:customStyle="1" w:styleId="Underline">
    <w:name w:val="Underline"/>
    <w:basedOn w:val="DefaultParagraphFont"/>
    <w:qFormat/>
    <w:rsid w:val="00B72112"/>
    <w:rPr>
      <w:u w:val="single"/>
    </w:rPr>
  </w:style>
  <w:style w:type="paragraph" w:styleId="BalloonText">
    <w:name w:val="Balloon Text"/>
    <w:basedOn w:val="Normal"/>
    <w:link w:val="BalloonTextChar"/>
    <w:rsid w:val="00B72112"/>
    <w:rPr>
      <w:rFonts w:ascii="Tahoma" w:hAnsi="Tahoma" w:cs="Tahoma"/>
      <w:sz w:val="16"/>
      <w:szCs w:val="16"/>
    </w:rPr>
  </w:style>
  <w:style w:type="character" w:customStyle="1" w:styleId="BalloonTextChar">
    <w:name w:val="Balloon Text Char"/>
    <w:basedOn w:val="DefaultParagraphFont"/>
    <w:link w:val="BalloonText"/>
    <w:rsid w:val="00B721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21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21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2112"/>
    <w:rPr>
      <w:b/>
      <w:color w:val="660033"/>
      <w:spacing w:val="0"/>
    </w:rPr>
  </w:style>
  <w:style w:type="paragraph" w:customStyle="1" w:styleId="Nameditemlist">
    <w:name w:val="Named item list"/>
    <w:basedOn w:val="BodyText"/>
    <w:qFormat/>
    <w:rsid w:val="00B7211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1844</Words>
  <Characters>11746</Characters>
  <Application>Microsoft Office Word</Application>
  <DocSecurity>0</DocSecurity>
  <Lines>340</Lines>
  <Paragraphs>191</Paragraphs>
  <ScaleCrop>false</ScaleCrop>
  <Company>Author-it Software Corporation Ltd.</Company>
  <LinksUpToDate>false</LinksUpToDate>
  <CharactersWithSpaces>13501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PSPSOHS405A Contribute to the implementation of emergency procedures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2012-11-01T02:49:00Z</dcterms:created>
  <dcterms:modified xsi:type="dcterms:W3CDTF">2012-11-01T02:49:00Z</dcterms:modified>
</cp:coreProperties>
</file>