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3CC" w:rsidP="007C53CC">
      <w:pPr>
        <w:pStyle w:val="Title"/>
      </w:pPr>
      <w:r>
        <w:fldChar w:fldCharType="begin"/>
      </w:r>
      <w:r>
        <w:instrText xml:space="preserve"> TITLE   \* MERGEFORMAT </w:instrText>
      </w:r>
      <w:r>
        <w:fldChar w:fldCharType="separate"/>
      </w:r>
      <w:r>
        <w:t>PSPSEC502A Develop security risk management plans</w:t>
      </w:r>
      <w:r>
        <w:fldChar w:fldCharType="end"/>
      </w:r>
    </w:p>
    <w:p w:rsidR="007C53CC" w:rsidP="007C53CC">
      <w:pPr>
        <w:pStyle w:val="Version"/>
        <w:sectPr w:rsidSect="00CA05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A0540" w:rsidP="00CA0540">
      <w:pPr>
        <w:pStyle w:val="SuperHeading"/>
      </w:pPr>
      <w:r w:rsidRPr="00CA0540">
        <w:t>PSPSEC502A Develop security risk management plans</w:t>
      </w:r>
    </w:p>
    <w:p w:rsidR="00000000" w:rsidRPr="00CA0540" w:rsidP="00CA0540">
      <w:pPr>
        <w:pStyle w:val="SuperHeading"/>
      </w:pPr>
    </w:p>
    <w:p w:rsidR="00000000" w:rsidRPr="00CA0540" w:rsidP="00CA0540">
      <w:pPr>
        <w:pStyle w:val="Heading1"/>
      </w:pPr>
      <w:bookmarkStart w:id="1" w:name="O_499833"/>
      <w:bookmarkEnd w:id="1"/>
      <w:r w:rsidRPr="00CA0540">
        <w:t>Modification History</w:t>
      </w:r>
    </w:p>
    <w:tbl>
      <w:tblPr>
        <w:tblW w:w="0" w:type="auto"/>
        <w:tblLayout w:type="fixed"/>
        <w:tblCellMar>
          <w:left w:w="62" w:type="dxa"/>
          <w:right w:w="62" w:type="dxa"/>
        </w:tblCellMar>
        <w:tblLook w:val="0000"/>
      </w:tblPr>
      <w:tblGrid>
        <w:gridCol w:w="3052"/>
        <w:gridCol w:w="3052"/>
        <w:gridCol w:w="3052"/>
      </w:tblGrid>
      <w:tr w:rsidTr="007C53C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540" w:rsidP="00CA0540">
            <w:pPr>
              <w:pStyle w:val="BodyText"/>
            </w:pPr>
            <w:r w:rsidRPr="00CA0540">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540" w:rsidP="00CA0540">
            <w:pPr>
              <w:pStyle w:val="BodyText"/>
            </w:pPr>
            <w:r w:rsidRPr="00CA0540">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540">
            <w:pPr>
              <w:pStyle w:val="BodyText"/>
              <w:rPr>
                <w:lang w:val="en-NZ"/>
              </w:rPr>
            </w:pPr>
            <w:r w:rsidRPr="00CA0540">
              <w:rPr>
                <w:rStyle w:val="SpecialBold"/>
              </w:rPr>
              <w:t>Comments</w:t>
            </w:r>
          </w:p>
        </w:tc>
      </w:tr>
      <w:tr w:rsidTr="007C53C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540">
            <w:pPr>
              <w:pStyle w:val="BodyText"/>
              <w:rPr>
                <w:lang w:val="en-NZ"/>
              </w:rPr>
            </w:pPr>
            <w:r w:rsidRPr="00CA0540">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540">
            <w:pPr>
              <w:pStyle w:val="BodyText"/>
              <w:rPr>
                <w:lang w:val="en-NZ"/>
              </w:rPr>
            </w:pPr>
            <w:r w:rsidRPr="00CA0540">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540">
            <w:pPr>
              <w:pStyle w:val="BodyText"/>
              <w:rPr>
                <w:lang w:val="en-NZ"/>
              </w:rPr>
            </w:pPr>
            <w:r w:rsidRPr="00CA0540">
              <w:t xml:space="preserve">Unit descriptor edited. </w:t>
            </w:r>
          </w:p>
        </w:tc>
      </w:tr>
      <w:tr w:rsidTr="007C53C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540">
            <w:pPr>
              <w:pStyle w:val="BodyText"/>
              <w:rPr>
                <w:lang w:val="en-NZ"/>
              </w:rPr>
            </w:pPr>
            <w:r w:rsidRPr="00CA0540">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540">
            <w:pPr>
              <w:pStyle w:val="BodyText"/>
              <w:rPr>
                <w:lang w:val="en-NZ"/>
              </w:rPr>
            </w:pPr>
            <w:r w:rsidRPr="00CA0540">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540">
            <w:pPr>
              <w:pStyle w:val="BodyText"/>
              <w:rPr>
                <w:lang w:val="en-NZ"/>
              </w:rPr>
            </w:pPr>
            <w:r w:rsidRPr="00CA0540">
              <w:t>Layout adjusted. No changes to content.</w:t>
            </w:r>
          </w:p>
        </w:tc>
      </w:tr>
      <w:tr w:rsidTr="007C53C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540">
            <w:pPr>
              <w:pStyle w:val="BodyText"/>
              <w:rPr>
                <w:lang w:val="en-NZ"/>
              </w:rPr>
            </w:pPr>
            <w:r w:rsidRPr="00CA0540">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540">
            <w:pPr>
              <w:pStyle w:val="BodyText"/>
              <w:rPr>
                <w:lang w:val="en-NZ"/>
              </w:rPr>
            </w:pPr>
            <w:r w:rsidRPr="00CA0540">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540" w:rsidP="00CA0540">
            <w:pPr>
              <w:pStyle w:val="BodyText"/>
            </w:pPr>
            <w:r w:rsidRPr="00CA0540">
              <w:t>Primary release.</w:t>
            </w:r>
          </w:p>
        </w:tc>
      </w:tr>
    </w:tbl>
    <w:p w:rsidR="007C53CC" w:rsidP="00CA0540">
      <w:pPr>
        <w:pStyle w:val="BodyText"/>
      </w:pPr>
    </w:p>
    <w:p w:rsidR="007C53CC" w:rsidP="00CA0540">
      <w:pPr>
        <w:pStyle w:val="BodyText"/>
      </w:pPr>
    </w:p>
    <w:p w:rsidR="007C53CC" w:rsidP="00CA0540">
      <w:pPr>
        <w:pStyle w:val="BodyText"/>
      </w:pPr>
      <w:r w:rsidRPr="00CA0540">
        <w:t>.</w:t>
      </w:r>
    </w:p>
    <w:p w:rsidR="007C53CC" w:rsidP="00CA0540">
      <w:pPr>
        <w:pStyle w:val="BodyText"/>
      </w:pPr>
    </w:p>
    <w:p w:rsidR="00000000" w:rsidRPr="00CA0540" w:rsidP="00CA0540">
      <w:pPr>
        <w:pStyle w:val="Heading1"/>
      </w:pPr>
      <w:bookmarkStart w:id="2" w:name="O_499834"/>
      <w:bookmarkEnd w:id="2"/>
      <w:r w:rsidRPr="00CA0540">
        <w:t>Unit Descriptor</w:t>
      </w:r>
    </w:p>
    <w:p w:rsidR="00000000" w:rsidRPr="00CA0540" w:rsidP="00CA0540">
      <w:pPr>
        <w:pStyle w:val="BodyText"/>
      </w:pPr>
      <w:r w:rsidRPr="00CA0540">
        <w:t>This unit covers planning to treat security risks through the development of a security risk management plan. It includes identifying security cou</w:t>
      </w:r>
      <w:r w:rsidRPr="00CA0540">
        <w:t>ntermeasures and developing a formal security plan.</w:t>
      </w:r>
    </w:p>
    <w:p w:rsidR="00000000" w:rsidRPr="00CA0540" w:rsidP="00CA0540">
      <w:pPr>
        <w:pStyle w:val="BodyText"/>
      </w:pPr>
      <w:r w:rsidRPr="00CA0540">
        <w:t>In practice, development of a security risk management plan may overlap with other generalist or specialist public sector work activities such as acting ethically, promoting compliance with legislation, d</w:t>
      </w:r>
      <w:r w:rsidRPr="00CA0540">
        <w:t xml:space="preserve">eveloping client services, undertaking research and analysis. </w:t>
      </w:r>
    </w:p>
    <w:p w:rsidR="007C53CC" w:rsidP="00CA0540">
      <w:pPr>
        <w:pStyle w:val="BodyText"/>
      </w:pPr>
      <w:r w:rsidRPr="00CA0540">
        <w:t>No licensing, legislative, regulatory or certification requirements apply to this unit at the time of endorsement.</w:t>
      </w:r>
    </w:p>
    <w:p w:rsidR="007C53CC" w:rsidP="00CA0540">
      <w:pPr>
        <w:pStyle w:val="BodyText"/>
      </w:pPr>
    </w:p>
    <w:p w:rsidR="00000000" w:rsidRPr="00CA0540" w:rsidP="00CA0540">
      <w:pPr>
        <w:pStyle w:val="Heading1"/>
      </w:pPr>
      <w:bookmarkStart w:id="3" w:name="O_499844"/>
      <w:bookmarkEnd w:id="3"/>
      <w:r w:rsidRPr="00CA0540">
        <w:t>Application of the Unit</w:t>
      </w:r>
    </w:p>
    <w:p w:rsidR="00000000" w:rsidRPr="00CA0540" w:rsidP="00CA0540">
      <w:pPr>
        <w:pStyle w:val="BodyText"/>
      </w:pPr>
      <w:r w:rsidRPr="00CA0540">
        <w:t>Not applicable.</w:t>
      </w:r>
    </w:p>
    <w:p w:rsidR="00000000" w:rsidRPr="00CA0540" w:rsidP="00CA0540">
      <w:pPr>
        <w:pStyle w:val="AllowPageBreak"/>
      </w:pPr>
    </w:p>
    <w:p w:rsidR="00000000" w:rsidRPr="00CA0540" w:rsidP="00CA0540">
      <w:pPr>
        <w:pStyle w:val="Heading1"/>
      </w:pPr>
      <w:bookmarkStart w:id="4" w:name="O_499836"/>
      <w:bookmarkEnd w:id="4"/>
      <w:r w:rsidRPr="00CA0540">
        <w:t>Licensing/Regulatory Information</w:t>
      </w:r>
    </w:p>
    <w:p w:rsidR="00000000" w:rsidRPr="00CA0540" w:rsidP="00CA0540">
      <w:pPr>
        <w:pStyle w:val="BodyText"/>
      </w:pPr>
      <w:r w:rsidRPr="00CA0540">
        <w:t>Not applicable.</w:t>
      </w:r>
    </w:p>
    <w:p w:rsidR="00000000" w:rsidRPr="00CA0540" w:rsidP="00CA0540">
      <w:pPr>
        <w:pStyle w:val="AllowPageBreak"/>
      </w:pPr>
    </w:p>
    <w:p w:rsidR="00000000" w:rsidRPr="00CA0540" w:rsidP="00CA0540">
      <w:pPr>
        <w:pStyle w:val="Heading1"/>
      </w:pPr>
      <w:bookmarkStart w:id="5" w:name="O_499837"/>
      <w:bookmarkEnd w:id="5"/>
      <w:r w:rsidRPr="00CA0540">
        <w:t>Pre-Requisites</w:t>
      </w:r>
    </w:p>
    <w:p w:rsidR="00000000" w:rsidRPr="00CA0540" w:rsidP="00CA0540">
      <w:pPr>
        <w:pStyle w:val="BodyText"/>
      </w:pPr>
      <w:r w:rsidRPr="00CA0540">
        <w:t>Not applicable.</w:t>
      </w:r>
    </w:p>
    <w:p w:rsidR="00000000" w:rsidRPr="00CA0540" w:rsidP="00CA0540">
      <w:pPr>
        <w:pStyle w:val="AllowPageBreak"/>
      </w:pPr>
    </w:p>
    <w:p w:rsidR="00000000" w:rsidRPr="00CA0540" w:rsidP="00CA0540">
      <w:pPr>
        <w:pStyle w:val="Heading1"/>
      </w:pPr>
      <w:bookmarkStart w:id="6" w:name="O_499840"/>
      <w:bookmarkEnd w:id="6"/>
      <w:r w:rsidRPr="00CA0540">
        <w:t>Employability Skills Information</w:t>
      </w:r>
    </w:p>
    <w:p w:rsidR="00000000" w:rsidRPr="00CA0540" w:rsidP="00CA0540">
      <w:pPr>
        <w:pStyle w:val="BodyText"/>
      </w:pPr>
      <w:r w:rsidRPr="00CA0540">
        <w:t>This unit contains employability skills.</w:t>
      </w:r>
    </w:p>
    <w:p w:rsidR="00000000" w:rsidRPr="00CA0540" w:rsidP="00CA0540">
      <w:pPr>
        <w:pStyle w:val="AllowPageBreak"/>
      </w:pPr>
    </w:p>
    <w:p w:rsidR="00000000" w:rsidRPr="00CA0540" w:rsidP="00CA0540">
      <w:pPr>
        <w:pStyle w:val="Heading1"/>
      </w:pPr>
      <w:bookmarkStart w:id="7" w:name="O_499841"/>
      <w:bookmarkEnd w:id="7"/>
      <w:r w:rsidRPr="00CA0540">
        <w:t>Elements and Performance Criteria Pre-Content</w:t>
      </w:r>
    </w:p>
    <w:tbl>
      <w:tblPr>
        <w:tblW w:w="9322" w:type="dxa"/>
        <w:tblLayout w:type="fixed"/>
        <w:tblCellMar>
          <w:left w:w="62" w:type="dxa"/>
          <w:right w:w="62" w:type="dxa"/>
        </w:tblCellMar>
        <w:tblLook w:val="0000"/>
      </w:tblPr>
      <w:tblGrid>
        <w:gridCol w:w="2660"/>
        <w:gridCol w:w="6662"/>
      </w:tblGrid>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t>Eleme</w:t>
            </w:r>
            <w:r w:rsidRPr="00CA0540">
              <w:t>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CA0540" w:rsidP="00CA0540">
            <w:pPr>
              <w:pStyle w:val="BodyText"/>
            </w:pPr>
            <w:r w:rsidRPr="00CA0540">
              <w:t>Together, performance criteria specify the requirements for competent performance. Text in</w:t>
            </w:r>
            <w:r w:rsidRPr="00CA0540">
              <w:rPr>
                <w:rStyle w:val="BoldandItalics"/>
              </w:rPr>
              <w:t xml:space="preserve"> bold italics </w:t>
            </w:r>
            <w:r w:rsidRPr="00CA0540">
              <w:t xml:space="preserve"> is explained in the Range Statement following.</w:t>
            </w:r>
          </w:p>
        </w:tc>
      </w:tr>
    </w:tbl>
    <w:p w:rsidR="00000000" w:rsidRPr="00CA0540" w:rsidP="00CA0540">
      <w:pPr>
        <w:pStyle w:val="BodyText"/>
      </w:pPr>
    </w:p>
    <w:p w:rsidR="00000000" w:rsidRPr="00CA0540" w:rsidP="00CA0540">
      <w:pPr>
        <w:pStyle w:val="AllowPageBreak"/>
      </w:pPr>
    </w:p>
    <w:p w:rsidR="00000000" w:rsidRPr="00CA0540" w:rsidP="00CA0540">
      <w:pPr>
        <w:pStyle w:val="Heading1"/>
      </w:pPr>
      <w:bookmarkStart w:id="8" w:name="O_499842"/>
      <w:bookmarkEnd w:id="8"/>
      <w:r w:rsidRPr="00CA0540">
        <w:t>Elements and Performance Criteria</w:t>
      </w:r>
    </w:p>
    <w:tbl>
      <w:tblPr>
        <w:tblW w:w="9322" w:type="dxa"/>
        <w:tblLayout w:type="fixed"/>
        <w:tblCellMar>
          <w:left w:w="62" w:type="dxa"/>
          <w:right w:w="62" w:type="dxa"/>
        </w:tblCellMar>
        <w:tblLook w:val="0000"/>
      </w:tblPr>
      <w:tblGrid>
        <w:gridCol w:w="2660"/>
        <w:gridCol w:w="6662"/>
      </w:tblGrid>
      <w:tr w:rsidTr="007C53CC">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CA0540" w:rsidP="00CA0540">
            <w:pPr>
              <w:pStyle w:val="BodyText"/>
            </w:pPr>
            <w:r w:rsidRPr="00CA054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rPr>
                <w:rStyle w:val="SpecialBold"/>
              </w:rPr>
              <w:t>PERFORMANCE CRITERIA</w:t>
            </w:r>
          </w:p>
        </w:tc>
      </w:tr>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A0540">
            <w:pPr>
              <w:pStyle w:val="List"/>
              <w:rPr>
                <w:lang w:val="en-NZ"/>
              </w:rPr>
            </w:pPr>
            <w:r w:rsidRPr="00CA0540">
              <w:rPr>
                <w:rStyle w:val="SpecialBold"/>
              </w:rPr>
              <w:t xml:space="preserve">1.  </w:t>
            </w:r>
            <w:r w:rsidRPr="00CA0540">
              <w:rPr>
                <w:rStyle w:val="SpecialBold"/>
              </w:rPr>
              <w:tab/>
              <w:t>Identify countermeasures</w:t>
            </w:r>
          </w:p>
        </w:tc>
        <w:tc>
          <w:tcPr>
            <w:tcW w:w="6662" w:type="dxa"/>
            <w:tcBorders>
              <w:top w:val="nil"/>
              <w:left w:val="nil"/>
              <w:bottom w:val="nil"/>
              <w:right w:val="nil"/>
            </w:tcBorders>
            <w:tcMar>
              <w:top w:w="0" w:type="dxa"/>
              <w:left w:w="62" w:type="dxa"/>
              <w:bottom w:w="0" w:type="dxa"/>
              <w:right w:w="62" w:type="dxa"/>
            </w:tcMar>
          </w:tcPr>
          <w:p w:rsidR="00000000" w:rsidRPr="00CA0540" w:rsidP="00CA0540">
            <w:pPr>
              <w:pStyle w:val="List"/>
            </w:pPr>
            <w:r w:rsidRPr="00CA0540">
              <w:t>1.1</w:t>
            </w:r>
            <w:r w:rsidRPr="00CA0540">
              <w:tab/>
              <w:t xml:space="preserve">Documented </w:t>
            </w:r>
            <w:r w:rsidRPr="00CA0540">
              <w:rPr>
                <w:rStyle w:val="BoldandItalics"/>
              </w:rPr>
              <w:t xml:space="preserve">risks/threats are reviewed </w:t>
            </w:r>
            <w:r w:rsidRPr="00CA0540">
              <w:t xml:space="preserve">and management decisions on </w:t>
            </w:r>
            <w:r w:rsidRPr="00CA0540">
              <w:rPr>
                <w:rStyle w:val="BoldandItalics"/>
              </w:rPr>
              <w:t xml:space="preserve">acceptable </w:t>
            </w:r>
            <w:r w:rsidRPr="00CA0540">
              <w:t xml:space="preserve">and </w:t>
            </w:r>
            <w:r w:rsidRPr="00CA0540">
              <w:rPr>
                <w:rStyle w:val="BoldandItalics"/>
              </w:rPr>
              <w:t xml:space="preserve">unacceptable </w:t>
            </w:r>
            <w:r w:rsidRPr="00CA0540">
              <w:t>risks are confirmed.</w:t>
            </w:r>
          </w:p>
          <w:p w:rsidR="00000000" w:rsidRPr="00CA0540" w:rsidP="00CA0540">
            <w:pPr>
              <w:pStyle w:val="List"/>
            </w:pPr>
            <w:r w:rsidRPr="00CA0540">
              <w:t>1.2</w:t>
            </w:r>
            <w:r w:rsidRPr="00CA0540">
              <w:tab/>
            </w:r>
            <w:r w:rsidRPr="00CA0540">
              <w:rPr>
                <w:rStyle w:val="BoldandItalics"/>
              </w:rPr>
              <w:t>Treatment options/countermeasures</w:t>
            </w:r>
            <w:r w:rsidRPr="00CA0540">
              <w:t xml:space="preserve"> are determined that are consistent with organisational policies, procedures and guidelines to reduce the </w:t>
            </w:r>
            <w:r w:rsidRPr="00CA0540">
              <w:rPr>
                <w:rStyle w:val="BoldandItalics"/>
              </w:rPr>
              <w:t xml:space="preserve">likelihood </w:t>
            </w:r>
            <w:r w:rsidRPr="00CA0540">
              <w:t xml:space="preserve">of occurrence or the </w:t>
            </w:r>
            <w:r w:rsidRPr="00CA0540">
              <w:rPr>
                <w:rStyle w:val="BoldandItalics"/>
              </w:rPr>
              <w:t xml:space="preserve">consequences </w:t>
            </w:r>
            <w:r w:rsidRPr="00CA0540">
              <w:t>of the risk, or both.</w:t>
            </w:r>
          </w:p>
          <w:p w:rsidR="00000000" w:rsidRPr="00CA0540" w:rsidP="00CA0540">
            <w:pPr>
              <w:pStyle w:val="List"/>
            </w:pPr>
            <w:r w:rsidRPr="00CA0540">
              <w:t>1.3</w:t>
            </w:r>
            <w:r w:rsidRPr="00CA0540">
              <w:tab/>
              <w:t xml:space="preserve">Treatments include </w:t>
            </w:r>
            <w:r w:rsidRPr="00CA0540">
              <w:rPr>
                <w:rStyle w:val="BoldandItalics"/>
              </w:rPr>
              <w:t>continuity plans</w:t>
            </w:r>
            <w:r w:rsidRPr="00CA0540">
              <w:t>, where appropriate, in accordance with orga</w:t>
            </w:r>
            <w:r w:rsidRPr="00CA0540">
              <w:t>nisational policy and procedures.</w:t>
            </w:r>
          </w:p>
          <w:p w:rsidR="00000000" w:rsidRPr="00CA0540" w:rsidP="00CA0540">
            <w:pPr>
              <w:pStyle w:val="List"/>
            </w:pPr>
            <w:r w:rsidRPr="00CA0540">
              <w:t>1.4</w:t>
            </w:r>
            <w:r w:rsidRPr="00CA0540">
              <w:tab/>
              <w:t xml:space="preserve">Treatments match the </w:t>
            </w:r>
            <w:r w:rsidRPr="00CA0540">
              <w:rPr>
                <w:rStyle w:val="BoldandItalics"/>
              </w:rPr>
              <w:t xml:space="preserve">level </w:t>
            </w:r>
            <w:r w:rsidRPr="00CA0540">
              <w:t>and type of risk and the importance of the function or resource.</w:t>
            </w:r>
          </w:p>
          <w:p w:rsidR="00000000" w:rsidRPr="00CA0540" w:rsidP="00CA0540">
            <w:pPr>
              <w:pStyle w:val="List"/>
            </w:pPr>
            <w:r w:rsidRPr="00CA0540">
              <w:t>1.5</w:t>
            </w:r>
            <w:r w:rsidRPr="00CA0540">
              <w:tab/>
              <w:t xml:space="preserve">A </w:t>
            </w:r>
            <w:r w:rsidRPr="00CA0540">
              <w:rPr>
                <w:rStyle w:val="BoldandItalics"/>
              </w:rPr>
              <w:t>cost-benefit analysis</w:t>
            </w:r>
            <w:r w:rsidRPr="00CA0540">
              <w:t xml:space="preserve"> is conducted to determine cost-effective countermeasures.</w:t>
            </w:r>
          </w:p>
          <w:p w:rsidR="00000000" w:rsidP="00CA0540">
            <w:pPr>
              <w:pStyle w:val="List"/>
              <w:rPr>
                <w:lang w:val="en-NZ"/>
              </w:rPr>
            </w:pPr>
            <w:r w:rsidRPr="00CA0540">
              <w:t>1.6</w:t>
            </w:r>
            <w:r w:rsidRPr="00CA0540">
              <w:tab/>
            </w:r>
            <w:r w:rsidRPr="00CA0540">
              <w:rPr>
                <w:rStyle w:val="BoldandItalics"/>
              </w:rPr>
              <w:t xml:space="preserve">Stakeholders </w:t>
            </w:r>
            <w:r w:rsidRPr="00CA0540">
              <w:t>are consulted on the co</w:t>
            </w:r>
            <w:r w:rsidRPr="00CA0540">
              <w:t>st-benefit analysis, and countermeasures are determined and submitted for decision/prioritising in accordance with organisational policy and procedures.</w:t>
            </w:r>
          </w:p>
        </w:tc>
      </w:tr>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A0540">
            <w:pPr>
              <w:pStyle w:val="List"/>
              <w:rPr>
                <w:lang w:val="en-NZ"/>
              </w:rPr>
            </w:pPr>
            <w:r w:rsidRPr="00CA0540">
              <w:rPr>
                <w:rStyle w:val="SpecialBold"/>
              </w:rPr>
              <w:t xml:space="preserve">2.  </w:t>
            </w:r>
            <w:r w:rsidRPr="00CA0540">
              <w:rPr>
                <w:rStyle w:val="SpecialBold"/>
              </w:rPr>
              <w:tab/>
              <w:t>Develop security plan</w:t>
            </w:r>
          </w:p>
        </w:tc>
        <w:tc>
          <w:tcPr>
            <w:tcW w:w="6662" w:type="dxa"/>
            <w:tcBorders>
              <w:top w:val="nil"/>
              <w:left w:val="nil"/>
              <w:bottom w:val="nil"/>
              <w:right w:val="nil"/>
            </w:tcBorders>
            <w:tcMar>
              <w:top w:w="0" w:type="dxa"/>
              <w:left w:w="62" w:type="dxa"/>
              <w:bottom w:w="0" w:type="dxa"/>
              <w:right w:w="62" w:type="dxa"/>
            </w:tcMar>
          </w:tcPr>
          <w:p w:rsidR="00000000" w:rsidRPr="00CA0540" w:rsidP="00CA0540">
            <w:pPr>
              <w:pStyle w:val="List"/>
            </w:pPr>
            <w:r w:rsidRPr="00CA0540">
              <w:t>2.1</w:t>
            </w:r>
            <w:r w:rsidRPr="00CA0540">
              <w:tab/>
              <w:t xml:space="preserve">Security plan is prepared in accordance with organisational policy and </w:t>
            </w:r>
            <w:r w:rsidRPr="00CA0540">
              <w:t>procedures.</w:t>
            </w:r>
          </w:p>
          <w:p w:rsidR="00000000" w:rsidRPr="00CA0540" w:rsidP="00CA0540">
            <w:pPr>
              <w:pStyle w:val="List"/>
            </w:pPr>
            <w:r w:rsidRPr="00CA0540">
              <w:t>2.2</w:t>
            </w:r>
            <w:r w:rsidRPr="00CA0540">
              <w:tab/>
              <w:t>The plan contains explanatory information on the importance of security and the organisation's security objectives in achieving corporate and business objectives.</w:t>
            </w:r>
          </w:p>
          <w:p w:rsidR="00000000" w:rsidRPr="00CA0540" w:rsidP="00CA0540">
            <w:pPr>
              <w:pStyle w:val="List"/>
            </w:pPr>
            <w:r w:rsidRPr="00CA0540">
              <w:t>2.3</w:t>
            </w:r>
            <w:r w:rsidRPr="00CA0540">
              <w:tab/>
              <w:t>The plan summarises</w:t>
            </w:r>
            <w:r w:rsidRPr="00CA0540">
              <w:rPr>
                <w:rStyle w:val="BoldandItalics"/>
              </w:rPr>
              <w:t xml:space="preserve"> threat assessments </w:t>
            </w:r>
            <w:r w:rsidRPr="00CA0540">
              <w:t xml:space="preserve">undertaken, current </w:t>
            </w:r>
            <w:r w:rsidRPr="00CA0540">
              <w:rPr>
                <w:rStyle w:val="BoldandItalics"/>
              </w:rPr>
              <w:t xml:space="preserve">exposure </w:t>
            </w:r>
            <w:r w:rsidRPr="00CA0540">
              <w:t>and c</w:t>
            </w:r>
            <w:r w:rsidRPr="00CA0540">
              <w:t>urrent protective security arrangements.</w:t>
            </w:r>
          </w:p>
          <w:p w:rsidR="00000000" w:rsidRPr="00CA0540" w:rsidP="00CA0540">
            <w:pPr>
              <w:pStyle w:val="List"/>
            </w:pPr>
            <w:r w:rsidRPr="00CA0540">
              <w:t>2.4</w:t>
            </w:r>
            <w:r w:rsidRPr="00CA0540">
              <w:tab/>
              <w:t>The plan outlines security strategies for implementation of countermeasures, monitoring and evaluation.</w:t>
            </w:r>
          </w:p>
          <w:p w:rsidR="00000000" w:rsidRPr="00CA0540" w:rsidP="00CA0540">
            <w:pPr>
              <w:pStyle w:val="List"/>
            </w:pPr>
            <w:r w:rsidRPr="00CA0540">
              <w:t>2.5</w:t>
            </w:r>
            <w:r w:rsidRPr="00CA0540">
              <w:tab/>
            </w:r>
            <w:r w:rsidRPr="00CA0540">
              <w:t>The plan includes a timetable and security budget for implementation of countermeasures including how they will be implemented and by whom.</w:t>
            </w:r>
          </w:p>
          <w:p w:rsidR="00000000" w:rsidRPr="00CA0540" w:rsidP="00CA0540">
            <w:pPr>
              <w:pStyle w:val="List"/>
            </w:pPr>
            <w:r w:rsidRPr="00CA0540">
              <w:t>2.6</w:t>
            </w:r>
            <w:r w:rsidRPr="00CA0540">
              <w:tab/>
              <w:t>Security plan is submitted for approval and communicated to stakeholders in accordance with organisational polic</w:t>
            </w:r>
            <w:r w:rsidRPr="00CA0540">
              <w:t>y and procedures.</w:t>
            </w:r>
          </w:p>
        </w:tc>
      </w:tr>
    </w:tbl>
    <w:p w:rsidR="00000000" w:rsidRPr="00CA0540" w:rsidP="00CA0540">
      <w:pPr>
        <w:pStyle w:val="BodyText"/>
      </w:pPr>
    </w:p>
    <w:p w:rsidR="00000000" w:rsidRPr="00CA0540" w:rsidP="00CA0540">
      <w:pPr>
        <w:pStyle w:val="AllowPageBreak"/>
      </w:pPr>
    </w:p>
    <w:p w:rsidR="00000000" w:rsidRPr="00CA0540" w:rsidP="00CA0540">
      <w:pPr>
        <w:pStyle w:val="Heading1"/>
      </w:pPr>
      <w:bookmarkStart w:id="9" w:name="O_499835"/>
      <w:bookmarkEnd w:id="9"/>
      <w:r w:rsidRPr="00CA0540">
        <w:t>Required Skills and Knowledge</w:t>
      </w:r>
    </w:p>
    <w:tbl>
      <w:tblPr>
        <w:tblW w:w="0" w:type="auto"/>
        <w:tblLayout w:type="fixed"/>
        <w:tblCellMar>
          <w:left w:w="62" w:type="dxa"/>
          <w:right w:w="62" w:type="dxa"/>
        </w:tblCellMar>
        <w:tblLook w:val="0000"/>
      </w:tblPr>
      <w:tblGrid>
        <w:gridCol w:w="8553"/>
      </w:tblGrid>
      <w:tr w:rsidTr="007C53CC">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t>This section describes the essential skills and knowledge and their level, required for this unit.</w:t>
            </w:r>
          </w:p>
        </w:tc>
      </w:tr>
      <w:tr w:rsidTr="007C53CC">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CA0540" w:rsidP="00CA0540">
            <w:pPr>
              <w:pStyle w:val="BodyText"/>
            </w:pPr>
            <w:r w:rsidRPr="00CA0540">
              <w:rPr>
                <w:rStyle w:val="SpecialBold"/>
              </w:rPr>
              <w:t>Skill requirements</w:t>
            </w:r>
          </w:p>
          <w:p w:rsidR="00000000" w:rsidRPr="00CA0540" w:rsidP="00CA0540">
            <w:pPr>
              <w:pStyle w:val="BodyText"/>
            </w:pPr>
            <w:r w:rsidRPr="00CA0540">
              <w:t>Look for evidence that confirms skills in:</w:t>
            </w:r>
          </w:p>
          <w:p w:rsidR="00000000" w:rsidRPr="00CA0540" w:rsidP="00CA0540">
            <w:pPr>
              <w:pStyle w:val="ListBullet2"/>
            </w:pPr>
            <w:r w:rsidRPr="00CA0540">
              <w:t>applying legislation, regu</w:t>
            </w:r>
            <w:r w:rsidRPr="00CA0540">
              <w:t xml:space="preserve">lations and policies relating to security risk management plans </w:t>
            </w:r>
          </w:p>
          <w:p w:rsidR="00000000" w:rsidRPr="00CA0540" w:rsidP="00CA0540">
            <w:pPr>
              <w:pStyle w:val="ListBullet2"/>
            </w:pPr>
            <w:r w:rsidRPr="00CA0540">
              <w:t xml:space="preserve">using evaluation and deductive reasoning </w:t>
            </w:r>
          </w:p>
          <w:p w:rsidR="00000000" w:rsidRPr="00CA0540" w:rsidP="00CA0540">
            <w:pPr>
              <w:pStyle w:val="ListBullet2"/>
            </w:pPr>
            <w:r w:rsidRPr="00CA0540">
              <w:t xml:space="preserve">undertaking problem solving and decision making </w:t>
            </w:r>
          </w:p>
          <w:p w:rsidR="00000000" w:rsidRPr="00CA0540" w:rsidP="00CA0540">
            <w:pPr>
              <w:pStyle w:val="ListBullet2"/>
            </w:pPr>
            <w:r w:rsidRPr="00CA0540">
              <w:t>using communication with diverse stakeholders involving presentation, listening, questioning, paraphrasing, clarifying, summarising</w:t>
            </w:r>
          </w:p>
          <w:p w:rsidR="00000000" w:rsidRPr="00CA0540" w:rsidP="00CA0540">
            <w:pPr>
              <w:pStyle w:val="ListBullet2"/>
            </w:pPr>
            <w:r w:rsidRPr="00CA0540">
              <w:t xml:space="preserve">reading and analysing the complex information in standards, legislation and security plans </w:t>
            </w:r>
          </w:p>
          <w:p w:rsidR="00000000" w:rsidRPr="00CA0540" w:rsidP="00CA0540">
            <w:pPr>
              <w:pStyle w:val="ListBullet2"/>
            </w:pPr>
            <w:r w:rsidRPr="00CA0540">
              <w:t>writing reports requiring formal</w:t>
            </w:r>
            <w:r w:rsidRPr="00CA0540">
              <w:t>ity of language and structure</w:t>
            </w:r>
          </w:p>
          <w:p w:rsidR="00000000" w:rsidRPr="00CA0540" w:rsidP="00CA0540">
            <w:pPr>
              <w:pStyle w:val="ListBullet2"/>
            </w:pPr>
            <w:r w:rsidRPr="00CA0540">
              <w:t xml:space="preserve">using computer technology to gather and analyse information, and prepare reports </w:t>
            </w:r>
          </w:p>
          <w:p w:rsidR="00000000" w:rsidRPr="00CA0540" w:rsidP="00CA0540">
            <w:pPr>
              <w:pStyle w:val="ListBullet2"/>
            </w:pPr>
            <w:r w:rsidRPr="00CA0540">
              <w:t xml:space="preserve">using numerical, graphical and statistical information </w:t>
            </w:r>
          </w:p>
          <w:p w:rsidR="00000000" w:rsidRPr="00CA0540" w:rsidP="00CA0540">
            <w:pPr>
              <w:pStyle w:val="ListBullet2"/>
            </w:pPr>
            <w:r w:rsidRPr="00CA0540">
              <w:t xml:space="preserve">representing mathematical information in a range of formats to suit the information and </w:t>
            </w:r>
            <w:r w:rsidRPr="00CA0540">
              <w:t>the purpose</w:t>
            </w:r>
          </w:p>
          <w:p w:rsidR="00000000" w:rsidRPr="00CA0540" w:rsidP="00CA0540">
            <w:pPr>
              <w:pStyle w:val="ListBullet2"/>
            </w:pPr>
            <w:r w:rsidRPr="00CA0540">
              <w:t>responding to diversity, including gender and disability</w:t>
            </w:r>
          </w:p>
          <w:p w:rsidR="00000000" w:rsidP="00CA0540">
            <w:pPr>
              <w:pStyle w:val="ListBullet2"/>
              <w:rPr>
                <w:lang w:val="en-NZ"/>
              </w:rPr>
            </w:pPr>
            <w:r w:rsidRPr="00CA0540">
              <w:t>applying procedures relating to occupational health and safety and environment in the context of developing security risk management plans</w:t>
            </w:r>
          </w:p>
        </w:tc>
      </w:tr>
      <w:tr w:rsidTr="007C53CC">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CA0540" w:rsidP="00CA0540">
            <w:pPr>
              <w:pStyle w:val="BodyText"/>
            </w:pPr>
            <w:r w:rsidRPr="00CA0540">
              <w:rPr>
                <w:rStyle w:val="SpecialBold"/>
              </w:rPr>
              <w:t>Knowledge requirements</w:t>
            </w:r>
          </w:p>
          <w:p w:rsidR="00000000" w:rsidRPr="00CA0540" w:rsidP="00CA0540">
            <w:pPr>
              <w:pStyle w:val="BodyText"/>
            </w:pPr>
            <w:r w:rsidRPr="00CA0540">
              <w:t>Look for evidence that c</w:t>
            </w:r>
            <w:r w:rsidRPr="00CA0540">
              <w:t>onfirms knowledge and understanding of:</w:t>
            </w:r>
          </w:p>
          <w:p w:rsidR="00000000" w:rsidRPr="00CA0540" w:rsidP="00CA0540">
            <w:pPr>
              <w:pStyle w:val="ListBullet2"/>
            </w:pPr>
            <w:r w:rsidRPr="00CA0540">
              <w:t>legislation, regulations, policies, procedures and guidelines relating to security risk management such as:</w:t>
            </w:r>
          </w:p>
          <w:p w:rsidR="00000000" w:rsidRPr="00CA0540" w:rsidP="00CA0540">
            <w:pPr>
              <w:pStyle w:val="ListBullet3"/>
            </w:pPr>
            <w:r w:rsidRPr="00CA0540">
              <w:t>occupational health and safety</w:t>
            </w:r>
          </w:p>
          <w:p w:rsidR="00000000" w:rsidRPr="00CA0540" w:rsidP="00CA0540">
            <w:pPr>
              <w:pStyle w:val="ListBullet3"/>
            </w:pPr>
            <w:r w:rsidRPr="00CA0540">
              <w:t>public service acts</w:t>
            </w:r>
          </w:p>
          <w:p w:rsidR="00000000" w:rsidRPr="00CA0540" w:rsidP="00CA0540">
            <w:pPr>
              <w:pStyle w:val="ListBullet3"/>
            </w:pPr>
            <w:r w:rsidRPr="00CA0540">
              <w:t>Crimes Act 1914 and Criminal Code 1985</w:t>
            </w:r>
          </w:p>
          <w:p w:rsidR="00000000" w:rsidRPr="00CA0540" w:rsidP="00CA0540">
            <w:pPr>
              <w:pStyle w:val="ListBullet3"/>
            </w:pPr>
            <w:r w:rsidRPr="00CA0540">
              <w:t>Freedom of Information Act 1982</w:t>
            </w:r>
          </w:p>
          <w:p w:rsidR="00000000" w:rsidRPr="00CA0540" w:rsidP="00CA0540">
            <w:pPr>
              <w:pStyle w:val="ListBullet3"/>
            </w:pPr>
            <w:r w:rsidRPr="00CA0540">
              <w:t>Privacy Act 1988</w:t>
            </w:r>
          </w:p>
          <w:p w:rsidR="00000000" w:rsidRPr="00CA0540" w:rsidP="00CA0540">
            <w:pPr>
              <w:pStyle w:val="ListBullet3"/>
            </w:pPr>
            <w:r w:rsidRPr="00CA0540">
              <w:t>fraud control policy</w:t>
            </w:r>
          </w:p>
          <w:p w:rsidR="00000000" w:rsidRPr="00CA0540" w:rsidP="00CA0540">
            <w:pPr>
              <w:pStyle w:val="ListBullet3"/>
            </w:pPr>
            <w:r w:rsidRPr="00CA0540">
              <w:t>protective security policy</w:t>
            </w:r>
          </w:p>
          <w:p w:rsidR="00000000" w:rsidRPr="00CA0540" w:rsidP="00CA0540">
            <w:pPr>
              <w:pStyle w:val="ListBullet3"/>
            </w:pPr>
            <w:r w:rsidRPr="00CA0540">
              <w:t>Australian Government Information Security Manual (ISM)</w:t>
            </w:r>
          </w:p>
          <w:p w:rsidR="00000000" w:rsidRPr="00CA0540" w:rsidP="00CA0540">
            <w:pPr>
              <w:pStyle w:val="ListBullet3"/>
            </w:pPr>
            <w:r w:rsidRPr="00CA0540">
              <w:t>Protective Security Policy Framework</w:t>
            </w:r>
          </w:p>
          <w:p w:rsidR="00000000" w:rsidRPr="00CA0540" w:rsidP="00CA0540">
            <w:pPr>
              <w:pStyle w:val="ListBullet2"/>
            </w:pPr>
            <w:r w:rsidRPr="00CA0540">
              <w:t>Australian standards, quality assurance and certification require</w:t>
            </w:r>
            <w:r w:rsidRPr="00CA0540">
              <w:t>ments</w:t>
            </w:r>
          </w:p>
          <w:p w:rsidR="00000000" w:rsidRPr="00CA0540" w:rsidP="00CA0540">
            <w:pPr>
              <w:pStyle w:val="ListBullet2"/>
            </w:pPr>
            <w:r w:rsidRPr="00CA0540">
              <w:t>international treaties and protocols</w:t>
            </w:r>
          </w:p>
          <w:p w:rsidR="00000000" w:rsidRPr="00CA0540" w:rsidP="00CA0540">
            <w:pPr>
              <w:pStyle w:val="ListBullet2"/>
            </w:pPr>
            <w:r w:rsidRPr="00CA0540">
              <w:t>cross-jurisdictional protocols</w:t>
            </w:r>
          </w:p>
          <w:p w:rsidR="00000000" w:rsidRPr="00CA0540" w:rsidP="00CA0540">
            <w:pPr>
              <w:pStyle w:val="ListBullet2"/>
            </w:pPr>
            <w:r w:rsidRPr="00CA0540">
              <w:t xml:space="preserve">organisation's strategic objectives </w:t>
            </w:r>
          </w:p>
          <w:p w:rsidR="00000000" w:rsidRPr="00CA0540" w:rsidP="00CA0540">
            <w:pPr>
              <w:pStyle w:val="ListBullet2"/>
            </w:pPr>
            <w:r w:rsidRPr="00CA0540">
              <w:t>national strategic objectives</w:t>
            </w:r>
          </w:p>
          <w:p w:rsidR="00000000" w:rsidRPr="00CA0540" w:rsidP="00CA0540">
            <w:pPr>
              <w:pStyle w:val="ListBullet2"/>
            </w:pPr>
            <w:r w:rsidRPr="00CA0540">
              <w:t xml:space="preserve">formats for different types of reports </w:t>
            </w:r>
          </w:p>
          <w:p w:rsidR="00000000" w:rsidRPr="00CA0540" w:rsidP="00CA0540">
            <w:pPr>
              <w:pStyle w:val="ListBullet2"/>
            </w:pPr>
            <w:r w:rsidRPr="00CA0540">
              <w:t>cost-benefit analysis techniques</w:t>
            </w:r>
          </w:p>
          <w:p w:rsidR="00000000" w:rsidRPr="00CA0540" w:rsidP="00CA0540">
            <w:pPr>
              <w:pStyle w:val="ListBullet2"/>
            </w:pPr>
            <w:r w:rsidRPr="00CA0540">
              <w:t>equal employment opportunity, equity and diversity principles</w:t>
            </w:r>
          </w:p>
          <w:p w:rsidR="00000000" w:rsidRPr="00CA0540" w:rsidP="00CA0540">
            <w:pPr>
              <w:pStyle w:val="ListBullet2"/>
            </w:pPr>
            <w:r w:rsidRPr="00CA0540">
              <w:t>public sector legislation such as occupational health and safety and environment in the context of security risk assessment</w:t>
            </w:r>
          </w:p>
        </w:tc>
      </w:tr>
    </w:tbl>
    <w:p w:rsidR="00000000" w:rsidRPr="00CA0540" w:rsidP="00CA0540">
      <w:pPr>
        <w:pStyle w:val="BodyText"/>
      </w:pPr>
    </w:p>
    <w:p w:rsidR="00000000" w:rsidRPr="00CA0540" w:rsidP="00CA0540">
      <w:pPr>
        <w:pStyle w:val="AllowPageBreak"/>
      </w:pPr>
    </w:p>
    <w:p w:rsidR="00000000" w:rsidRPr="00CA0540" w:rsidP="00CA0540">
      <w:pPr>
        <w:pStyle w:val="Heading1"/>
      </w:pPr>
      <w:bookmarkStart w:id="10" w:name="O_499831"/>
      <w:bookmarkEnd w:id="10"/>
      <w:r w:rsidRPr="00CA0540">
        <w:t>Evidence Guide</w:t>
      </w:r>
    </w:p>
    <w:tbl>
      <w:tblPr>
        <w:tblW w:w="9322" w:type="dxa"/>
        <w:tblLayout w:type="fixed"/>
        <w:tblCellMar>
          <w:left w:w="62" w:type="dxa"/>
          <w:right w:w="62" w:type="dxa"/>
        </w:tblCellMar>
        <w:tblLook w:val="0000"/>
      </w:tblPr>
      <w:tblGrid>
        <w:gridCol w:w="2660"/>
        <w:gridCol w:w="6662"/>
      </w:tblGrid>
      <w:tr w:rsidTr="007C53C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t>The Evidence Guide specifies the evi</w:t>
            </w:r>
            <w:r w:rsidRPr="00CA0540">
              <w:t>dence required to demonstrate achievement in the unit of competency as a whole. It must be read in conjunction with the Unit descriptor, Performance Criteria, the Range Statement and the Assessment Guidelines for the Public Sector Training Package.</w:t>
            </w:r>
          </w:p>
        </w:tc>
      </w:tr>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CA0540" w:rsidP="00CA0540">
            <w:pPr>
              <w:pStyle w:val="BodyText"/>
            </w:pPr>
            <w:r w:rsidRPr="00CA0540">
              <w:rPr>
                <w:rStyle w:val="SpecialBold"/>
              </w:rPr>
              <w:t>Units to be assessed together</w:t>
            </w:r>
            <w:r w:rsidRPr="00CA0540">
              <w:t xml:space="preserve"> </w:t>
            </w:r>
          </w:p>
        </w:tc>
        <w:tc>
          <w:tcPr>
            <w:tcW w:w="6662" w:type="dxa"/>
            <w:tcBorders>
              <w:top w:val="nil"/>
              <w:left w:val="nil"/>
              <w:bottom w:val="nil"/>
              <w:right w:val="nil"/>
            </w:tcBorders>
            <w:tcMar>
              <w:top w:w="0" w:type="dxa"/>
              <w:left w:w="62" w:type="dxa"/>
              <w:bottom w:w="0" w:type="dxa"/>
              <w:right w:w="62" w:type="dxa"/>
            </w:tcMar>
          </w:tcPr>
          <w:p w:rsidR="00000000" w:rsidRPr="00CA0540" w:rsidP="00CA0540">
            <w:pPr>
              <w:pStyle w:val="ListBullet2"/>
            </w:pPr>
            <w:r w:rsidRPr="00CA0540">
              <w:rPr>
                <w:rStyle w:val="Emphasis"/>
              </w:rPr>
              <w:t>Pre</w:t>
            </w:r>
            <w:r w:rsidRPr="00CA0540">
              <w:t>-</w:t>
            </w:r>
            <w:r w:rsidRPr="00CA0540">
              <w:rPr>
                <w:rStyle w:val="Emphasis"/>
              </w:rPr>
              <w:t>requisite</w:t>
            </w:r>
            <w:r w:rsidRPr="00CA0540">
              <w:t xml:space="preserve"> units that must be achieved prior to this unit:</w:t>
            </w:r>
            <w:r w:rsidRPr="00CA0540">
              <w:rPr>
                <w:rStyle w:val="Emphasis"/>
              </w:rPr>
              <w:t>Nil</w:t>
            </w:r>
          </w:p>
          <w:p w:rsidR="00000000" w:rsidRPr="00CA0540" w:rsidP="00CA0540">
            <w:pPr>
              <w:pStyle w:val="ListBullet2"/>
            </w:pPr>
            <w:r w:rsidRPr="00CA0540">
              <w:rPr>
                <w:rStyle w:val="Emphasis"/>
              </w:rPr>
              <w:t>Co</w:t>
            </w:r>
            <w:r w:rsidRPr="00CA0540">
              <w:t>-</w:t>
            </w:r>
            <w:r w:rsidRPr="00CA0540">
              <w:rPr>
                <w:rStyle w:val="Emphasis"/>
              </w:rPr>
              <w:t>requisite</w:t>
            </w:r>
            <w:r w:rsidRPr="00CA0540">
              <w:t xml:space="preserve"> units that must be assessed with this unit:</w:t>
            </w:r>
            <w:r w:rsidRPr="00CA0540">
              <w:rPr>
                <w:rStyle w:val="Emphasis"/>
              </w:rPr>
              <w:t>Nil</w:t>
            </w:r>
          </w:p>
          <w:p w:rsidR="00000000" w:rsidRPr="00CA0540" w:rsidP="00CA0540">
            <w:pPr>
              <w:pStyle w:val="ListBullet2"/>
            </w:pPr>
            <w:r w:rsidRPr="00CA0540">
              <w:rPr>
                <w:rStyle w:val="Emphasis"/>
              </w:rPr>
              <w:t>Co</w:t>
            </w:r>
            <w:r w:rsidRPr="00CA0540">
              <w:t>-</w:t>
            </w:r>
            <w:r w:rsidRPr="00CA0540">
              <w:rPr>
                <w:rStyle w:val="Emphasis"/>
              </w:rPr>
              <w:t>assessed units</w:t>
            </w:r>
            <w:r w:rsidRPr="00CA0540">
              <w:t xml:space="preserve"> that may be assessed with this unit to increase the efficiency and realism of the assessment process include, but are not limited to:</w:t>
            </w:r>
          </w:p>
          <w:p w:rsidR="00000000" w:rsidRPr="00CA0540" w:rsidP="00CA0540">
            <w:pPr>
              <w:pStyle w:val="ListBullet3"/>
            </w:pPr>
            <w:r w:rsidRPr="00CA0540">
              <w:t>PSPETHC501B Promote the values and ethos of public service</w:t>
            </w:r>
          </w:p>
          <w:p w:rsidR="00000000" w:rsidRPr="00CA0540" w:rsidP="00CA0540">
            <w:pPr>
              <w:pStyle w:val="ListBullet3"/>
            </w:pPr>
            <w:r w:rsidRPr="00CA0540">
              <w:t>PSPGOV502B Develop client services</w:t>
            </w:r>
          </w:p>
          <w:p w:rsidR="00000000" w:rsidRPr="00CA0540" w:rsidP="00CA0540">
            <w:pPr>
              <w:pStyle w:val="ListBullet3"/>
            </w:pPr>
            <w:r w:rsidRPr="00CA0540">
              <w:t>PSPGOV504B Undertake research and analysis</w:t>
            </w:r>
          </w:p>
          <w:p w:rsidR="00000000" w:rsidRPr="00CA0540" w:rsidP="00CA0540">
            <w:pPr>
              <w:pStyle w:val="ListBullet3"/>
            </w:pPr>
            <w:r w:rsidRPr="00CA0540">
              <w:t>PSPLEGN501B Promote compliance with legislation in the public sector</w:t>
            </w:r>
          </w:p>
          <w:p w:rsidR="00000000" w:rsidRPr="00CA0540" w:rsidP="00CA0540">
            <w:pPr>
              <w:pStyle w:val="ListBullet3"/>
            </w:pPr>
            <w:r w:rsidRPr="00CA0540">
              <w:t>PSPSEC501A Assess security risks</w:t>
            </w:r>
          </w:p>
          <w:p w:rsidR="00000000" w:rsidP="00CA0540">
            <w:pPr>
              <w:pStyle w:val="ListBullet3"/>
              <w:rPr>
                <w:lang w:val="en-NZ"/>
              </w:rPr>
            </w:pPr>
            <w:r w:rsidRPr="00CA0540">
              <w:t>PSPSEC503A Implement and monitor security risk management plans</w:t>
            </w:r>
          </w:p>
        </w:tc>
      </w:tr>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CA0540" w:rsidP="00CA0540">
            <w:pPr>
              <w:pStyle w:val="BodyText"/>
            </w:pPr>
            <w:r w:rsidRPr="00CA0540">
              <w:t xml:space="preserve">In addition </w:t>
            </w:r>
            <w:r w:rsidRPr="00CA0540">
              <w:t>to integrated demonstration of the elements and their related performance criteria, look for evidence that confirms:</w:t>
            </w:r>
          </w:p>
          <w:p w:rsidR="00000000" w:rsidRPr="00CA0540" w:rsidP="00CA0540">
            <w:pPr>
              <w:pStyle w:val="ListBullet2"/>
            </w:pPr>
            <w:r w:rsidRPr="00CA0540">
              <w:t xml:space="preserve">the knowledge requirements of this unit </w:t>
            </w:r>
          </w:p>
          <w:p w:rsidR="00000000" w:rsidRPr="00CA0540" w:rsidP="00CA0540">
            <w:pPr>
              <w:pStyle w:val="ListBullet2"/>
            </w:pPr>
            <w:r w:rsidRPr="00CA0540">
              <w:t>the skill requirements of this unit</w:t>
            </w:r>
          </w:p>
          <w:p w:rsidR="00000000" w:rsidRPr="00CA0540" w:rsidP="00CA0540">
            <w:pPr>
              <w:pStyle w:val="ListBullet2"/>
            </w:pPr>
            <w:r w:rsidRPr="00CA0540">
              <w:t>application of the Employability Skills as the</w:t>
            </w:r>
            <w:r w:rsidRPr="00CA0540">
              <w:t>y relate to this unit (see Employability Summaries in Qualifications Framework)</w:t>
            </w:r>
          </w:p>
          <w:p w:rsidR="00000000" w:rsidP="00CA0540">
            <w:pPr>
              <w:pStyle w:val="ListBullet2"/>
              <w:rPr>
                <w:lang w:val="en-NZ"/>
              </w:rPr>
            </w:pPr>
            <w:r w:rsidRPr="00CA0540">
              <w:t>security risk management plans developed in a range of (2 or more) contexts (or occasions, over time)</w:t>
            </w:r>
          </w:p>
        </w:tc>
      </w:tr>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CA0540" w:rsidP="00CA0540">
            <w:pPr>
              <w:pStyle w:val="BodyText"/>
            </w:pPr>
            <w:r w:rsidRPr="00CA0540">
              <w:t>These resources include:</w:t>
            </w:r>
          </w:p>
          <w:p w:rsidR="00000000" w:rsidRPr="00CA0540" w:rsidP="00CA0540">
            <w:pPr>
              <w:pStyle w:val="ListBullet2"/>
            </w:pPr>
            <w:r w:rsidRPr="00CA0540">
              <w:t>legi</w:t>
            </w:r>
            <w:r w:rsidRPr="00CA0540">
              <w:t xml:space="preserve">slation, policy, procedures and protocols relating to security risk management plans </w:t>
            </w:r>
          </w:p>
          <w:p w:rsidR="00000000" w:rsidRPr="00CA0540" w:rsidP="00CA0540">
            <w:pPr>
              <w:pStyle w:val="ListBullet2"/>
            </w:pPr>
            <w:r w:rsidRPr="00CA0540">
              <w:t>Australian Government Information Manual (ISM)</w:t>
            </w:r>
          </w:p>
          <w:p w:rsidR="00000000" w:rsidRPr="00CA0540" w:rsidP="00CA0540">
            <w:pPr>
              <w:pStyle w:val="ListBullet2"/>
            </w:pPr>
            <w:r w:rsidRPr="00CA0540">
              <w:t>Protective Security Policy Framework</w:t>
            </w:r>
          </w:p>
          <w:p w:rsidR="00000000" w:rsidP="00CA0540">
            <w:pPr>
              <w:pStyle w:val="ListBullet2"/>
              <w:rPr>
                <w:lang w:val="en-NZ"/>
              </w:rPr>
            </w:pPr>
            <w:r w:rsidRPr="00CA0540">
              <w:t>case studies and workplace scenarios to capture the range of situations likely to be e</w:t>
            </w:r>
            <w:r w:rsidRPr="00CA0540">
              <w:t>ncountered when developing security risk management plans</w:t>
            </w:r>
          </w:p>
        </w:tc>
      </w:tr>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CA0540" w:rsidP="00CA0540">
            <w:pPr>
              <w:pStyle w:val="BodyText"/>
            </w:pPr>
            <w:r w:rsidRPr="00CA0540">
              <w:t xml:space="preserve">Valid assessment of this unit requires: </w:t>
            </w:r>
          </w:p>
          <w:p w:rsidR="00000000" w:rsidRPr="00CA0540" w:rsidP="00CA0540">
            <w:pPr>
              <w:pStyle w:val="ListBullet2"/>
            </w:pPr>
            <w:r w:rsidRPr="00CA0540">
              <w:t>a workplace environment or one that closely resembles normal work practice and replicates the range of conditions likely t</w:t>
            </w:r>
            <w:r w:rsidRPr="00CA0540">
              <w:t>o be encountered when developing security risk management plans, including coping with difficulties, irregularities and breakdowns in routine</w:t>
            </w:r>
          </w:p>
          <w:p w:rsidR="00000000" w:rsidRPr="00CA0540" w:rsidP="00CA0540">
            <w:pPr>
              <w:pStyle w:val="ListBullet2"/>
            </w:pPr>
            <w:r w:rsidRPr="00CA0540">
              <w:t>security risk management plans developed in a range of (2 or more) contexts (or occasions, over time)</w:t>
            </w:r>
          </w:p>
          <w:p w:rsidR="00000000" w:rsidRPr="00CA0540" w:rsidP="00CA0540">
            <w:pPr>
              <w:pStyle w:val="BodyText"/>
            </w:pPr>
            <w:r w:rsidRPr="00CA0540">
              <w:t>Assessment methods should reflect workplace demands, such as literacy, and the needs of particular groups, such as:</w:t>
            </w:r>
          </w:p>
          <w:p w:rsidR="00000000" w:rsidRPr="00CA0540" w:rsidP="00CA0540">
            <w:pPr>
              <w:pStyle w:val="ListBullet2"/>
            </w:pPr>
            <w:r w:rsidRPr="00CA0540">
              <w:t>people with disabilities</w:t>
            </w:r>
          </w:p>
          <w:p w:rsidR="00000000" w:rsidRPr="00CA0540" w:rsidP="00CA0540">
            <w:pPr>
              <w:pStyle w:val="ListBullet2"/>
            </w:pPr>
            <w:r w:rsidRPr="00CA0540">
              <w:t>people from culturally and linguistically diverse backgrounds</w:t>
            </w:r>
          </w:p>
          <w:p w:rsidR="00000000" w:rsidRPr="00CA0540" w:rsidP="00CA0540">
            <w:pPr>
              <w:pStyle w:val="ListBullet2"/>
            </w:pPr>
            <w:r w:rsidRPr="00CA0540">
              <w:t>Aboriginal and Torres Strait Islander people</w:t>
            </w:r>
          </w:p>
          <w:p w:rsidR="00000000" w:rsidRPr="00CA0540" w:rsidP="00CA0540">
            <w:pPr>
              <w:pStyle w:val="ListBullet2"/>
            </w:pPr>
            <w:r w:rsidRPr="00CA0540">
              <w:t>women</w:t>
            </w:r>
          </w:p>
          <w:p w:rsidR="00000000" w:rsidRPr="00CA0540" w:rsidP="00CA0540">
            <w:pPr>
              <w:pStyle w:val="ListBullet2"/>
            </w:pPr>
            <w:r w:rsidRPr="00CA0540">
              <w:t>y</w:t>
            </w:r>
            <w:r w:rsidRPr="00CA0540">
              <w:t>oung people</w:t>
            </w:r>
          </w:p>
          <w:p w:rsidR="00000000" w:rsidRPr="00CA0540" w:rsidP="00CA0540">
            <w:pPr>
              <w:pStyle w:val="ListBullet2"/>
            </w:pPr>
            <w:r w:rsidRPr="00CA0540">
              <w:t>older people</w:t>
            </w:r>
          </w:p>
          <w:p w:rsidR="00000000" w:rsidRPr="00CA0540" w:rsidP="00CA0540">
            <w:pPr>
              <w:pStyle w:val="ListBullet2"/>
            </w:pPr>
            <w:r w:rsidRPr="00CA0540">
              <w:t>people in rural and remote locations</w:t>
            </w:r>
          </w:p>
          <w:p w:rsidR="00000000" w:rsidRPr="00CA0540" w:rsidP="00CA0540">
            <w:pPr>
              <w:pStyle w:val="BodyText"/>
            </w:pPr>
            <w:r w:rsidRPr="00CA0540">
              <w:t xml:space="preserve">Assessment methods suitable for valid and reliable assessment of this competency may include, but are not limited to, a combination of 2 or more of: </w:t>
            </w:r>
          </w:p>
          <w:p w:rsidR="00000000" w:rsidRPr="00CA0540" w:rsidP="00CA0540">
            <w:pPr>
              <w:pStyle w:val="ListBullet2"/>
            </w:pPr>
            <w:r w:rsidRPr="00CA0540">
              <w:t>case studies</w:t>
            </w:r>
          </w:p>
          <w:p w:rsidR="00000000" w:rsidRPr="00CA0540" w:rsidP="00CA0540">
            <w:pPr>
              <w:pStyle w:val="ListBullet2"/>
            </w:pPr>
            <w:r w:rsidRPr="00CA0540">
              <w:t xml:space="preserve">portfolios </w:t>
            </w:r>
          </w:p>
          <w:p w:rsidR="00000000" w:rsidRPr="00CA0540" w:rsidP="00CA0540">
            <w:pPr>
              <w:pStyle w:val="ListBullet2"/>
            </w:pPr>
            <w:r w:rsidRPr="00CA0540">
              <w:t>questioning</w:t>
            </w:r>
          </w:p>
          <w:p w:rsidR="00000000" w:rsidRPr="00CA0540" w:rsidP="00CA0540">
            <w:pPr>
              <w:pStyle w:val="ListBullet2"/>
            </w:pPr>
            <w:r w:rsidRPr="00CA0540">
              <w:t>scenar</w:t>
            </w:r>
            <w:r w:rsidRPr="00CA0540">
              <w:t>ios</w:t>
            </w:r>
          </w:p>
          <w:p w:rsidR="00000000" w:rsidRPr="00CA0540" w:rsidP="00CA0540">
            <w:pPr>
              <w:pStyle w:val="ListBullet2"/>
            </w:pPr>
            <w:r w:rsidRPr="00CA0540">
              <w:t>simulation or role plays</w:t>
            </w:r>
          </w:p>
          <w:p w:rsidR="00000000" w:rsidP="00CA0540">
            <w:pPr>
              <w:pStyle w:val="ListBullet2"/>
              <w:rPr>
                <w:lang w:val="en-NZ"/>
              </w:rPr>
            </w:pPr>
            <w:r w:rsidRPr="00CA0540">
              <w:t>authenticated evidence from the workplace and/or training courses, such as security risk management plan</w:t>
            </w:r>
          </w:p>
        </w:tc>
      </w:tr>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CA0540" w:rsidP="00CA0540">
            <w:pPr>
              <w:pStyle w:val="BodyText"/>
            </w:pPr>
            <w:r w:rsidRPr="00CA0540">
              <w:t>Evidence must be gathered over time in a range of contexts to ensure the person can achieve the unit outcome and apply the competency in different situations or environments</w:t>
            </w:r>
          </w:p>
        </w:tc>
      </w:tr>
    </w:tbl>
    <w:p w:rsidR="00000000" w:rsidRPr="00CA0540" w:rsidP="00CA0540">
      <w:pPr>
        <w:pStyle w:val="BodyText"/>
      </w:pPr>
    </w:p>
    <w:p w:rsidR="00000000" w:rsidRPr="00CA0540" w:rsidP="00CA0540">
      <w:pPr>
        <w:pStyle w:val="AllowPageBreak"/>
      </w:pPr>
    </w:p>
    <w:p w:rsidR="00000000" w:rsidRPr="00CA0540" w:rsidP="00CA0540">
      <w:pPr>
        <w:pStyle w:val="Heading1"/>
      </w:pPr>
      <w:bookmarkStart w:id="11" w:name="O_499839"/>
      <w:bookmarkEnd w:id="11"/>
      <w:r w:rsidRPr="00CA0540">
        <w:t>Range Statement</w:t>
      </w:r>
    </w:p>
    <w:tbl>
      <w:tblPr>
        <w:tblW w:w="9322" w:type="dxa"/>
        <w:tblLayout w:type="fixed"/>
        <w:tblCellMar>
          <w:left w:w="62" w:type="dxa"/>
          <w:right w:w="62" w:type="dxa"/>
        </w:tblCellMar>
        <w:tblLook w:val="0000"/>
      </w:tblPr>
      <w:tblGrid>
        <w:gridCol w:w="2660"/>
        <w:gridCol w:w="6662"/>
      </w:tblGrid>
      <w:tr w:rsidTr="007C53C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t xml:space="preserve">The Range Statement provides information about </w:t>
            </w:r>
            <w:r w:rsidRPr="00CA0540">
              <w:t>the context in which the unit of competency is carried out. The variables cater for differences between States and Territories and the Commonwealth, and between organisations and workplaces. They allow for different work requirements, work practices and kn</w:t>
            </w:r>
            <w:r w:rsidRPr="00CA0540">
              <w:t>owledge. The Range Statement also provides a focus for assessment. It relates to the unit as a whole. Text in</w:t>
            </w:r>
            <w:r w:rsidRPr="00CA0540">
              <w:rPr>
                <w:rStyle w:val="BoldandItalics"/>
              </w:rPr>
              <w:t xml:space="preserve"> bold italics </w:t>
            </w:r>
            <w:r w:rsidRPr="00CA0540">
              <w:t>in the Performance Criteria is explained here.</w:t>
            </w:r>
          </w:p>
        </w:tc>
      </w:tr>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rPr>
                <w:rStyle w:val="BoldandItalics"/>
              </w:rPr>
              <w:t>Risks/threats</w:t>
            </w:r>
            <w:r w:rsidRPr="00CA0540">
              <w:t xml:space="preserve"> may be:</w:t>
            </w:r>
          </w:p>
        </w:tc>
        <w:tc>
          <w:tcPr>
            <w:tcW w:w="6662" w:type="dxa"/>
            <w:tcBorders>
              <w:top w:val="nil"/>
              <w:left w:val="nil"/>
              <w:bottom w:val="nil"/>
              <w:right w:val="nil"/>
            </w:tcBorders>
            <w:tcMar>
              <w:top w:w="0" w:type="dxa"/>
              <w:left w:w="62" w:type="dxa"/>
              <w:bottom w:w="0" w:type="dxa"/>
              <w:right w:w="62" w:type="dxa"/>
            </w:tcMar>
          </w:tcPr>
          <w:p w:rsidR="00000000" w:rsidRPr="00CA0540" w:rsidP="00CA0540">
            <w:pPr>
              <w:pStyle w:val="ListBullet2"/>
            </w:pPr>
            <w:r w:rsidRPr="00CA0540">
              <w:t>internal</w:t>
            </w:r>
          </w:p>
          <w:p w:rsidR="00000000" w:rsidRPr="00CA0540" w:rsidP="00CA0540">
            <w:pPr>
              <w:pStyle w:val="ListBullet2"/>
            </w:pPr>
            <w:r w:rsidRPr="00CA0540">
              <w:t>external</w:t>
            </w:r>
          </w:p>
          <w:p w:rsidR="00000000" w:rsidRPr="00CA0540" w:rsidP="00CA0540">
            <w:pPr>
              <w:pStyle w:val="ListBullet2"/>
            </w:pPr>
            <w:r w:rsidRPr="00CA0540">
              <w:t>national</w:t>
            </w:r>
          </w:p>
          <w:p w:rsidR="00000000" w:rsidRPr="00CA0540" w:rsidP="00CA0540">
            <w:pPr>
              <w:pStyle w:val="ListBullet2"/>
            </w:pPr>
            <w:r w:rsidRPr="00CA0540">
              <w:t>international</w:t>
            </w:r>
          </w:p>
          <w:p w:rsidR="00000000" w:rsidRPr="00CA0540" w:rsidP="00CA0540">
            <w:pPr>
              <w:pStyle w:val="ListBullet2"/>
            </w:pPr>
            <w:r w:rsidRPr="00CA0540">
              <w:t>real</w:t>
            </w:r>
          </w:p>
          <w:p w:rsidR="00000000" w:rsidRPr="00CA0540" w:rsidP="00CA0540">
            <w:pPr>
              <w:pStyle w:val="ListBullet2"/>
            </w:pPr>
            <w:r w:rsidRPr="00CA0540">
              <w:t>perceived</w:t>
            </w:r>
          </w:p>
          <w:p w:rsidR="00000000" w:rsidRPr="00CA0540" w:rsidP="00CA0540">
            <w:pPr>
              <w:pStyle w:val="ListBullet2"/>
            </w:pPr>
            <w:r w:rsidRPr="00CA0540">
              <w:t xml:space="preserve">to: </w:t>
            </w:r>
          </w:p>
          <w:p w:rsidR="00000000" w:rsidRPr="00CA0540" w:rsidP="00CA0540">
            <w:pPr>
              <w:pStyle w:val="ListBullet3"/>
            </w:pPr>
            <w:r w:rsidRPr="00CA0540">
              <w:t>people</w:t>
            </w:r>
          </w:p>
          <w:p w:rsidR="00000000" w:rsidRPr="00CA0540" w:rsidP="00CA0540">
            <w:pPr>
              <w:pStyle w:val="ListBullet3"/>
            </w:pPr>
            <w:r w:rsidRPr="00CA0540">
              <w:t>property</w:t>
            </w:r>
          </w:p>
          <w:p w:rsidR="00000000" w:rsidRPr="00CA0540" w:rsidP="00CA0540">
            <w:pPr>
              <w:pStyle w:val="ListBullet3"/>
            </w:pPr>
            <w:r w:rsidRPr="00CA0540">
              <w:t>information</w:t>
            </w:r>
          </w:p>
          <w:p w:rsidR="00000000" w:rsidRPr="00CA0540" w:rsidP="00CA0540">
            <w:pPr>
              <w:pStyle w:val="ListBullet3"/>
            </w:pPr>
            <w:r w:rsidRPr="00CA0540">
              <w:t>reputation</w:t>
            </w:r>
          </w:p>
          <w:p w:rsidR="00000000" w:rsidRPr="00CA0540" w:rsidP="00CA0540">
            <w:pPr>
              <w:pStyle w:val="ListBullet3"/>
            </w:pPr>
            <w:r w:rsidRPr="00CA0540">
              <w:t>criminal</w:t>
            </w:r>
          </w:p>
          <w:p w:rsidR="00000000" w:rsidRPr="00CA0540" w:rsidP="00CA0540">
            <w:pPr>
              <w:pStyle w:val="ListBullet3"/>
            </w:pPr>
            <w:r w:rsidRPr="00CA0540">
              <w:t>terrorist</w:t>
            </w:r>
          </w:p>
          <w:p w:rsidR="00000000" w:rsidRPr="00CA0540" w:rsidP="00CA0540">
            <w:pPr>
              <w:pStyle w:val="ListBullet2"/>
            </w:pPr>
            <w:r w:rsidRPr="00CA0540">
              <w:t>from foreign intelligence services</w:t>
            </w:r>
          </w:p>
          <w:p w:rsidR="00000000" w:rsidRPr="00CA0540" w:rsidP="00CA0540">
            <w:pPr>
              <w:pStyle w:val="ListBullet2"/>
            </w:pPr>
            <w:r w:rsidRPr="00CA0540">
              <w:t>from commercial/industrial competitors</w:t>
            </w:r>
          </w:p>
          <w:p w:rsidR="00000000" w:rsidP="00CA0540">
            <w:pPr>
              <w:pStyle w:val="ListBullet2"/>
              <w:rPr>
                <w:lang w:val="en-NZ"/>
              </w:rPr>
            </w:pPr>
            <w:r w:rsidRPr="00CA0540">
              <w:t>from malicious people</w:t>
            </w:r>
          </w:p>
        </w:tc>
      </w:tr>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rPr>
                <w:rStyle w:val="BoldandItalics"/>
              </w:rPr>
              <w:t>Risk review</w:t>
            </w:r>
            <w:r w:rsidRPr="00CA0540">
              <w:t xml:space="preserve"> includes:</w:t>
            </w:r>
          </w:p>
        </w:tc>
        <w:tc>
          <w:tcPr>
            <w:tcW w:w="6662" w:type="dxa"/>
            <w:tcBorders>
              <w:top w:val="nil"/>
              <w:left w:val="nil"/>
              <w:bottom w:val="nil"/>
              <w:right w:val="nil"/>
            </w:tcBorders>
            <w:tcMar>
              <w:top w:w="0" w:type="dxa"/>
              <w:left w:w="62" w:type="dxa"/>
              <w:bottom w:w="0" w:type="dxa"/>
              <w:right w:w="62" w:type="dxa"/>
            </w:tcMar>
          </w:tcPr>
          <w:p w:rsidR="00000000" w:rsidP="00CA0540">
            <w:pPr>
              <w:pStyle w:val="ListBullet2"/>
              <w:rPr>
                <w:lang w:val="en-NZ"/>
              </w:rPr>
            </w:pPr>
            <w:r w:rsidRPr="00CA0540">
              <w:t>consideration of current and historical information</w:t>
            </w:r>
          </w:p>
        </w:tc>
      </w:tr>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rPr>
                <w:rStyle w:val="BoldandItalics"/>
              </w:rPr>
              <w:t>Acceptable risks</w:t>
            </w:r>
            <w:r w:rsidRPr="00CA0540">
              <w:t xml:space="preserve"> are:</w:t>
            </w:r>
          </w:p>
        </w:tc>
        <w:tc>
          <w:tcPr>
            <w:tcW w:w="6662" w:type="dxa"/>
            <w:tcBorders>
              <w:top w:val="nil"/>
              <w:left w:val="nil"/>
              <w:bottom w:val="nil"/>
              <w:right w:val="nil"/>
            </w:tcBorders>
            <w:tcMar>
              <w:top w:w="0" w:type="dxa"/>
              <w:left w:w="62" w:type="dxa"/>
              <w:bottom w:w="0" w:type="dxa"/>
              <w:right w:w="62" w:type="dxa"/>
            </w:tcMar>
          </w:tcPr>
          <w:p w:rsidR="00000000" w:rsidP="00CA0540">
            <w:pPr>
              <w:pStyle w:val="ListBullet2"/>
              <w:rPr>
                <w:lang w:val="en-NZ"/>
              </w:rPr>
            </w:pPr>
            <w:r w:rsidRPr="00CA0540">
              <w:t xml:space="preserve">those which an organisation has determined have the least potential for harm </w:t>
            </w:r>
          </w:p>
        </w:tc>
      </w:tr>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rPr>
                <w:rStyle w:val="BoldandItalics"/>
              </w:rPr>
              <w:t>Unacceptable risks</w:t>
            </w:r>
            <w:r w:rsidRPr="00CA0540">
              <w:t xml:space="preserve"> are:</w:t>
            </w:r>
          </w:p>
        </w:tc>
        <w:tc>
          <w:tcPr>
            <w:tcW w:w="6662" w:type="dxa"/>
            <w:tcBorders>
              <w:top w:val="nil"/>
              <w:left w:val="nil"/>
              <w:bottom w:val="nil"/>
              <w:right w:val="nil"/>
            </w:tcBorders>
            <w:tcMar>
              <w:top w:w="0" w:type="dxa"/>
              <w:left w:w="62" w:type="dxa"/>
              <w:bottom w:w="0" w:type="dxa"/>
              <w:right w:w="62" w:type="dxa"/>
            </w:tcMar>
          </w:tcPr>
          <w:p w:rsidR="00000000" w:rsidP="00CA0540">
            <w:pPr>
              <w:pStyle w:val="ListBullet2"/>
              <w:rPr>
                <w:lang w:val="en-NZ"/>
              </w:rPr>
            </w:pPr>
            <w:r w:rsidRPr="00CA0540">
              <w:t>those which an organisation has determined have the most potential for harm</w:t>
            </w:r>
          </w:p>
        </w:tc>
      </w:tr>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rPr>
                <w:rStyle w:val="BoldandItalics"/>
              </w:rPr>
              <w:t>Treatment options</w:t>
            </w:r>
            <w:r w:rsidRPr="00CA054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A0540" w:rsidP="00CA0540">
            <w:pPr>
              <w:pStyle w:val="ListBullet2"/>
            </w:pPr>
            <w:r w:rsidRPr="00CA0540">
              <w:t>addition of security measures</w:t>
            </w:r>
          </w:p>
          <w:p w:rsidR="00000000" w:rsidRPr="00CA0540" w:rsidP="00CA0540">
            <w:pPr>
              <w:pStyle w:val="ListBullet2"/>
            </w:pPr>
            <w:r w:rsidRPr="00CA0540">
              <w:t xml:space="preserve">reduction of </w:t>
            </w:r>
            <w:r w:rsidRPr="00CA0540">
              <w:t>security measures</w:t>
            </w:r>
          </w:p>
          <w:p w:rsidR="00000000" w:rsidRPr="00CA0540" w:rsidP="00CA0540">
            <w:pPr>
              <w:pStyle w:val="ListBullet2"/>
            </w:pPr>
            <w:r w:rsidRPr="00CA0540">
              <w:t>avoiding the risk through change of practice</w:t>
            </w:r>
          </w:p>
          <w:p w:rsidR="00000000" w:rsidRPr="00CA0540" w:rsidP="00CA0540">
            <w:pPr>
              <w:pStyle w:val="ListBullet2"/>
            </w:pPr>
            <w:r w:rsidRPr="00CA0540">
              <w:t>acceptance of residual risk</w:t>
            </w:r>
          </w:p>
          <w:p w:rsidR="00000000" w:rsidRPr="00CA0540" w:rsidP="00CA0540">
            <w:pPr>
              <w:pStyle w:val="ListBullet2"/>
            </w:pPr>
            <w:r w:rsidRPr="00CA0540">
              <w:t>minimisation of harm through response mechanisms</w:t>
            </w:r>
          </w:p>
          <w:p w:rsidR="00000000" w:rsidP="00CA0540">
            <w:pPr>
              <w:pStyle w:val="ListBullet2"/>
              <w:rPr>
                <w:lang w:val="en-NZ"/>
              </w:rPr>
            </w:pPr>
            <w:r w:rsidRPr="00CA0540">
              <w:t>accepting the risk</w:t>
            </w:r>
          </w:p>
        </w:tc>
      </w:tr>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rPr>
                <w:rStyle w:val="BoldandItalics"/>
              </w:rPr>
              <w:t xml:space="preserve">Countermeasures </w:t>
            </w:r>
            <w:r w:rsidRPr="00CA0540">
              <w:t>may include:</w:t>
            </w:r>
          </w:p>
        </w:tc>
        <w:tc>
          <w:tcPr>
            <w:tcW w:w="6662" w:type="dxa"/>
            <w:tcBorders>
              <w:top w:val="nil"/>
              <w:left w:val="nil"/>
              <w:bottom w:val="nil"/>
              <w:right w:val="nil"/>
            </w:tcBorders>
            <w:tcMar>
              <w:top w:w="0" w:type="dxa"/>
              <w:left w:w="62" w:type="dxa"/>
              <w:bottom w:w="0" w:type="dxa"/>
              <w:right w:w="62" w:type="dxa"/>
            </w:tcMar>
          </w:tcPr>
          <w:p w:rsidR="00000000" w:rsidRPr="00CA0540" w:rsidP="00CA0540">
            <w:pPr>
              <w:pStyle w:val="ListBullet2"/>
            </w:pPr>
            <w:r w:rsidRPr="00CA0540">
              <w:t>revision of agency security plan</w:t>
            </w:r>
          </w:p>
          <w:p w:rsidR="00000000" w:rsidRPr="00CA0540" w:rsidP="00CA0540">
            <w:pPr>
              <w:pStyle w:val="ListBullet2"/>
            </w:pPr>
            <w:r w:rsidRPr="00CA0540">
              <w:t>upgrade of existing security</w:t>
            </w:r>
          </w:p>
          <w:p w:rsidR="00000000" w:rsidRPr="00CA0540" w:rsidP="00CA0540">
            <w:pPr>
              <w:pStyle w:val="ListBullet2"/>
            </w:pPr>
            <w:r w:rsidRPr="00CA0540">
              <w:t>installation of new security measures</w:t>
            </w:r>
          </w:p>
          <w:p w:rsidR="00000000" w:rsidRPr="00CA0540" w:rsidP="00CA0540">
            <w:pPr>
              <w:pStyle w:val="ListBullet2"/>
            </w:pPr>
            <w:r w:rsidRPr="00CA0540">
              <w:t>technical controls</w:t>
            </w:r>
          </w:p>
          <w:p w:rsidR="00000000" w:rsidRPr="00CA0540" w:rsidP="00CA0540">
            <w:pPr>
              <w:pStyle w:val="ListBullet2"/>
            </w:pPr>
            <w:r w:rsidRPr="00CA0540">
              <w:t>training</w:t>
            </w:r>
          </w:p>
          <w:p w:rsidR="00000000" w:rsidRPr="00CA0540" w:rsidP="00CA0540">
            <w:pPr>
              <w:pStyle w:val="ListBullet2"/>
            </w:pPr>
            <w:r w:rsidRPr="00CA0540">
              <w:t>personnel-oriented</w:t>
            </w:r>
          </w:p>
          <w:p w:rsidR="00000000" w:rsidRPr="00CA0540" w:rsidP="00CA0540">
            <w:pPr>
              <w:pStyle w:val="ListBullet2"/>
            </w:pPr>
            <w:r w:rsidRPr="00CA0540">
              <w:t>information-oriented</w:t>
            </w:r>
          </w:p>
          <w:p w:rsidR="00000000" w:rsidRPr="00CA0540" w:rsidP="00CA0540">
            <w:pPr>
              <w:pStyle w:val="ListBullet2"/>
            </w:pPr>
            <w:r w:rsidRPr="00CA0540">
              <w:t>property-oriented</w:t>
            </w:r>
          </w:p>
          <w:p w:rsidR="00000000" w:rsidP="00CA0540">
            <w:pPr>
              <w:pStyle w:val="ListBullet2"/>
              <w:rPr>
                <w:lang w:val="en-NZ"/>
              </w:rPr>
            </w:pPr>
            <w:r w:rsidRPr="00CA0540">
              <w:t>reputation-oriented</w:t>
            </w:r>
          </w:p>
        </w:tc>
      </w:tr>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rPr>
                <w:rStyle w:val="BoldandItalics"/>
              </w:rPr>
              <w:t>Likelihood of risk</w:t>
            </w:r>
            <w:r w:rsidRPr="00CA0540">
              <w:t xml:space="preserve"> may be determined through analysis of:</w:t>
            </w:r>
          </w:p>
        </w:tc>
        <w:tc>
          <w:tcPr>
            <w:tcW w:w="6662" w:type="dxa"/>
            <w:tcBorders>
              <w:top w:val="nil"/>
              <w:left w:val="nil"/>
              <w:bottom w:val="nil"/>
              <w:right w:val="nil"/>
            </w:tcBorders>
            <w:tcMar>
              <w:top w:w="0" w:type="dxa"/>
              <w:left w:w="62" w:type="dxa"/>
              <w:bottom w:w="0" w:type="dxa"/>
              <w:right w:w="62" w:type="dxa"/>
            </w:tcMar>
          </w:tcPr>
          <w:p w:rsidR="00000000" w:rsidRPr="00CA0540" w:rsidP="00CA0540">
            <w:pPr>
              <w:pStyle w:val="ListBullet2"/>
            </w:pPr>
            <w:r w:rsidRPr="00CA0540">
              <w:t>current controls to deter, detect or prevent harm</w:t>
            </w:r>
          </w:p>
          <w:p w:rsidR="00000000" w:rsidRPr="00CA0540" w:rsidP="00CA0540">
            <w:pPr>
              <w:pStyle w:val="ListBullet2"/>
            </w:pPr>
            <w:r w:rsidRPr="00CA0540">
              <w:t>effectiveness of current controls</w:t>
            </w:r>
          </w:p>
          <w:p w:rsidR="00000000" w:rsidRPr="00CA0540" w:rsidP="00CA0540">
            <w:pPr>
              <w:pStyle w:val="ListBullet2"/>
            </w:pPr>
            <w:r w:rsidRPr="00CA0540">
              <w:t>level of exposure</w:t>
            </w:r>
          </w:p>
          <w:p w:rsidR="00000000" w:rsidRPr="00CA0540" w:rsidP="00CA0540">
            <w:pPr>
              <w:pStyle w:val="ListBullet2"/>
            </w:pPr>
            <w:r w:rsidRPr="00CA0540">
              <w:t>threat assessment</w:t>
            </w:r>
          </w:p>
          <w:p w:rsidR="00000000" w:rsidRPr="00CA0540" w:rsidP="00CA0540">
            <w:pPr>
              <w:pStyle w:val="ListBullet2"/>
            </w:pPr>
            <w:r w:rsidRPr="00CA0540">
              <w:t>determination of threat source/s</w:t>
            </w:r>
          </w:p>
          <w:p w:rsidR="00000000" w:rsidRPr="00CA0540" w:rsidP="00CA0540">
            <w:pPr>
              <w:pStyle w:val="ListBullet2"/>
            </w:pPr>
            <w:r w:rsidRPr="00CA0540">
              <w:t>competence/capability of threat source/s</w:t>
            </w:r>
          </w:p>
          <w:p w:rsidR="00000000" w:rsidP="00CA0540">
            <w:pPr>
              <w:pStyle w:val="ListBullet2"/>
              <w:rPr>
                <w:lang w:val="en-NZ"/>
              </w:rPr>
            </w:pPr>
            <w:r w:rsidRPr="00CA0540">
              <w:t>opportunity for threat to occur</w:t>
            </w:r>
          </w:p>
        </w:tc>
      </w:tr>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rPr>
                <w:rStyle w:val="BoldandItalics"/>
              </w:rPr>
              <w:t xml:space="preserve">Consequences </w:t>
            </w:r>
            <w:r w:rsidRPr="00CA0540">
              <w:t>may include:</w:t>
            </w:r>
          </w:p>
        </w:tc>
        <w:tc>
          <w:tcPr>
            <w:tcW w:w="6662" w:type="dxa"/>
            <w:tcBorders>
              <w:top w:val="nil"/>
              <w:left w:val="nil"/>
              <w:bottom w:val="nil"/>
              <w:right w:val="nil"/>
            </w:tcBorders>
            <w:tcMar>
              <w:top w:w="0" w:type="dxa"/>
              <w:left w:w="62" w:type="dxa"/>
              <w:bottom w:w="0" w:type="dxa"/>
              <w:right w:w="62" w:type="dxa"/>
            </w:tcMar>
          </w:tcPr>
          <w:p w:rsidR="00000000" w:rsidRPr="00CA0540" w:rsidP="00CA0540">
            <w:pPr>
              <w:pStyle w:val="ListBullet2"/>
            </w:pPr>
            <w:r w:rsidRPr="00CA0540">
              <w:t>degree of harm</w:t>
            </w:r>
          </w:p>
          <w:p w:rsidR="00000000" w:rsidRPr="00CA0540" w:rsidP="00CA0540">
            <w:pPr>
              <w:pStyle w:val="ListBullet2"/>
            </w:pPr>
            <w:r w:rsidRPr="00CA0540">
              <w:t>who would be affected and how</w:t>
            </w:r>
          </w:p>
          <w:p w:rsidR="00000000" w:rsidRPr="00CA0540" w:rsidP="00CA0540">
            <w:pPr>
              <w:pStyle w:val="ListBullet2"/>
            </w:pPr>
            <w:r w:rsidRPr="00CA0540">
              <w:t>how muc</w:t>
            </w:r>
            <w:r w:rsidRPr="00CA0540">
              <w:t>h disruption would occur</w:t>
            </w:r>
          </w:p>
          <w:p w:rsidR="00000000" w:rsidRPr="00CA0540" w:rsidP="00CA0540">
            <w:pPr>
              <w:pStyle w:val="ListBullet2"/>
            </w:pPr>
            <w:r w:rsidRPr="00CA0540">
              <w:t>damage to:</w:t>
            </w:r>
          </w:p>
          <w:p w:rsidR="00000000" w:rsidRPr="00CA0540" w:rsidP="00CA0540">
            <w:pPr>
              <w:pStyle w:val="ListBullet3"/>
            </w:pPr>
            <w:r w:rsidRPr="00CA0540">
              <w:t>the organisation</w:t>
            </w:r>
          </w:p>
          <w:p w:rsidR="00000000" w:rsidRPr="00CA0540" w:rsidP="00CA0540">
            <w:pPr>
              <w:pStyle w:val="ListBullet3"/>
            </w:pPr>
            <w:r w:rsidRPr="00CA0540">
              <w:t>other organisations</w:t>
            </w:r>
          </w:p>
          <w:p w:rsidR="00000000" w:rsidRPr="00CA0540" w:rsidP="00CA0540">
            <w:pPr>
              <w:pStyle w:val="ListBullet3"/>
            </w:pPr>
            <w:r w:rsidRPr="00CA0540">
              <w:t>government</w:t>
            </w:r>
          </w:p>
          <w:p w:rsidR="00000000" w:rsidRPr="00CA0540" w:rsidP="00CA0540">
            <w:pPr>
              <w:pStyle w:val="ListBullet3"/>
            </w:pPr>
            <w:r w:rsidRPr="00CA0540">
              <w:t>third parties</w:t>
            </w:r>
          </w:p>
          <w:p w:rsidR="00000000" w:rsidRPr="00CA0540" w:rsidP="00CA0540">
            <w:pPr>
              <w:pStyle w:val="ListBullet2"/>
            </w:pPr>
            <w:r w:rsidRPr="00CA0540">
              <w:t>critical lead time for recovery:</w:t>
            </w:r>
          </w:p>
          <w:p w:rsidR="00000000" w:rsidRPr="00CA0540" w:rsidP="00CA0540">
            <w:pPr>
              <w:pStyle w:val="ListBullet3"/>
            </w:pPr>
            <w:r w:rsidRPr="00CA0540">
              <w:t>the period of time a function is compromised</w:t>
            </w:r>
          </w:p>
          <w:p w:rsidR="00000000" w:rsidP="00CA0540">
            <w:pPr>
              <w:pStyle w:val="ListBullet3"/>
              <w:rPr>
                <w:lang w:val="en-NZ"/>
              </w:rPr>
            </w:pPr>
            <w:r w:rsidRPr="00CA0540">
              <w:t>critical if the function is vital to the organisation</w:t>
            </w:r>
          </w:p>
        </w:tc>
      </w:tr>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rPr>
                <w:rStyle w:val="BoldandItalics"/>
              </w:rPr>
              <w:t>Continuity plans</w:t>
            </w:r>
            <w:r w:rsidRPr="00CA0540">
              <w:t>:</w:t>
            </w:r>
          </w:p>
        </w:tc>
        <w:tc>
          <w:tcPr>
            <w:tcW w:w="6662" w:type="dxa"/>
            <w:tcBorders>
              <w:top w:val="nil"/>
              <w:left w:val="nil"/>
              <w:bottom w:val="nil"/>
              <w:right w:val="nil"/>
            </w:tcBorders>
            <w:tcMar>
              <w:top w:w="0" w:type="dxa"/>
              <w:left w:w="62" w:type="dxa"/>
              <w:bottom w:w="0" w:type="dxa"/>
              <w:right w:w="62" w:type="dxa"/>
            </w:tcMar>
          </w:tcPr>
          <w:p w:rsidR="00000000" w:rsidRPr="00CA0540" w:rsidP="00CA0540">
            <w:pPr>
              <w:pStyle w:val="ListBullet2"/>
            </w:pPr>
            <w:r w:rsidRPr="00CA0540">
              <w:t>may lessen the adverse consequences of risk</w:t>
            </w:r>
          </w:p>
          <w:p w:rsidR="00000000" w:rsidP="00CA0540">
            <w:pPr>
              <w:pStyle w:val="ListBullet2"/>
              <w:rPr>
                <w:lang w:val="en-NZ"/>
              </w:rPr>
            </w:pPr>
            <w:r w:rsidRPr="00CA0540">
              <w:t>provide a set of planned procedures that enable organisations to continue or recover services to the government and the public with minimal disruption over a given period, irrespective of the source of the disrup</w:t>
            </w:r>
            <w:r w:rsidRPr="00CA0540">
              <w:t>tion</w:t>
            </w:r>
          </w:p>
        </w:tc>
      </w:tr>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rPr>
                <w:rStyle w:val="BoldandItalics"/>
              </w:rPr>
              <w:t>Level of risk</w:t>
            </w:r>
            <w:r w:rsidRPr="00CA0540">
              <w:t xml:space="preserve"> may be:</w:t>
            </w:r>
          </w:p>
        </w:tc>
        <w:tc>
          <w:tcPr>
            <w:tcW w:w="6662" w:type="dxa"/>
            <w:tcBorders>
              <w:top w:val="nil"/>
              <w:left w:val="nil"/>
              <w:bottom w:val="nil"/>
              <w:right w:val="nil"/>
            </w:tcBorders>
            <w:tcMar>
              <w:top w:w="0" w:type="dxa"/>
              <w:left w:w="62" w:type="dxa"/>
              <w:bottom w:w="0" w:type="dxa"/>
              <w:right w:w="62" w:type="dxa"/>
            </w:tcMar>
          </w:tcPr>
          <w:p w:rsidR="00000000" w:rsidRPr="00CA0540" w:rsidP="00CA0540">
            <w:pPr>
              <w:pStyle w:val="ListBullet2"/>
            </w:pPr>
            <w:r w:rsidRPr="00CA0540">
              <w:t>severe</w:t>
            </w:r>
          </w:p>
          <w:p w:rsidR="00000000" w:rsidRPr="00CA0540" w:rsidP="00CA0540">
            <w:pPr>
              <w:pStyle w:val="ListBullet2"/>
            </w:pPr>
            <w:r w:rsidRPr="00CA0540">
              <w:t>high</w:t>
            </w:r>
          </w:p>
          <w:p w:rsidR="00000000" w:rsidRPr="00CA0540" w:rsidP="00CA0540">
            <w:pPr>
              <w:pStyle w:val="ListBullet2"/>
            </w:pPr>
            <w:r w:rsidRPr="00CA0540">
              <w:t>major</w:t>
            </w:r>
          </w:p>
          <w:p w:rsidR="00000000" w:rsidRPr="00CA0540" w:rsidP="00CA0540">
            <w:pPr>
              <w:pStyle w:val="ListBullet2"/>
            </w:pPr>
            <w:r w:rsidRPr="00CA0540">
              <w:t>significant</w:t>
            </w:r>
          </w:p>
          <w:p w:rsidR="00000000" w:rsidRPr="00CA0540" w:rsidP="00CA0540">
            <w:pPr>
              <w:pStyle w:val="ListBullet2"/>
            </w:pPr>
            <w:r w:rsidRPr="00CA0540">
              <w:t>moderate</w:t>
            </w:r>
          </w:p>
          <w:p w:rsidR="00000000" w:rsidRPr="00CA0540" w:rsidP="00CA0540">
            <w:pPr>
              <w:pStyle w:val="ListBullet2"/>
            </w:pPr>
            <w:r w:rsidRPr="00CA0540">
              <w:t>low</w:t>
            </w:r>
          </w:p>
          <w:p w:rsidR="00000000" w:rsidP="00CA0540">
            <w:pPr>
              <w:pStyle w:val="ListBullet2"/>
              <w:rPr>
                <w:lang w:val="en-NZ"/>
              </w:rPr>
            </w:pPr>
            <w:r w:rsidRPr="00CA0540">
              <w:t>trivial</w:t>
            </w:r>
          </w:p>
        </w:tc>
      </w:tr>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rPr>
                <w:rStyle w:val="BoldandItalics"/>
              </w:rPr>
              <w:t>Cost-benefit analysis</w:t>
            </w:r>
            <w:r w:rsidRPr="00CA0540">
              <w:t xml:space="preserve"> may be against:</w:t>
            </w:r>
          </w:p>
        </w:tc>
        <w:tc>
          <w:tcPr>
            <w:tcW w:w="6662" w:type="dxa"/>
            <w:tcBorders>
              <w:top w:val="nil"/>
              <w:left w:val="nil"/>
              <w:bottom w:val="nil"/>
              <w:right w:val="nil"/>
            </w:tcBorders>
            <w:tcMar>
              <w:top w:w="0" w:type="dxa"/>
              <w:left w:w="62" w:type="dxa"/>
              <w:bottom w:w="0" w:type="dxa"/>
              <w:right w:w="62" w:type="dxa"/>
            </w:tcMar>
          </w:tcPr>
          <w:p w:rsidR="00000000" w:rsidRPr="00CA0540" w:rsidP="00CA0540">
            <w:pPr>
              <w:pStyle w:val="ListBullet2"/>
            </w:pPr>
            <w:r w:rsidRPr="00CA0540">
              <w:t>existing requirements</w:t>
            </w:r>
          </w:p>
          <w:p w:rsidR="00000000" w:rsidRPr="00CA0540" w:rsidP="00CA0540">
            <w:pPr>
              <w:pStyle w:val="ListBullet2"/>
            </w:pPr>
            <w:r w:rsidRPr="00CA0540">
              <w:t>future requirements</w:t>
            </w:r>
          </w:p>
          <w:p w:rsidR="00000000" w:rsidP="00CA0540">
            <w:pPr>
              <w:pStyle w:val="ListBullet2"/>
              <w:rPr>
                <w:lang w:val="en-NZ"/>
              </w:rPr>
            </w:pPr>
            <w:r w:rsidRPr="00CA0540">
              <w:t>forecast requirements</w:t>
            </w:r>
          </w:p>
        </w:tc>
      </w:tr>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rPr>
                <w:rStyle w:val="BoldandItalics"/>
              </w:rPr>
              <w:t xml:space="preserve">Stakeholders </w:t>
            </w:r>
            <w:r w:rsidRPr="00CA0540">
              <w:t>may include:</w:t>
            </w:r>
          </w:p>
        </w:tc>
        <w:tc>
          <w:tcPr>
            <w:tcW w:w="6662" w:type="dxa"/>
            <w:tcBorders>
              <w:top w:val="nil"/>
              <w:left w:val="nil"/>
              <w:bottom w:val="nil"/>
              <w:right w:val="nil"/>
            </w:tcBorders>
            <w:tcMar>
              <w:top w:w="0" w:type="dxa"/>
              <w:left w:w="62" w:type="dxa"/>
              <w:bottom w:w="0" w:type="dxa"/>
              <w:right w:w="62" w:type="dxa"/>
            </w:tcMar>
          </w:tcPr>
          <w:p w:rsidR="00000000" w:rsidRPr="00CA0540" w:rsidP="00CA0540">
            <w:pPr>
              <w:pStyle w:val="ListBullet2"/>
            </w:pPr>
            <w:r w:rsidRPr="00CA0540">
              <w:t>supervisors</w:t>
            </w:r>
          </w:p>
          <w:p w:rsidR="00000000" w:rsidRPr="00CA0540" w:rsidP="00CA0540">
            <w:pPr>
              <w:pStyle w:val="ListBullet2"/>
            </w:pPr>
            <w:r w:rsidRPr="00CA0540">
              <w:t>managers</w:t>
            </w:r>
          </w:p>
          <w:p w:rsidR="00000000" w:rsidRPr="00CA0540" w:rsidP="00CA0540">
            <w:pPr>
              <w:pStyle w:val="ListBullet2"/>
            </w:pPr>
            <w:r w:rsidRPr="00CA0540">
              <w:t>other areas within the organisation</w:t>
            </w:r>
          </w:p>
          <w:p w:rsidR="00000000" w:rsidRPr="00CA0540" w:rsidP="00CA0540">
            <w:pPr>
              <w:pStyle w:val="ListBullet2"/>
            </w:pPr>
            <w:r w:rsidRPr="00CA0540">
              <w:t>other organisations</w:t>
            </w:r>
          </w:p>
          <w:p w:rsidR="00000000" w:rsidRPr="00CA0540" w:rsidP="00CA0540">
            <w:pPr>
              <w:pStyle w:val="ListBullet2"/>
            </w:pPr>
            <w:r w:rsidRPr="00CA0540">
              <w:t>government</w:t>
            </w:r>
          </w:p>
          <w:p w:rsidR="00000000" w:rsidRPr="00CA0540" w:rsidP="00CA0540">
            <w:pPr>
              <w:pStyle w:val="ListBullet2"/>
            </w:pPr>
            <w:r w:rsidRPr="00CA0540">
              <w:t>third parties</w:t>
            </w:r>
          </w:p>
          <w:p w:rsidR="00000000" w:rsidP="00CA0540">
            <w:pPr>
              <w:pStyle w:val="ListBullet2"/>
              <w:rPr>
                <w:lang w:val="en-NZ"/>
              </w:rPr>
            </w:pPr>
            <w:r w:rsidRPr="00CA0540">
              <w:t>workgroup</w:t>
            </w:r>
          </w:p>
        </w:tc>
      </w:tr>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rPr>
                <w:rStyle w:val="BoldandItalics"/>
              </w:rPr>
              <w:t>Threat assessment</w:t>
            </w:r>
            <w:r w:rsidRPr="00CA0540">
              <w:t>:</w:t>
            </w:r>
          </w:p>
        </w:tc>
        <w:tc>
          <w:tcPr>
            <w:tcW w:w="6662" w:type="dxa"/>
            <w:tcBorders>
              <w:top w:val="nil"/>
              <w:left w:val="nil"/>
              <w:bottom w:val="nil"/>
              <w:right w:val="nil"/>
            </w:tcBorders>
            <w:tcMar>
              <w:top w:w="0" w:type="dxa"/>
              <w:left w:w="62" w:type="dxa"/>
              <w:bottom w:w="0" w:type="dxa"/>
              <w:right w:w="62" w:type="dxa"/>
            </w:tcMar>
          </w:tcPr>
          <w:p w:rsidR="00000000" w:rsidRPr="00CA0540" w:rsidP="00CA0540">
            <w:pPr>
              <w:pStyle w:val="ListBullet2"/>
            </w:pPr>
            <w:r w:rsidRPr="00CA0540">
              <w:t>is used to provide information about people and events that may pose a threat to a particular resource or function</w:t>
            </w:r>
          </w:p>
          <w:p w:rsidR="00000000" w:rsidRPr="00CA0540" w:rsidP="00CA0540">
            <w:pPr>
              <w:pStyle w:val="ListBullet2"/>
            </w:pPr>
            <w:r w:rsidRPr="00CA0540">
              <w:t>evaluates and discusses the likelihood of a threat being realised</w:t>
            </w:r>
          </w:p>
          <w:p w:rsidR="00000000" w:rsidP="00CA0540">
            <w:pPr>
              <w:pStyle w:val="ListBullet2"/>
              <w:rPr>
                <w:lang w:val="en-NZ"/>
              </w:rPr>
            </w:pPr>
            <w:r w:rsidRPr="00CA0540">
              <w:t>determines the potential of a threat to actually cause harm</w:t>
            </w:r>
          </w:p>
        </w:tc>
      </w:tr>
      <w:tr w:rsidTr="007C53C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A0540">
            <w:pPr>
              <w:pStyle w:val="BodyText"/>
              <w:rPr>
                <w:lang w:val="en-NZ"/>
              </w:rPr>
            </w:pPr>
            <w:r w:rsidRPr="00CA0540">
              <w:rPr>
                <w:rStyle w:val="BoldandItalics"/>
              </w:rPr>
              <w:t>Risk exposure</w:t>
            </w:r>
            <w:r w:rsidRPr="00CA0540">
              <w:t xml:space="preserve"> is:</w:t>
            </w:r>
          </w:p>
        </w:tc>
        <w:tc>
          <w:tcPr>
            <w:tcW w:w="6662" w:type="dxa"/>
            <w:tcBorders>
              <w:top w:val="nil"/>
              <w:left w:val="nil"/>
              <w:bottom w:val="nil"/>
              <w:right w:val="nil"/>
            </w:tcBorders>
            <w:tcMar>
              <w:top w:w="0" w:type="dxa"/>
              <w:left w:w="62" w:type="dxa"/>
              <w:bottom w:w="0" w:type="dxa"/>
              <w:right w:w="62" w:type="dxa"/>
            </w:tcMar>
          </w:tcPr>
          <w:p w:rsidR="00000000" w:rsidRPr="00CA0540" w:rsidP="00CA0540">
            <w:pPr>
              <w:pStyle w:val="ListBullet2"/>
            </w:pPr>
            <w:r w:rsidRPr="00CA0540">
              <w:t>a measure of how open a resource is to harm, or</w:t>
            </w:r>
          </w:p>
          <w:p w:rsidR="00000000" w:rsidRPr="00CA0540" w:rsidP="00CA0540">
            <w:pPr>
              <w:pStyle w:val="ListBullet2"/>
            </w:pPr>
            <w:r w:rsidRPr="00CA0540">
              <w:t>the potential of a resource to attract harm</w:t>
            </w:r>
          </w:p>
        </w:tc>
      </w:tr>
    </w:tbl>
    <w:p w:rsidR="007C53CC" w:rsidP="00CA0540">
      <w:pPr>
        <w:pStyle w:val="BodyText"/>
      </w:pPr>
    </w:p>
    <w:p w:rsidR="007C53CC" w:rsidP="00CA0540">
      <w:pPr>
        <w:pStyle w:val="BodyText"/>
      </w:pPr>
    </w:p>
    <w:p w:rsidR="00000000" w:rsidRPr="00CA0540" w:rsidP="00CA0540">
      <w:pPr>
        <w:pStyle w:val="Heading1"/>
      </w:pPr>
      <w:bookmarkStart w:id="12" w:name="O_499838"/>
      <w:bookmarkEnd w:id="12"/>
      <w:r w:rsidRPr="00CA0540">
        <w:t>Unit Sector(s)</w:t>
      </w:r>
    </w:p>
    <w:p w:rsidR="00000000" w:rsidRPr="00CA0540" w:rsidP="00CA0540">
      <w:pPr>
        <w:pStyle w:val="BodyText"/>
      </w:pPr>
      <w:r w:rsidRPr="00CA0540">
        <w:t>Not applicable.</w:t>
      </w:r>
    </w:p>
    <w:p w:rsidR="00000000" w:rsidRPr="00CA0540" w:rsidP="00CA0540">
      <w:pPr>
        <w:pStyle w:val="AllowPageBreak"/>
      </w:pPr>
    </w:p>
    <w:p w:rsidR="00000000" w:rsidRPr="00CA0540" w:rsidP="00CA0540">
      <w:pPr>
        <w:pStyle w:val="Heading1"/>
      </w:pPr>
      <w:bookmarkStart w:id="13" w:name="O_499843"/>
      <w:bookmarkEnd w:id="13"/>
      <w:r w:rsidRPr="00CA0540">
        <w:t>Competency field</w:t>
      </w:r>
    </w:p>
    <w:p w:rsidR="00000000" w:rsidRPr="00CA0540" w:rsidP="00CA0540">
      <w:pPr>
        <w:pStyle w:val="BodyText"/>
      </w:pPr>
      <w:r w:rsidRPr="00CA0540">
        <w:t>Government Security Management.</w:t>
      </w:r>
    </w:p>
    <w:p w:rsidR="00000000" w:rsidRPr="00CA0540" w:rsidP="00CA0540"/>
    <w:sectPr w:rsidSect="00CA05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5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3CC" w:rsidP="007C53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5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CC" w:rsidP="00CA05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C53CC" w:rsidP="00CA05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C53CC" w:rsidP="00CA05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5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540" w:rsidRPr="007C53CC" w:rsidP="007C53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5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CC" w:rsidRPr="002D2AF8" w:rsidP="00CA0540">
    <w:pPr>
      <w:pStyle w:val="Header"/>
      <w:framePr w:wrap="around"/>
    </w:pPr>
    <w:r>
      <w:fldChar w:fldCharType="begin"/>
    </w:r>
    <w:r>
      <w:instrText xml:space="preserve"> TITLE   \* MERGEFORMAT </w:instrText>
    </w:r>
    <w:r>
      <w:fldChar w:fldCharType="separate"/>
    </w:r>
    <w:r>
      <w:t>PSPSEC502A Develop security risk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7C53CC" w:rsidP="00CA05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3C19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AE893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5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0540"/>
    <w:pPr>
      <w:spacing w:before="360" w:after="60"/>
      <w:outlineLvl w:val="0"/>
    </w:pPr>
    <w:rPr>
      <w:sz w:val="32"/>
    </w:rPr>
  </w:style>
  <w:style w:type="paragraph" w:styleId="Heading2">
    <w:name w:val="heading 2"/>
    <w:basedOn w:val="HeadingBase"/>
    <w:next w:val="BodyText"/>
    <w:link w:val="Heading2Char"/>
    <w:qFormat/>
    <w:rsid w:val="00CA0540"/>
    <w:pPr>
      <w:keepLines/>
      <w:spacing w:before="240" w:after="120"/>
      <w:outlineLvl w:val="1"/>
    </w:pPr>
    <w:rPr>
      <w:sz w:val="28"/>
      <w:szCs w:val="40"/>
    </w:rPr>
  </w:style>
  <w:style w:type="paragraph" w:styleId="Heading3">
    <w:name w:val="heading 3"/>
    <w:basedOn w:val="HeadingBase"/>
    <w:next w:val="BodyText"/>
    <w:link w:val="Heading3Char"/>
    <w:qFormat/>
    <w:rsid w:val="00CA0540"/>
    <w:pPr>
      <w:spacing w:before="180" w:after="120"/>
      <w:outlineLvl w:val="2"/>
    </w:pPr>
    <w:rPr>
      <w:spacing w:val="-10"/>
      <w:kern w:val="32"/>
    </w:rPr>
  </w:style>
  <w:style w:type="paragraph" w:styleId="Heading4">
    <w:name w:val="heading 4"/>
    <w:basedOn w:val="HeadingBase"/>
    <w:next w:val="BodyText"/>
    <w:link w:val="Heading4Char"/>
    <w:qFormat/>
    <w:rsid w:val="00CA0540"/>
    <w:pPr>
      <w:spacing w:before="160" w:after="120"/>
      <w:outlineLvl w:val="3"/>
    </w:pPr>
    <w:rPr>
      <w:sz w:val="22"/>
    </w:rPr>
  </w:style>
  <w:style w:type="paragraph" w:styleId="Heading5">
    <w:name w:val="heading 5"/>
    <w:basedOn w:val="HeadingBase"/>
    <w:next w:val="Normal"/>
    <w:link w:val="Heading5Char"/>
    <w:qFormat/>
    <w:rsid w:val="00CA0540"/>
    <w:pPr>
      <w:spacing w:before="80"/>
      <w:outlineLvl w:val="4"/>
    </w:pPr>
    <w:rPr>
      <w:color w:val="918585"/>
      <w:sz w:val="20"/>
    </w:rPr>
  </w:style>
  <w:style w:type="paragraph" w:styleId="Heading6">
    <w:name w:val="heading 6"/>
    <w:basedOn w:val="HeadingBase"/>
    <w:next w:val="Normal"/>
    <w:link w:val="Heading6Char"/>
    <w:qFormat/>
    <w:rsid w:val="00CA0540"/>
    <w:pPr>
      <w:spacing w:before="60"/>
      <w:outlineLvl w:val="5"/>
    </w:pPr>
    <w:rPr>
      <w:color w:val="918585"/>
      <w:sz w:val="20"/>
    </w:rPr>
  </w:style>
  <w:style w:type="paragraph" w:styleId="Heading7">
    <w:name w:val="heading 7"/>
    <w:basedOn w:val="Normal"/>
    <w:next w:val="Normal"/>
    <w:link w:val="Heading7Char"/>
    <w:qFormat/>
    <w:rsid w:val="00CA0540"/>
    <w:pPr>
      <w:ind w:left="720"/>
      <w:outlineLvl w:val="6"/>
    </w:pPr>
    <w:rPr>
      <w:i/>
    </w:rPr>
  </w:style>
  <w:style w:type="paragraph" w:styleId="Heading8">
    <w:name w:val="heading 8"/>
    <w:basedOn w:val="Normal"/>
    <w:next w:val="Normal"/>
    <w:link w:val="Heading8Char"/>
    <w:qFormat/>
    <w:rsid w:val="00CA0540"/>
    <w:pPr>
      <w:ind w:left="720"/>
      <w:outlineLvl w:val="7"/>
    </w:pPr>
    <w:rPr>
      <w:i/>
    </w:rPr>
  </w:style>
  <w:style w:type="paragraph" w:styleId="Heading9">
    <w:name w:val="heading 9"/>
    <w:basedOn w:val="Normal"/>
    <w:next w:val="Normal"/>
    <w:link w:val="Heading9Char"/>
    <w:qFormat/>
    <w:rsid w:val="00CA0540"/>
    <w:pPr>
      <w:ind w:left="720"/>
      <w:outlineLvl w:val="8"/>
    </w:pPr>
    <w:rPr>
      <w:i/>
    </w:rPr>
  </w:style>
  <w:style w:type="character" w:default="1" w:styleId="DefaultParagraphFont">
    <w:name w:val="Default Paragraph Font"/>
    <w:uiPriority w:val="1"/>
    <w:unhideWhenUsed/>
    <w:rsid w:val="00CA05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540"/>
  </w:style>
  <w:style w:type="character" w:customStyle="1" w:styleId="Heading1Char">
    <w:name w:val="Heading 1 Char"/>
    <w:basedOn w:val="DefaultParagraphFont"/>
    <w:link w:val="Heading1"/>
    <w:rsid w:val="00CA0540"/>
    <w:rPr>
      <w:rFonts w:ascii="Times New Roman" w:eastAsia="Times New Roman" w:hAnsi="Times New Roman" w:cs="Times New Roman"/>
      <w:b/>
      <w:sz w:val="32"/>
      <w:szCs w:val="20"/>
      <w:lang w:eastAsia="en-US"/>
    </w:rPr>
  </w:style>
  <w:style w:type="paragraph" w:styleId="BodyText">
    <w:name w:val="Body Text"/>
    <w:basedOn w:val="Normal"/>
    <w:link w:val="BodyTextChar"/>
    <w:rsid w:val="00CA05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0540"/>
    <w:rPr>
      <w:rFonts w:ascii="Times New Roman" w:eastAsia="Times New Roman" w:hAnsi="Times New Roman" w:cs="Times New Roman"/>
      <w:sz w:val="24"/>
      <w:lang w:eastAsia="en-US"/>
    </w:rPr>
  </w:style>
  <w:style w:type="paragraph" w:styleId="Footer">
    <w:name w:val="footer"/>
    <w:basedOn w:val="Normal"/>
    <w:link w:val="FooterChar"/>
    <w:rsid w:val="00CA05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540"/>
    <w:rPr>
      <w:rFonts w:ascii="Times New Roman" w:eastAsia="Times New Roman" w:hAnsi="Times New Roman" w:cs="Times New Roman"/>
      <w:sz w:val="16"/>
      <w:lang w:eastAsia="en-US"/>
    </w:rPr>
  </w:style>
  <w:style w:type="paragraph" w:styleId="List">
    <w:name w:val="List"/>
    <w:basedOn w:val="BodyText"/>
    <w:next w:val="BodyText"/>
    <w:rsid w:val="00CA0540"/>
    <w:pPr>
      <w:tabs>
        <w:tab w:val="left" w:pos="340"/>
      </w:tabs>
      <w:spacing w:before="60" w:after="60"/>
      <w:ind w:left="340" w:hanging="340"/>
    </w:pPr>
  </w:style>
  <w:style w:type="character" w:customStyle="1" w:styleId="SpecialBold">
    <w:name w:val="Special Bold"/>
    <w:basedOn w:val="DefaultParagraphFont"/>
    <w:rsid w:val="00CA0540"/>
    <w:rPr>
      <w:b/>
      <w:spacing w:val="0"/>
    </w:rPr>
  </w:style>
  <w:style w:type="paragraph" w:styleId="ListBullet2">
    <w:name w:val="List Bullet 2"/>
    <w:basedOn w:val="List2"/>
    <w:rsid w:val="00CA0540"/>
    <w:pPr>
      <w:numPr>
        <w:numId w:val="14"/>
      </w:numPr>
      <w:tabs>
        <w:tab w:val="clear" w:pos="680"/>
      </w:tabs>
    </w:pPr>
  </w:style>
  <w:style w:type="character" w:styleId="Emphasis">
    <w:name w:val="Emphasis"/>
    <w:basedOn w:val="DefaultParagraphFont"/>
    <w:qFormat/>
    <w:rsid w:val="00CA0540"/>
    <w:rPr>
      <w:i/>
    </w:rPr>
  </w:style>
  <w:style w:type="paragraph" w:customStyle="1" w:styleId="SuperHeading">
    <w:name w:val="SuperHeading"/>
    <w:basedOn w:val="Normal"/>
    <w:rsid w:val="00CA0540"/>
    <w:pPr>
      <w:spacing w:before="240" w:after="120"/>
      <w:outlineLvl w:val="0"/>
    </w:pPr>
    <w:rPr>
      <w:rFonts w:ascii="Times New Roman" w:hAnsi="Times New Roman"/>
      <w:b/>
      <w:sz w:val="28"/>
    </w:rPr>
  </w:style>
  <w:style w:type="paragraph" w:customStyle="1" w:styleId="AllowPageBreak">
    <w:name w:val="AllowPageBreak"/>
    <w:rsid w:val="00CA05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0540"/>
    <w:pPr>
      <w:numPr>
        <w:numId w:val="2"/>
      </w:numPr>
      <w:tabs>
        <w:tab w:val="clear" w:pos="1021"/>
      </w:tabs>
      <w:ind w:left="1037" w:hanging="357"/>
    </w:pPr>
  </w:style>
  <w:style w:type="character" w:customStyle="1" w:styleId="BoldandItalics">
    <w:name w:val="Bold and Italics"/>
    <w:qFormat/>
    <w:rsid w:val="00CA0540"/>
    <w:rPr>
      <w:b/>
      <w:i/>
      <w:u w:val="none"/>
    </w:rPr>
  </w:style>
  <w:style w:type="character" w:customStyle="1" w:styleId="Heading2Char">
    <w:name w:val="Heading 2 Char"/>
    <w:basedOn w:val="DefaultParagraphFont"/>
    <w:link w:val="Heading2"/>
    <w:rsid w:val="00CA05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5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5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5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5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5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05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0540"/>
    <w:rPr>
      <w:rFonts w:ascii="Courier New" w:eastAsia="Times New Roman" w:hAnsi="Courier New" w:cs="Times New Roman"/>
      <w:i/>
      <w:szCs w:val="20"/>
      <w:lang w:eastAsia="en-US"/>
    </w:rPr>
  </w:style>
  <w:style w:type="paragraph" w:customStyle="1" w:styleId="HeadingBase">
    <w:name w:val="Heading Base"/>
    <w:rsid w:val="00CA05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540"/>
    <w:pPr>
      <w:tabs>
        <w:tab w:val="right" w:leader="dot" w:pos="9072"/>
      </w:tabs>
      <w:ind w:left="567"/>
    </w:pPr>
    <w:rPr>
      <w:szCs w:val="22"/>
    </w:rPr>
  </w:style>
  <w:style w:type="paragraph" w:customStyle="1" w:styleId="TOCBase">
    <w:name w:val="TOC Base"/>
    <w:rsid w:val="00CA05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540"/>
    <w:pPr>
      <w:tabs>
        <w:tab w:val="right" w:leader="dot" w:pos="9072"/>
      </w:tabs>
      <w:spacing w:before="40" w:after="40"/>
      <w:ind w:left="284"/>
    </w:pPr>
    <w:rPr>
      <w:rFonts w:ascii="Times New Roman" w:hAnsi="Times New Roman"/>
    </w:rPr>
  </w:style>
  <w:style w:type="paragraph" w:styleId="TOC1">
    <w:name w:val="toc 1"/>
    <w:basedOn w:val="TOCBase"/>
    <w:next w:val="Normal"/>
    <w:rsid w:val="00CA05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0540"/>
    <w:pPr>
      <w:spacing w:before="5040"/>
      <w:jc w:val="center"/>
    </w:pPr>
    <w:rPr>
      <w:sz w:val="48"/>
      <w:szCs w:val="72"/>
      <w:lang w:val="en-US"/>
    </w:rPr>
  </w:style>
  <w:style w:type="character" w:customStyle="1" w:styleId="TitleChar">
    <w:name w:val="Title Char"/>
    <w:basedOn w:val="DefaultParagraphFont"/>
    <w:link w:val="Title"/>
    <w:rsid w:val="00CA05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540"/>
    <w:pPr>
      <w:tabs>
        <w:tab w:val="left" w:pos="3600"/>
        <w:tab w:val="left" w:pos="3958"/>
      </w:tabs>
    </w:pPr>
  </w:style>
  <w:style w:type="paragraph" w:styleId="ListBullet">
    <w:name w:val="List Bullet"/>
    <w:basedOn w:val="List"/>
    <w:rsid w:val="00CA0540"/>
    <w:pPr>
      <w:numPr>
        <w:numId w:val="13"/>
      </w:numPr>
      <w:tabs>
        <w:tab w:val="clear" w:pos="340"/>
      </w:tabs>
      <w:spacing w:before="40" w:after="40"/>
    </w:pPr>
  </w:style>
  <w:style w:type="paragraph" w:customStyle="1" w:styleId="Note">
    <w:name w:val="Note"/>
    <w:basedOn w:val="BodyText"/>
    <w:rsid w:val="00CA05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540"/>
    <w:pPr>
      <w:framePr w:wrap="auto" w:hAnchor="text" w:y="6049"/>
    </w:pPr>
    <w:rPr>
      <w:color w:val="000000"/>
      <w:sz w:val="40"/>
    </w:rPr>
  </w:style>
  <w:style w:type="paragraph" w:customStyle="1" w:styleId="TOCTitle">
    <w:name w:val="TOCTitle"/>
    <w:basedOn w:val="Heading1"/>
    <w:rsid w:val="00CA0540"/>
    <w:pPr>
      <w:spacing w:after="240"/>
      <w:jc w:val="center"/>
      <w:outlineLvl w:val="9"/>
    </w:pPr>
    <w:rPr>
      <w:caps/>
    </w:rPr>
  </w:style>
  <w:style w:type="paragraph" w:customStyle="1" w:styleId="Version">
    <w:name w:val="Version"/>
    <w:rsid w:val="00CA05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0540"/>
    <w:pPr>
      <w:keepNext w:val="0"/>
      <w:tabs>
        <w:tab w:val="right" w:pos="4176"/>
      </w:tabs>
      <w:ind w:left="198" w:hanging="198"/>
    </w:pPr>
    <w:rPr>
      <w:rFonts w:ascii="Garamond" w:hAnsi="Garamond"/>
    </w:rPr>
  </w:style>
  <w:style w:type="paragraph" w:styleId="IndexHeading">
    <w:name w:val="index heading"/>
    <w:basedOn w:val="Normal"/>
    <w:next w:val="Index1"/>
    <w:semiHidden/>
    <w:rsid w:val="00CA0540"/>
    <w:pPr>
      <w:spacing w:before="120" w:after="120"/>
    </w:pPr>
    <w:rPr>
      <w:rFonts w:ascii="Arial" w:hAnsi="Arial"/>
      <w:b/>
      <w:color w:val="918585"/>
      <w:sz w:val="24"/>
    </w:rPr>
  </w:style>
  <w:style w:type="paragraph" w:styleId="Header">
    <w:name w:val="header"/>
    <w:basedOn w:val="Normal"/>
    <w:link w:val="HeaderChar"/>
    <w:rsid w:val="00CA05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540"/>
    <w:rPr>
      <w:rFonts w:ascii="Times New Roman" w:eastAsia="Times New Roman" w:hAnsi="Times New Roman" w:cs="Times New Roman"/>
      <w:sz w:val="16"/>
      <w:szCs w:val="20"/>
      <w:lang w:val="en-GB" w:eastAsia="en-US"/>
    </w:rPr>
  </w:style>
  <w:style w:type="paragraph" w:customStyle="1" w:styleId="Chapter">
    <w:name w:val="Chapter"/>
    <w:basedOn w:val="Normal"/>
    <w:rsid w:val="00CA0540"/>
    <w:pPr>
      <w:spacing w:before="240"/>
    </w:pPr>
    <w:rPr>
      <w:rFonts w:ascii="Times New Roman" w:hAnsi="Times New Roman"/>
      <w:smallCaps/>
      <w:spacing w:val="80"/>
      <w:sz w:val="28"/>
    </w:rPr>
  </w:style>
  <w:style w:type="paragraph" w:customStyle="1" w:styleId="InChapter">
    <w:name w:val="InChapter"/>
    <w:basedOn w:val="Heading3"/>
    <w:rsid w:val="00CA0540"/>
    <w:pPr>
      <w:spacing w:after="240"/>
      <w:outlineLvl w:val="9"/>
    </w:pPr>
    <w:rPr>
      <w:noProof/>
    </w:rPr>
  </w:style>
  <w:style w:type="paragraph" w:styleId="Index2">
    <w:name w:val="index 2"/>
    <w:basedOn w:val="Normal"/>
    <w:next w:val="Normal"/>
    <w:semiHidden/>
    <w:rsid w:val="00CA0540"/>
    <w:pPr>
      <w:tabs>
        <w:tab w:val="right" w:pos="4176"/>
      </w:tabs>
      <w:ind w:left="568" w:hanging="284"/>
    </w:pPr>
    <w:rPr>
      <w:rFonts w:ascii="Garamond" w:hAnsi="Garamond"/>
    </w:rPr>
  </w:style>
  <w:style w:type="paragraph" w:customStyle="1" w:styleId="Byline">
    <w:name w:val="Byline"/>
    <w:rsid w:val="00CA05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540"/>
    <w:pPr>
      <w:tabs>
        <w:tab w:val="clear" w:pos="3600"/>
        <w:tab w:val="clear" w:pos="3958"/>
      </w:tabs>
      <w:jc w:val="right"/>
    </w:pPr>
  </w:style>
  <w:style w:type="paragraph" w:styleId="Caption">
    <w:name w:val="caption"/>
    <w:basedOn w:val="BodyText"/>
    <w:next w:val="Normal"/>
    <w:qFormat/>
    <w:rsid w:val="00CA0540"/>
    <w:pPr>
      <w:framePr w:w="2268" w:hSpace="181" w:vSpace="181" w:wrap="around" w:vAnchor="text" w:hAnchor="page" w:x="1135" w:y="285" w:anchorLock="1"/>
    </w:pPr>
    <w:rPr>
      <w:i/>
    </w:rPr>
  </w:style>
  <w:style w:type="paragraph" w:customStyle="1" w:styleId="MiniTOCTitle">
    <w:name w:val="MiniTOCTitle"/>
    <w:basedOn w:val="Heading4"/>
    <w:rsid w:val="00CA0540"/>
    <w:pPr>
      <w:spacing w:before="240"/>
      <w:outlineLvl w:val="9"/>
    </w:pPr>
    <w:rPr>
      <w:noProof/>
      <w:sz w:val="24"/>
    </w:rPr>
  </w:style>
  <w:style w:type="paragraph" w:customStyle="1" w:styleId="MiniTOCItem">
    <w:name w:val="MiniTOCItem"/>
    <w:basedOn w:val="ListBullet"/>
    <w:rsid w:val="00CA0540"/>
    <w:pPr>
      <w:numPr>
        <w:numId w:val="0"/>
      </w:numPr>
      <w:tabs>
        <w:tab w:val="right" w:leader="dot" w:pos="6521"/>
      </w:tabs>
      <w:spacing w:before="0" w:after="0"/>
    </w:pPr>
  </w:style>
  <w:style w:type="paragraph" w:customStyle="1" w:styleId="TOFTitle">
    <w:name w:val="TOFTitle"/>
    <w:basedOn w:val="TOCTitle"/>
    <w:rsid w:val="00CA0540"/>
  </w:style>
  <w:style w:type="paragraph" w:styleId="TableofFigures">
    <w:name w:val="table of figures"/>
    <w:basedOn w:val="Normal"/>
    <w:next w:val="Normal"/>
    <w:semiHidden/>
    <w:rsid w:val="00CA0540"/>
    <w:pPr>
      <w:tabs>
        <w:tab w:val="right" w:leader="dot" w:pos="9072"/>
      </w:tabs>
      <w:ind w:left="970" w:hanging="403"/>
    </w:pPr>
    <w:rPr>
      <w:rFonts w:ascii="Times New Roman" w:hAnsi="Times New Roman"/>
      <w:b/>
    </w:rPr>
  </w:style>
  <w:style w:type="paragraph" w:styleId="ListNumber">
    <w:name w:val="List Number"/>
    <w:basedOn w:val="List"/>
    <w:rsid w:val="00CA0540"/>
    <w:pPr>
      <w:numPr>
        <w:numId w:val="11"/>
      </w:numPr>
    </w:pPr>
  </w:style>
  <w:style w:type="character" w:customStyle="1" w:styleId="WingdingSymbols">
    <w:name w:val="Wingding Symbols"/>
    <w:rsid w:val="00CA0540"/>
    <w:rPr>
      <w:rFonts w:ascii="Wingdings" w:hAnsi="Wingdings"/>
    </w:rPr>
  </w:style>
  <w:style w:type="paragraph" w:customStyle="1" w:styleId="TableHeading">
    <w:name w:val="Table Heading"/>
    <w:basedOn w:val="HeadingBase"/>
    <w:rsid w:val="00CA0540"/>
    <w:pPr>
      <w:keepLines/>
      <w:pBdr>
        <w:bottom w:val="single" w:sz="6" w:space="1" w:color="918585"/>
      </w:pBdr>
      <w:spacing w:before="240"/>
    </w:pPr>
  </w:style>
  <w:style w:type="character" w:customStyle="1" w:styleId="HotSpot">
    <w:name w:val="HotSpot"/>
    <w:rsid w:val="00CA0540"/>
    <w:rPr>
      <w:color w:val="0033CC"/>
      <w:u w:val="none"/>
    </w:rPr>
  </w:style>
  <w:style w:type="paragraph" w:customStyle="1" w:styleId="BodyTextRight">
    <w:name w:val="Body Text Right"/>
    <w:basedOn w:val="BodyText"/>
    <w:rsid w:val="00CA0540"/>
    <w:pPr>
      <w:spacing w:before="0" w:after="0"/>
      <w:jc w:val="right"/>
    </w:pPr>
  </w:style>
  <w:style w:type="paragraph" w:styleId="Index3">
    <w:name w:val="index 3"/>
    <w:basedOn w:val="ListNumber2"/>
    <w:next w:val="Normal"/>
    <w:semiHidden/>
    <w:rsid w:val="00CA0540"/>
    <w:pPr>
      <w:numPr>
        <w:numId w:val="0"/>
      </w:numPr>
      <w:tabs>
        <w:tab w:val="right" w:leader="dot" w:pos="4176"/>
      </w:tabs>
    </w:pPr>
  </w:style>
  <w:style w:type="paragraph" w:styleId="ListNumber2">
    <w:name w:val="List Number 2"/>
    <w:basedOn w:val="List2"/>
    <w:rsid w:val="00CA0540"/>
    <w:pPr>
      <w:numPr>
        <w:numId w:val="10"/>
      </w:numPr>
      <w:tabs>
        <w:tab w:val="clear" w:pos="1060"/>
      </w:tabs>
    </w:pPr>
  </w:style>
  <w:style w:type="paragraph" w:customStyle="1" w:styleId="MarginNote">
    <w:name w:val="Margin Note"/>
    <w:basedOn w:val="BodyText"/>
    <w:rsid w:val="00CA05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5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5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0540"/>
    <w:rPr>
      <w:sz w:val="32"/>
    </w:rPr>
  </w:style>
  <w:style w:type="paragraph" w:customStyle="1" w:styleId="HeadingProcedure">
    <w:name w:val="Heading Procedure"/>
    <w:basedOn w:val="HeadingBase"/>
    <w:next w:val="Normal"/>
    <w:rsid w:val="00CA0540"/>
    <w:pPr>
      <w:tabs>
        <w:tab w:val="left" w:pos="0"/>
      </w:tabs>
      <w:spacing w:before="120" w:after="60"/>
    </w:pPr>
    <w:rPr>
      <w:i/>
      <w:color w:val="918585"/>
      <w:sz w:val="22"/>
    </w:rPr>
  </w:style>
  <w:style w:type="paragraph" w:customStyle="1" w:styleId="TableBodyText">
    <w:name w:val="Table Body Text"/>
    <w:basedOn w:val="BodyText"/>
    <w:rsid w:val="00CA0540"/>
    <w:pPr>
      <w:spacing w:before="60" w:after="60"/>
    </w:pPr>
  </w:style>
  <w:style w:type="paragraph" w:styleId="ListContinue">
    <w:name w:val="List Continue"/>
    <w:basedOn w:val="List"/>
    <w:rsid w:val="00CA0540"/>
    <w:pPr>
      <w:ind w:firstLine="0"/>
    </w:pPr>
  </w:style>
  <w:style w:type="paragraph" w:customStyle="1" w:styleId="ListNote">
    <w:name w:val="List Note"/>
    <w:basedOn w:val="List"/>
    <w:rsid w:val="00CA0540"/>
    <w:pPr>
      <w:pBdr>
        <w:top w:val="single" w:sz="6" w:space="2" w:color="918585"/>
        <w:bottom w:val="single" w:sz="6" w:space="2" w:color="918585"/>
      </w:pBdr>
      <w:tabs>
        <w:tab w:val="left" w:pos="1021"/>
      </w:tabs>
      <w:ind w:firstLine="0"/>
    </w:pPr>
  </w:style>
  <w:style w:type="paragraph" w:customStyle="1" w:styleId="Warning">
    <w:name w:val="Warning"/>
    <w:basedOn w:val="BodyText"/>
    <w:rsid w:val="00CA0540"/>
    <w:pPr>
      <w:shd w:val="clear" w:color="auto" w:fill="D9D9D9"/>
      <w:tabs>
        <w:tab w:val="left" w:pos="992"/>
      </w:tabs>
      <w:ind w:left="119" w:right="119"/>
    </w:pPr>
    <w:rPr>
      <w:sz w:val="20"/>
    </w:rPr>
  </w:style>
  <w:style w:type="paragraph" w:customStyle="1" w:styleId="MarginIcons">
    <w:name w:val="Margin Icons"/>
    <w:basedOn w:val="BodyText"/>
    <w:rsid w:val="00CA05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540"/>
    <w:rPr>
      <w:rFonts w:ascii="Courier New" w:hAnsi="Courier New"/>
    </w:rPr>
  </w:style>
  <w:style w:type="paragraph" w:customStyle="1" w:styleId="NoteBullet">
    <w:name w:val="Note Bullet"/>
    <w:basedOn w:val="Note"/>
    <w:rsid w:val="00CA0540"/>
    <w:pPr>
      <w:tabs>
        <w:tab w:val="clear" w:pos="680"/>
      </w:tabs>
      <w:spacing w:before="60" w:after="60"/>
    </w:pPr>
  </w:style>
  <w:style w:type="paragraph" w:customStyle="1" w:styleId="SubHeading2">
    <w:name w:val="SubHeading2"/>
    <w:basedOn w:val="HeadingBase"/>
    <w:rsid w:val="00CA0540"/>
    <w:pPr>
      <w:spacing w:before="240" w:after="60"/>
    </w:pPr>
    <w:rPr>
      <w:sz w:val="20"/>
    </w:rPr>
  </w:style>
  <w:style w:type="paragraph" w:customStyle="1" w:styleId="SubHeading1">
    <w:name w:val="SubHeading1"/>
    <w:basedOn w:val="HeadingBase"/>
    <w:rsid w:val="00CA0540"/>
    <w:pPr>
      <w:spacing w:before="240" w:after="60"/>
    </w:pPr>
    <w:rPr>
      <w:color w:val="918585"/>
      <w:sz w:val="22"/>
    </w:rPr>
  </w:style>
  <w:style w:type="paragraph" w:customStyle="1" w:styleId="SideHeading">
    <w:name w:val="Side Heading"/>
    <w:basedOn w:val="HeadingBase"/>
    <w:rsid w:val="00CA05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540"/>
    <w:pPr>
      <w:numPr>
        <w:numId w:val="12"/>
      </w:numPr>
    </w:pPr>
  </w:style>
  <w:style w:type="paragraph" w:styleId="PlainText">
    <w:name w:val="Plain Text"/>
    <w:basedOn w:val="Normal"/>
    <w:link w:val="PlainTextChar"/>
    <w:rsid w:val="00CA0540"/>
    <w:rPr>
      <w:sz w:val="20"/>
    </w:rPr>
  </w:style>
  <w:style w:type="character" w:customStyle="1" w:styleId="PlainTextChar">
    <w:name w:val="Plain Text Char"/>
    <w:basedOn w:val="DefaultParagraphFont"/>
    <w:link w:val="PlainText"/>
    <w:rsid w:val="00CA0540"/>
    <w:rPr>
      <w:rFonts w:ascii="Courier New" w:eastAsia="Times New Roman" w:hAnsi="Courier New" w:cs="Times New Roman"/>
      <w:sz w:val="20"/>
      <w:szCs w:val="20"/>
      <w:lang w:eastAsia="en-US"/>
    </w:rPr>
  </w:style>
  <w:style w:type="character" w:customStyle="1" w:styleId="MenuOption">
    <w:name w:val="Menu Option"/>
    <w:basedOn w:val="DefaultParagraphFont"/>
    <w:rsid w:val="00CA0540"/>
    <w:rPr>
      <w:b/>
      <w:smallCaps/>
    </w:rPr>
  </w:style>
  <w:style w:type="paragraph" w:customStyle="1" w:styleId="TableListNumber">
    <w:name w:val="Table List Number"/>
    <w:basedOn w:val="ListNumber"/>
    <w:rsid w:val="00CA0540"/>
    <w:pPr>
      <w:numPr>
        <w:numId w:val="0"/>
      </w:numPr>
    </w:pPr>
  </w:style>
  <w:style w:type="paragraph" w:styleId="TOC4">
    <w:name w:val="toc 4"/>
    <w:basedOn w:val="TOCBase"/>
    <w:next w:val="Normal"/>
    <w:semiHidden/>
    <w:rsid w:val="00CA0540"/>
    <w:pPr>
      <w:tabs>
        <w:tab w:val="right" w:leader="dot" w:pos="9071"/>
      </w:tabs>
      <w:ind w:left="1701"/>
    </w:pPr>
  </w:style>
  <w:style w:type="paragraph" w:customStyle="1" w:styleId="ListAlpha">
    <w:name w:val="List Alpha"/>
    <w:basedOn w:val="List"/>
    <w:rsid w:val="00CA0540"/>
    <w:pPr>
      <w:numPr>
        <w:numId w:val="9"/>
      </w:numPr>
    </w:pPr>
  </w:style>
  <w:style w:type="paragraph" w:customStyle="1" w:styleId="ListAlpha2">
    <w:name w:val="List Alpha 2"/>
    <w:basedOn w:val="List2"/>
    <w:rsid w:val="00CA0540"/>
    <w:pPr>
      <w:numPr>
        <w:numId w:val="8"/>
      </w:numPr>
    </w:pPr>
  </w:style>
  <w:style w:type="paragraph" w:styleId="List2">
    <w:name w:val="List 2"/>
    <w:basedOn w:val="BodyText"/>
    <w:rsid w:val="00CA0540"/>
    <w:pPr>
      <w:tabs>
        <w:tab w:val="left" w:pos="680"/>
      </w:tabs>
      <w:spacing w:before="60" w:after="60"/>
      <w:ind w:left="680" w:hanging="340"/>
    </w:pPr>
  </w:style>
  <w:style w:type="paragraph" w:styleId="List3">
    <w:name w:val="List 3"/>
    <w:basedOn w:val="BodyText"/>
    <w:rsid w:val="00CA0540"/>
    <w:pPr>
      <w:tabs>
        <w:tab w:val="left" w:pos="1021"/>
      </w:tabs>
      <w:spacing w:before="60" w:after="60"/>
      <w:ind w:left="1020" w:hanging="340"/>
    </w:pPr>
  </w:style>
  <w:style w:type="paragraph" w:styleId="List4">
    <w:name w:val="List 4"/>
    <w:basedOn w:val="BodyText"/>
    <w:rsid w:val="00CA0540"/>
    <w:pPr>
      <w:tabs>
        <w:tab w:val="left" w:pos="1361"/>
      </w:tabs>
      <w:spacing w:before="60" w:after="60"/>
      <w:ind w:left="1361" w:hanging="340"/>
    </w:pPr>
  </w:style>
  <w:style w:type="paragraph" w:styleId="List5">
    <w:name w:val="List 5"/>
    <w:basedOn w:val="BodyText"/>
    <w:rsid w:val="00CA0540"/>
    <w:pPr>
      <w:tabs>
        <w:tab w:val="left" w:pos="1701"/>
      </w:tabs>
      <w:spacing w:before="60" w:after="60"/>
      <w:ind w:left="1701" w:hanging="340"/>
    </w:pPr>
  </w:style>
  <w:style w:type="paragraph" w:styleId="ListBullet4">
    <w:name w:val="List Bullet 4"/>
    <w:basedOn w:val="List4"/>
    <w:rsid w:val="00CA0540"/>
    <w:pPr>
      <w:numPr>
        <w:numId w:val="3"/>
      </w:numPr>
    </w:pPr>
  </w:style>
  <w:style w:type="paragraph" w:styleId="ListBullet5">
    <w:name w:val="List Bullet 5"/>
    <w:basedOn w:val="List5"/>
    <w:rsid w:val="00CA0540"/>
    <w:pPr>
      <w:numPr>
        <w:numId w:val="4"/>
      </w:numPr>
    </w:pPr>
  </w:style>
  <w:style w:type="paragraph" w:styleId="ListContinue2">
    <w:name w:val="List Continue 2"/>
    <w:basedOn w:val="List2"/>
    <w:rsid w:val="00CA0540"/>
    <w:pPr>
      <w:ind w:firstLine="0"/>
    </w:pPr>
  </w:style>
  <w:style w:type="paragraph" w:styleId="ListContinue3">
    <w:name w:val="List Continue 3"/>
    <w:basedOn w:val="List3"/>
    <w:rsid w:val="00CA0540"/>
    <w:pPr>
      <w:ind w:left="1021" w:firstLine="0"/>
    </w:pPr>
  </w:style>
  <w:style w:type="paragraph" w:styleId="ListContinue4">
    <w:name w:val="List Continue 4"/>
    <w:basedOn w:val="List4"/>
    <w:rsid w:val="00CA0540"/>
    <w:pPr>
      <w:ind w:firstLine="0"/>
    </w:pPr>
  </w:style>
  <w:style w:type="paragraph" w:styleId="ListContinue5">
    <w:name w:val="List Continue 5"/>
    <w:basedOn w:val="List5"/>
    <w:rsid w:val="00CA0540"/>
    <w:pPr>
      <w:ind w:firstLine="0"/>
    </w:pPr>
  </w:style>
  <w:style w:type="paragraph" w:styleId="ListNumber3">
    <w:name w:val="List Number 3"/>
    <w:basedOn w:val="List3"/>
    <w:rsid w:val="00CA0540"/>
    <w:pPr>
      <w:numPr>
        <w:numId w:val="5"/>
      </w:numPr>
    </w:pPr>
  </w:style>
  <w:style w:type="paragraph" w:styleId="ListNumber4">
    <w:name w:val="List Number 4"/>
    <w:basedOn w:val="List4"/>
    <w:rsid w:val="00CA0540"/>
    <w:pPr>
      <w:numPr>
        <w:numId w:val="6"/>
      </w:numPr>
    </w:pPr>
  </w:style>
  <w:style w:type="paragraph" w:styleId="ListNumber5">
    <w:name w:val="List Number 5"/>
    <w:basedOn w:val="List5"/>
    <w:rsid w:val="00CA0540"/>
    <w:pPr>
      <w:numPr>
        <w:numId w:val="7"/>
      </w:numPr>
    </w:pPr>
  </w:style>
  <w:style w:type="paragraph" w:styleId="BlockText">
    <w:name w:val="Block Text"/>
    <w:basedOn w:val="Normal"/>
    <w:rsid w:val="00CA0540"/>
    <w:pPr>
      <w:spacing w:after="120"/>
      <w:ind w:left="1440" w:right="1440"/>
    </w:pPr>
  </w:style>
  <w:style w:type="character" w:customStyle="1" w:styleId="Subscript">
    <w:name w:val="Subscript"/>
    <w:basedOn w:val="DefaultParagraphFont"/>
    <w:rsid w:val="00CA0540"/>
    <w:rPr>
      <w:sz w:val="16"/>
      <w:vertAlign w:val="subscript"/>
    </w:rPr>
  </w:style>
  <w:style w:type="character" w:customStyle="1" w:styleId="Superscript">
    <w:name w:val="Superscript"/>
    <w:basedOn w:val="DefaultParagraphFont"/>
    <w:rsid w:val="00CA0540"/>
    <w:rPr>
      <w:sz w:val="16"/>
      <w:vertAlign w:val="superscript"/>
    </w:rPr>
  </w:style>
  <w:style w:type="character" w:customStyle="1" w:styleId="Symbols">
    <w:name w:val="Symbols"/>
    <w:basedOn w:val="DefaultParagraphFont"/>
    <w:rsid w:val="00CA0540"/>
    <w:rPr>
      <w:rFonts w:ascii="Symbol" w:hAnsi="Symbol"/>
    </w:rPr>
  </w:style>
  <w:style w:type="character" w:customStyle="1" w:styleId="MenuOptions">
    <w:name w:val="Menu Options"/>
    <w:basedOn w:val="DefaultParagraphFont"/>
    <w:rsid w:val="00CA0540"/>
    <w:rPr>
      <w:rFonts w:ascii="Arial Narrow" w:hAnsi="Arial Narrow"/>
      <w:smallCaps/>
    </w:rPr>
  </w:style>
  <w:style w:type="character" w:customStyle="1" w:styleId="Buttons">
    <w:name w:val="Buttons"/>
    <w:basedOn w:val="DefaultParagraphFont"/>
    <w:rsid w:val="00CA0540"/>
    <w:rPr>
      <w:b/>
    </w:rPr>
  </w:style>
  <w:style w:type="character" w:customStyle="1" w:styleId="Underlined">
    <w:name w:val="Underlined"/>
    <w:basedOn w:val="DefaultParagraphFont"/>
    <w:rsid w:val="00CA0540"/>
    <w:rPr>
      <w:u w:val="single"/>
    </w:rPr>
  </w:style>
  <w:style w:type="paragraph" w:customStyle="1" w:styleId="TableBodyTextRight">
    <w:name w:val="Table Body Text Right"/>
    <w:basedOn w:val="TableBodyText"/>
    <w:rsid w:val="00CA0540"/>
    <w:pPr>
      <w:widowControl w:val="0"/>
      <w:autoSpaceDE w:val="0"/>
      <w:autoSpaceDN w:val="0"/>
      <w:adjustRightInd w:val="0"/>
      <w:jc w:val="right"/>
    </w:pPr>
    <w:rPr>
      <w:rFonts w:cs="Arial"/>
      <w:szCs w:val="18"/>
    </w:rPr>
  </w:style>
  <w:style w:type="paragraph" w:customStyle="1" w:styleId="CopyrightText">
    <w:name w:val="Copyright Text"/>
    <w:basedOn w:val="BodyText"/>
    <w:rsid w:val="00CA0540"/>
    <w:rPr>
      <w:sz w:val="18"/>
    </w:rPr>
  </w:style>
  <w:style w:type="paragraph" w:customStyle="1" w:styleId="BodySmallRight">
    <w:name w:val="Body Small Right"/>
    <w:basedOn w:val="BodyTextRight"/>
    <w:rsid w:val="00CA0540"/>
    <w:rPr>
      <w:sz w:val="18"/>
      <w:szCs w:val="18"/>
    </w:rPr>
  </w:style>
  <w:style w:type="paragraph" w:customStyle="1" w:styleId="MarginEdition">
    <w:name w:val="Margin Edition"/>
    <w:basedOn w:val="MarginNote"/>
    <w:rsid w:val="00CA0540"/>
    <w:pPr>
      <w:spacing w:before="0" w:after="0"/>
    </w:pPr>
    <w:rPr>
      <w:rFonts w:ascii="Times New Roman" w:hAnsi="Times New Roman"/>
      <w:color w:val="999999"/>
    </w:rPr>
  </w:style>
  <w:style w:type="paragraph" w:customStyle="1" w:styleId="Spacer">
    <w:name w:val="Spacer"/>
    <w:basedOn w:val="Normal"/>
    <w:rsid w:val="00CA0540"/>
    <w:rPr>
      <w:sz w:val="2"/>
      <w:szCs w:val="2"/>
    </w:rPr>
  </w:style>
  <w:style w:type="character" w:customStyle="1" w:styleId="Small">
    <w:name w:val="Small"/>
    <w:basedOn w:val="DefaultParagraphFont"/>
    <w:rsid w:val="00CA0540"/>
    <w:rPr>
      <w:sz w:val="16"/>
    </w:rPr>
  </w:style>
  <w:style w:type="paragraph" w:customStyle="1" w:styleId="WideTable">
    <w:name w:val="Wide Table"/>
    <w:basedOn w:val="Normal"/>
    <w:rsid w:val="00CA0540"/>
    <w:pPr>
      <w:ind w:left="-1418"/>
    </w:pPr>
    <w:rPr>
      <w:sz w:val="2"/>
      <w:szCs w:val="2"/>
    </w:rPr>
  </w:style>
  <w:style w:type="character" w:styleId="PageNumber">
    <w:name w:val="page number"/>
    <w:basedOn w:val="DefaultParagraphFont"/>
    <w:rsid w:val="00CA0540"/>
  </w:style>
  <w:style w:type="paragraph" w:styleId="Quote">
    <w:name w:val="Quote"/>
    <w:basedOn w:val="Heading1"/>
    <w:link w:val="QuoteChar"/>
    <w:qFormat/>
    <w:rsid w:val="00CA0540"/>
    <w:rPr>
      <w:b w:val="0"/>
      <w:sz w:val="72"/>
      <w:szCs w:val="72"/>
      <w:lang w:val="en-NZ"/>
    </w:rPr>
  </w:style>
  <w:style w:type="character" w:customStyle="1" w:styleId="QuoteChar">
    <w:name w:val="Quote Char"/>
    <w:basedOn w:val="DefaultParagraphFont"/>
    <w:link w:val="Quote"/>
    <w:rsid w:val="00CA05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540"/>
    <w:pPr>
      <w:pageBreakBefore/>
    </w:pPr>
  </w:style>
  <w:style w:type="paragraph" w:customStyle="1" w:styleId="Border">
    <w:name w:val="Border"/>
    <w:basedOn w:val="Normal"/>
    <w:qFormat/>
    <w:rsid w:val="00CA05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540"/>
    <w:rPr>
      <w:b/>
      <w:bCs/>
      <w:i/>
      <w:iCs/>
      <w:color w:val="auto"/>
    </w:rPr>
  </w:style>
  <w:style w:type="paragraph" w:styleId="IntenseQuote">
    <w:name w:val="Intense Quote"/>
    <w:basedOn w:val="Normal"/>
    <w:next w:val="Normal"/>
    <w:link w:val="IntenseQuoteChar"/>
    <w:uiPriority w:val="30"/>
    <w:qFormat/>
    <w:rsid w:val="00CA05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5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0540"/>
    <w:rPr>
      <w:smallCaps/>
      <w:color w:val="auto"/>
      <w:u w:val="single"/>
    </w:rPr>
  </w:style>
  <w:style w:type="character" w:styleId="IntenseReference">
    <w:name w:val="Intense Reference"/>
    <w:basedOn w:val="DefaultParagraphFont"/>
    <w:uiPriority w:val="32"/>
    <w:qFormat/>
    <w:rsid w:val="00CA0540"/>
    <w:rPr>
      <w:b/>
      <w:bCs/>
      <w:smallCaps/>
      <w:color w:val="auto"/>
      <w:spacing w:val="5"/>
      <w:u w:val="single"/>
    </w:rPr>
  </w:style>
  <w:style w:type="paragraph" w:customStyle="1" w:styleId="2ColumnHeading">
    <w:name w:val="2Column Heading"/>
    <w:basedOn w:val="BodyText"/>
    <w:qFormat/>
    <w:rsid w:val="00CA0540"/>
    <w:pPr>
      <w:spacing w:after="60"/>
      <w:ind w:left="-2268"/>
    </w:pPr>
    <w:rPr>
      <w:b/>
    </w:rPr>
  </w:style>
  <w:style w:type="paragraph" w:customStyle="1" w:styleId="Heading1TOC">
    <w:name w:val="Heading1 TOC"/>
    <w:basedOn w:val="Normal"/>
    <w:qFormat/>
    <w:rsid w:val="00CA0540"/>
    <w:pPr>
      <w:spacing w:before="240" w:after="120"/>
    </w:pPr>
    <w:rPr>
      <w:rFonts w:ascii="Times New Roman" w:hAnsi="Times New Roman"/>
      <w:b/>
      <w:sz w:val="32"/>
    </w:rPr>
  </w:style>
  <w:style w:type="paragraph" w:customStyle="1" w:styleId="Heading2TOC">
    <w:name w:val="Heading2 TOC"/>
    <w:basedOn w:val="Normal"/>
    <w:qFormat/>
    <w:rsid w:val="00CA0540"/>
    <w:pPr>
      <w:spacing w:before="240" w:after="60"/>
    </w:pPr>
    <w:rPr>
      <w:rFonts w:ascii="Times New Roman" w:hAnsi="Times New Roman"/>
      <w:b/>
      <w:sz w:val="28"/>
    </w:rPr>
  </w:style>
  <w:style w:type="character" w:customStyle="1" w:styleId="Underline">
    <w:name w:val="Underline"/>
    <w:basedOn w:val="DefaultParagraphFont"/>
    <w:qFormat/>
    <w:rsid w:val="00CA0540"/>
    <w:rPr>
      <w:u w:val="single"/>
    </w:rPr>
  </w:style>
  <w:style w:type="paragraph" w:styleId="BalloonText">
    <w:name w:val="Balloon Text"/>
    <w:basedOn w:val="Normal"/>
    <w:link w:val="BalloonTextChar"/>
    <w:rsid w:val="00CA0540"/>
    <w:rPr>
      <w:rFonts w:ascii="Tahoma" w:hAnsi="Tahoma" w:cs="Tahoma"/>
      <w:sz w:val="16"/>
      <w:szCs w:val="16"/>
    </w:rPr>
  </w:style>
  <w:style w:type="character" w:customStyle="1" w:styleId="BalloonTextChar">
    <w:name w:val="Balloon Text Char"/>
    <w:basedOn w:val="DefaultParagraphFont"/>
    <w:link w:val="BalloonText"/>
    <w:rsid w:val="00CA05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05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05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0540"/>
    <w:rPr>
      <w:b/>
      <w:color w:val="660033"/>
      <w:spacing w:val="0"/>
    </w:rPr>
  </w:style>
  <w:style w:type="paragraph" w:customStyle="1" w:styleId="Nameditemlist">
    <w:name w:val="Named item list"/>
    <w:basedOn w:val="BodyText"/>
    <w:qFormat/>
    <w:rsid w:val="00CA05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1530</Words>
  <Characters>9808</Characters>
  <Application>Microsoft Office Word</Application>
  <DocSecurity>0</DocSecurity>
  <Lines>340</Lines>
  <Paragraphs>226</Paragraphs>
  <ScaleCrop>false</ScaleCrop>
  <Company>Author-it Software Corporation Ltd.</Company>
  <LinksUpToDate>false</LinksUpToDate>
  <CharactersWithSpaces>11273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PSPSEC502A Develop security risk management plans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2012-11-01T03:23:00Z</dcterms:created>
  <dcterms:modified xsi:type="dcterms:W3CDTF">2012-11-01T03:23:00Z</dcterms:modified>
</cp:coreProperties>
</file>