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5C1" w:rsidP="003D55C1">
      <w:pPr>
        <w:pStyle w:val="Title"/>
      </w:pPr>
      <w:r>
        <w:fldChar w:fldCharType="begin"/>
      </w:r>
      <w:r>
        <w:instrText xml:space="preserve"> TITLE   \* MERGEFORMAT </w:instrText>
      </w:r>
      <w:r>
        <w:fldChar w:fldCharType="separate"/>
      </w:r>
      <w:r>
        <w:t>PSPSEC501A Assess security risks</w:t>
      </w:r>
      <w:r>
        <w:fldChar w:fldCharType="end"/>
      </w:r>
    </w:p>
    <w:p w:rsidR="003D55C1" w:rsidP="003D55C1">
      <w:pPr>
        <w:pStyle w:val="Version"/>
        <w:sectPr w:rsidSect="003E1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E1AA9" w:rsidP="003E1AA9">
      <w:pPr>
        <w:pStyle w:val="SuperHeading"/>
      </w:pPr>
      <w:r w:rsidRPr="003E1AA9">
        <w:t>PSPSEC501A Assess security risks</w:t>
      </w:r>
    </w:p>
    <w:p w:rsidR="00000000" w:rsidRPr="003E1AA9" w:rsidP="003E1AA9">
      <w:pPr>
        <w:pStyle w:val="SuperHeading"/>
      </w:pPr>
    </w:p>
    <w:p w:rsidR="00000000" w:rsidRPr="003E1AA9" w:rsidP="003E1AA9">
      <w:pPr>
        <w:pStyle w:val="Heading1"/>
      </w:pPr>
      <w:bookmarkStart w:id="1" w:name="O_499809"/>
      <w:bookmarkEnd w:id="1"/>
      <w:r w:rsidRPr="003E1AA9">
        <w:t>Modification History</w:t>
      </w:r>
    </w:p>
    <w:tbl>
      <w:tblPr>
        <w:tblW w:w="0" w:type="auto"/>
        <w:tblLayout w:type="fixed"/>
        <w:tblCellMar>
          <w:left w:w="62" w:type="dxa"/>
          <w:right w:w="62" w:type="dxa"/>
        </w:tblCellMar>
        <w:tblLook w:val="0000"/>
      </w:tblPr>
      <w:tblGrid>
        <w:gridCol w:w="3052"/>
        <w:gridCol w:w="3052"/>
        <w:gridCol w:w="3052"/>
      </w:tblGrid>
      <w:tr w:rsidTr="003D55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AA9" w:rsidP="003E1AA9">
            <w:pPr>
              <w:pStyle w:val="BodyText"/>
            </w:pPr>
            <w:r w:rsidRPr="003E1AA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AA9" w:rsidP="003E1AA9">
            <w:pPr>
              <w:pStyle w:val="BodyText"/>
            </w:pPr>
            <w:r w:rsidRPr="003E1AA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rPr>
                <w:rStyle w:val="SpecialBold"/>
              </w:rPr>
              <w:t>Comments</w:t>
            </w:r>
          </w:p>
        </w:tc>
      </w:tr>
      <w:tr w:rsidTr="003D55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 xml:space="preserve">Unit descriptor edited. </w:t>
            </w:r>
          </w:p>
        </w:tc>
      </w:tr>
      <w:tr w:rsidTr="003D55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Layout adjusted. No changes to content.</w:t>
            </w:r>
          </w:p>
        </w:tc>
      </w:tr>
      <w:tr w:rsidTr="003D55C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AA9">
            <w:pPr>
              <w:pStyle w:val="BodyText"/>
              <w:rPr>
                <w:lang w:val="en-NZ"/>
              </w:rPr>
            </w:pPr>
            <w:r w:rsidRPr="003E1AA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AA9" w:rsidP="003E1AA9">
            <w:pPr>
              <w:pStyle w:val="BodyText"/>
            </w:pPr>
            <w:r w:rsidRPr="003E1AA9">
              <w:t>Primary release.</w:t>
            </w:r>
          </w:p>
        </w:tc>
      </w:tr>
    </w:tbl>
    <w:p w:rsidR="003D55C1" w:rsidP="003E1AA9">
      <w:pPr>
        <w:pStyle w:val="BodyText"/>
      </w:pPr>
    </w:p>
    <w:p w:rsidR="003D55C1" w:rsidP="003E1AA9">
      <w:pPr>
        <w:pStyle w:val="BodyText"/>
      </w:pPr>
    </w:p>
    <w:p w:rsidR="00000000" w:rsidRPr="003E1AA9" w:rsidP="003E1AA9">
      <w:pPr>
        <w:pStyle w:val="BodyText"/>
      </w:pPr>
      <w:r w:rsidRPr="003E1AA9">
        <w:t>.</w:t>
      </w:r>
    </w:p>
    <w:p w:rsidR="00000000" w:rsidRPr="003E1AA9" w:rsidP="003E1AA9">
      <w:pPr>
        <w:pStyle w:val="AllowPageBreak"/>
      </w:pPr>
    </w:p>
    <w:p w:rsidR="00000000" w:rsidRPr="003E1AA9" w:rsidP="003E1AA9">
      <w:pPr>
        <w:pStyle w:val="Heading1"/>
      </w:pPr>
      <w:bookmarkStart w:id="2" w:name="O_499810"/>
      <w:bookmarkEnd w:id="2"/>
      <w:r w:rsidRPr="003E1AA9">
        <w:t>Unit Descriptor</w:t>
      </w:r>
    </w:p>
    <w:p w:rsidR="00000000" w:rsidRPr="003E1AA9" w:rsidP="003E1AA9">
      <w:pPr>
        <w:pStyle w:val="BodyText"/>
      </w:pPr>
      <w:r w:rsidRPr="003E1AA9">
        <w:t>This unit covers assessment of government security risks. It includes establishing the risk context, gathering and analysing information, identifyi</w:t>
      </w:r>
      <w:r w:rsidRPr="003E1AA9">
        <w:t xml:space="preserve">ng and analysing risks, and assessing and prioritising risks to underpin development of a security plan, which is covered in unit </w:t>
      </w:r>
      <w:r w:rsidRPr="003E1AA9">
        <w:rPr>
          <w:rStyle w:val="Emphasis"/>
        </w:rPr>
        <w:t>PSPSEC502A Develop security risk management plans</w:t>
      </w:r>
      <w:r w:rsidRPr="003E1AA9">
        <w:t>.</w:t>
      </w:r>
    </w:p>
    <w:p w:rsidR="00000000" w:rsidRPr="003E1AA9" w:rsidP="003E1AA9">
      <w:pPr>
        <w:pStyle w:val="BodyText"/>
      </w:pPr>
      <w:r w:rsidRPr="003E1AA9">
        <w:t>In practice, assessment of security risks may overlap with other generalist</w:t>
      </w:r>
      <w:r w:rsidRPr="003E1AA9">
        <w:t xml:space="preserve"> or specialist public sector work activities such as acting ethically, promoting compliance with legislation, developing client services, undertaking research and analysis.</w:t>
      </w:r>
    </w:p>
    <w:p w:rsidR="003D55C1" w:rsidP="003E1AA9">
      <w:pPr>
        <w:pStyle w:val="BodyText"/>
      </w:pPr>
      <w:r w:rsidRPr="003E1AA9">
        <w:t>No licensing, legislative, regulatory or certification requirements apply to this u</w:t>
      </w:r>
      <w:r w:rsidRPr="003E1AA9">
        <w:t>nit at the time of endorsement.</w:t>
      </w:r>
    </w:p>
    <w:p w:rsidR="003D55C1" w:rsidP="003E1AA9">
      <w:pPr>
        <w:pStyle w:val="BodyText"/>
      </w:pPr>
    </w:p>
    <w:p w:rsidR="00000000" w:rsidRPr="003E1AA9" w:rsidP="003E1AA9">
      <w:pPr>
        <w:pStyle w:val="Heading1"/>
      </w:pPr>
      <w:bookmarkStart w:id="3" w:name="O_499819"/>
      <w:bookmarkEnd w:id="3"/>
      <w:r w:rsidRPr="003E1AA9">
        <w:t>Application of the Unit</w:t>
      </w:r>
    </w:p>
    <w:p w:rsidR="00000000" w:rsidRPr="003E1AA9" w:rsidP="003E1AA9">
      <w:pPr>
        <w:pStyle w:val="BodyText"/>
      </w:pPr>
      <w:r w:rsidRPr="003E1AA9">
        <w:t>Not applicable.</w:t>
      </w:r>
    </w:p>
    <w:p w:rsidR="00000000" w:rsidRPr="003E1AA9" w:rsidP="003E1AA9">
      <w:pPr>
        <w:pStyle w:val="AllowPageBreak"/>
      </w:pPr>
    </w:p>
    <w:p w:rsidR="00000000" w:rsidRPr="003E1AA9" w:rsidP="003E1AA9">
      <w:pPr>
        <w:pStyle w:val="Heading1"/>
      </w:pPr>
      <w:bookmarkStart w:id="4" w:name="O_499812"/>
      <w:bookmarkEnd w:id="4"/>
      <w:r w:rsidRPr="003E1AA9">
        <w:t>Licensing/Regulatory Information</w:t>
      </w:r>
    </w:p>
    <w:p w:rsidR="00000000" w:rsidRPr="003E1AA9" w:rsidP="003E1AA9">
      <w:pPr>
        <w:pStyle w:val="BodyText"/>
      </w:pPr>
      <w:r w:rsidRPr="003E1AA9">
        <w:t>Not applicable.</w:t>
      </w:r>
    </w:p>
    <w:p w:rsidR="00000000" w:rsidRPr="003E1AA9" w:rsidP="003E1AA9">
      <w:pPr>
        <w:pStyle w:val="AllowPageBreak"/>
      </w:pPr>
    </w:p>
    <w:p w:rsidR="00000000" w:rsidRPr="003E1AA9" w:rsidP="003E1AA9">
      <w:pPr>
        <w:pStyle w:val="Heading1"/>
      </w:pPr>
      <w:bookmarkStart w:id="5" w:name="O_499813"/>
      <w:bookmarkEnd w:id="5"/>
      <w:r w:rsidRPr="003E1AA9">
        <w:t>Pre-Requisites</w:t>
      </w:r>
    </w:p>
    <w:p w:rsidR="00000000" w:rsidRPr="003E1AA9" w:rsidP="003E1AA9">
      <w:pPr>
        <w:pStyle w:val="BodyText"/>
      </w:pPr>
      <w:r w:rsidRPr="003E1AA9">
        <w:t>Not applicable.</w:t>
      </w:r>
    </w:p>
    <w:p w:rsidR="00000000" w:rsidRPr="003E1AA9" w:rsidP="003E1AA9">
      <w:pPr>
        <w:pStyle w:val="AllowPageBreak"/>
      </w:pPr>
    </w:p>
    <w:p w:rsidR="00000000" w:rsidRPr="003E1AA9" w:rsidP="003E1AA9">
      <w:pPr>
        <w:pStyle w:val="Heading1"/>
      </w:pPr>
      <w:bookmarkStart w:id="6" w:name="O_499815"/>
      <w:bookmarkEnd w:id="6"/>
      <w:r w:rsidRPr="003E1AA9">
        <w:t>Employability Skills Information</w:t>
      </w:r>
    </w:p>
    <w:p w:rsidR="00000000" w:rsidRPr="003E1AA9" w:rsidP="003E1AA9">
      <w:pPr>
        <w:pStyle w:val="BodyText"/>
      </w:pPr>
      <w:r w:rsidRPr="003E1AA9">
        <w:t>This unit contains employability skills.</w:t>
      </w:r>
    </w:p>
    <w:p w:rsidR="00000000" w:rsidRPr="003E1AA9" w:rsidP="003E1AA9">
      <w:pPr>
        <w:pStyle w:val="AllowPageBreak"/>
      </w:pPr>
    </w:p>
    <w:p w:rsidR="00000000" w:rsidRPr="003E1AA9" w:rsidP="003E1AA9">
      <w:pPr>
        <w:pStyle w:val="Heading1"/>
      </w:pPr>
      <w:bookmarkStart w:id="7" w:name="O_499816"/>
      <w:bookmarkEnd w:id="7"/>
      <w:r w:rsidRPr="003E1AA9">
        <w:t>Elements and Performance Criteria Pre-Content</w:t>
      </w:r>
    </w:p>
    <w:tbl>
      <w:tblPr>
        <w:tblW w:w="9322" w:type="dxa"/>
        <w:tblLayout w:type="fixed"/>
        <w:tblCellMar>
          <w:left w:w="62" w:type="dxa"/>
          <w:right w:w="62" w:type="dxa"/>
        </w:tblCellMar>
        <w:tblLook w:val="0000"/>
      </w:tblPr>
      <w:tblGrid>
        <w:gridCol w:w="2660"/>
        <w:gridCol w:w="6662"/>
      </w:tblGrid>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t>Together, performance criteria specify the requirements for competent performance. Text i</w:t>
            </w:r>
            <w:r w:rsidRPr="003E1AA9">
              <w:t xml:space="preserve">n </w:t>
            </w:r>
            <w:r w:rsidRPr="003E1AA9">
              <w:rPr>
                <w:rStyle w:val="BoldandItalics"/>
              </w:rPr>
              <w:t>bold italics</w:t>
            </w:r>
            <w:r w:rsidRPr="003E1AA9">
              <w:t xml:space="preserve">  is explained in the Range Statement following.</w:t>
            </w:r>
          </w:p>
        </w:tc>
      </w:tr>
    </w:tbl>
    <w:p w:rsidR="00000000" w:rsidRPr="003E1AA9" w:rsidP="003E1AA9">
      <w:pPr>
        <w:pStyle w:val="BodyText"/>
      </w:pPr>
    </w:p>
    <w:p w:rsidR="00000000" w:rsidRPr="003E1AA9" w:rsidP="003E1AA9">
      <w:pPr>
        <w:pStyle w:val="AllowPageBreak"/>
      </w:pPr>
    </w:p>
    <w:p w:rsidR="00000000" w:rsidRPr="003E1AA9" w:rsidP="003E1AA9">
      <w:pPr>
        <w:pStyle w:val="Heading1"/>
      </w:pPr>
      <w:bookmarkStart w:id="8" w:name="O_499817"/>
      <w:bookmarkEnd w:id="8"/>
      <w:r w:rsidRPr="003E1AA9">
        <w:t>Elements and Performance Criteria</w:t>
      </w:r>
    </w:p>
    <w:tbl>
      <w:tblPr>
        <w:tblW w:w="9322" w:type="dxa"/>
        <w:tblLayout w:type="fixed"/>
        <w:tblCellMar>
          <w:left w:w="62" w:type="dxa"/>
          <w:right w:w="62" w:type="dxa"/>
        </w:tblCellMar>
        <w:tblLook w:val="0000"/>
      </w:tblPr>
      <w:tblGrid>
        <w:gridCol w:w="2660"/>
        <w:gridCol w:w="6662"/>
      </w:tblGrid>
      <w:tr w:rsidTr="003D55C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SpecialBold"/>
              </w:rPr>
              <w:t>PERFORMANCE CRITERIA</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List"/>
              <w:rPr>
                <w:lang w:val="en-NZ"/>
              </w:rPr>
            </w:pPr>
            <w:r w:rsidRPr="003E1AA9">
              <w:rPr>
                <w:rStyle w:val="SpecialBold"/>
              </w:rPr>
              <w:t>1</w:t>
            </w:r>
            <w:r w:rsidRPr="003E1AA9">
              <w:t>.</w:t>
            </w:r>
            <w:r w:rsidRPr="003E1AA9">
              <w:tab/>
            </w:r>
            <w:r w:rsidRPr="003E1AA9">
              <w:rPr>
                <w:rStyle w:val="SpecialBold"/>
              </w:rPr>
              <w:t>Establish security risk context</w:t>
            </w:r>
            <w:r w:rsidRPr="003E1AA9">
              <w:t xml:space="preserve"> </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
            </w:pPr>
            <w:r w:rsidRPr="003E1AA9">
              <w:t>1.1</w:t>
            </w:r>
            <w:r w:rsidRPr="003E1AA9">
              <w:tab/>
              <w:t xml:space="preserve">The scope of the risk assessment and its </w:t>
            </w:r>
            <w:r w:rsidRPr="003E1AA9">
              <w:rPr>
                <w:rStyle w:val="BoldandItalics"/>
              </w:rPr>
              <w:t xml:space="preserve">strategic </w:t>
            </w:r>
            <w:r w:rsidRPr="003E1AA9">
              <w:t xml:space="preserve">and </w:t>
            </w:r>
            <w:r w:rsidRPr="003E1AA9">
              <w:rPr>
                <w:rStyle w:val="BoldandItalics"/>
              </w:rPr>
              <w:t xml:space="preserve">organisational context </w:t>
            </w:r>
            <w:r w:rsidRPr="003E1AA9">
              <w:t>are identified in accordance with organisational requirements.</w:t>
            </w:r>
          </w:p>
          <w:p w:rsidR="00000000" w:rsidRPr="003E1AA9" w:rsidP="003E1AA9">
            <w:pPr>
              <w:pStyle w:val="List"/>
            </w:pPr>
            <w:r w:rsidRPr="003E1AA9">
              <w:t>1.2</w:t>
            </w:r>
            <w:r w:rsidRPr="003E1AA9">
              <w:rPr>
                <w:rStyle w:val="BoldandItalics"/>
              </w:rPr>
              <w:tab/>
              <w:t>Legislation, policies, procedures and guidelines</w:t>
            </w:r>
            <w:r w:rsidRPr="003E1AA9">
              <w:t xml:space="preserve"> related to security risk management are identified and complied with.</w:t>
            </w:r>
          </w:p>
          <w:p w:rsidR="00000000" w:rsidRPr="003E1AA9" w:rsidP="003E1AA9">
            <w:pPr>
              <w:pStyle w:val="List"/>
            </w:pPr>
            <w:r w:rsidRPr="003E1AA9">
              <w:t>1.3</w:t>
            </w:r>
            <w:r w:rsidRPr="003E1AA9">
              <w:tab/>
            </w:r>
            <w:r w:rsidRPr="003E1AA9">
              <w:rPr>
                <w:rStyle w:val="BoldandItalics"/>
              </w:rPr>
              <w:t xml:space="preserve">Stakeholders </w:t>
            </w:r>
            <w:r w:rsidRPr="003E1AA9">
              <w:t>are identified and their expec</w:t>
            </w:r>
            <w:r w:rsidRPr="003E1AA9">
              <w:t>tations and input are obtained in accordance with organisational policy and procedures.</w:t>
            </w:r>
          </w:p>
          <w:p w:rsidR="00000000" w:rsidRPr="003E1AA9" w:rsidP="003E1AA9">
            <w:pPr>
              <w:pStyle w:val="List"/>
            </w:pPr>
            <w:r w:rsidRPr="003E1AA9">
              <w:t>1.4</w:t>
            </w:r>
            <w:r w:rsidRPr="003E1AA9">
              <w:tab/>
            </w:r>
            <w:r w:rsidRPr="003E1AA9">
              <w:rPr>
                <w:rStyle w:val="BoldandItalics"/>
              </w:rPr>
              <w:t>Security risk criteria</w:t>
            </w:r>
            <w:r w:rsidRPr="003E1AA9">
              <w:t xml:space="preserve"> are identified in accordance with the organisation's security policy,</w:t>
            </w:r>
            <w:r w:rsidRPr="003E1AA9">
              <w:rPr>
                <w:rStyle w:val="BoldandItalics"/>
              </w:rPr>
              <w:t xml:space="preserve"> jurisdictional policies and legislation</w:t>
            </w:r>
            <w:r w:rsidRPr="003E1AA9">
              <w:t>.</w:t>
            </w:r>
          </w:p>
          <w:p w:rsidR="00000000" w:rsidP="003E1AA9">
            <w:pPr>
              <w:pStyle w:val="List"/>
              <w:rPr>
                <w:lang w:val="en-NZ"/>
              </w:rPr>
            </w:pPr>
            <w:r w:rsidRPr="003E1AA9">
              <w:t>1.5</w:t>
            </w:r>
            <w:r w:rsidRPr="003E1AA9">
              <w:tab/>
              <w:t xml:space="preserve">A </w:t>
            </w:r>
            <w:r w:rsidRPr="003E1AA9">
              <w:rPr>
                <w:rStyle w:val="BoldandItalics"/>
              </w:rPr>
              <w:t xml:space="preserve">risk assessment plan </w:t>
            </w:r>
            <w:r w:rsidRPr="003E1AA9">
              <w:t xml:space="preserve">is </w:t>
            </w:r>
            <w:r w:rsidRPr="003E1AA9">
              <w:t>developed in accordance with organisational priorities, and endorsement is obtained.</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List"/>
              <w:rPr>
                <w:lang w:val="en-NZ"/>
              </w:rPr>
            </w:pPr>
            <w:r w:rsidRPr="003E1AA9">
              <w:rPr>
                <w:rStyle w:val="SpecialBold"/>
              </w:rPr>
              <w:t>2</w:t>
            </w:r>
            <w:r w:rsidRPr="003E1AA9">
              <w:t>.</w:t>
            </w:r>
            <w:r w:rsidRPr="003E1AA9">
              <w:tab/>
            </w:r>
            <w:r w:rsidRPr="003E1AA9">
              <w:rPr>
                <w:rStyle w:val="SpecialBold"/>
              </w:rPr>
              <w:t>Gather and analyse information</w:t>
            </w:r>
            <w:r w:rsidRPr="003E1AA9">
              <w:t xml:space="preserve"> </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
            </w:pPr>
            <w:r w:rsidRPr="003E1AA9">
              <w:t>2.1</w:t>
            </w:r>
            <w:r w:rsidRPr="003E1AA9">
              <w:tab/>
              <w:t xml:space="preserve">Sources of </w:t>
            </w:r>
            <w:r w:rsidRPr="003E1AA9">
              <w:rPr>
                <w:rStyle w:val="BoldandItalics"/>
              </w:rPr>
              <w:t xml:space="preserve">information </w:t>
            </w:r>
            <w:r w:rsidRPr="003E1AA9">
              <w:t>are identified and information is gathered in accordance with organisational policy and procedures.</w:t>
            </w:r>
          </w:p>
          <w:p w:rsidR="00000000" w:rsidRPr="003E1AA9" w:rsidP="003E1AA9">
            <w:pPr>
              <w:pStyle w:val="List"/>
            </w:pPr>
            <w:r w:rsidRPr="003E1AA9">
              <w:t>2.2</w:t>
            </w:r>
            <w:r w:rsidRPr="003E1AA9">
              <w:tab/>
              <w:t>Inte</w:t>
            </w:r>
            <w:r w:rsidRPr="003E1AA9">
              <w:t>rnal information including historical information is reviewed.</w:t>
            </w:r>
          </w:p>
          <w:p w:rsidR="00000000" w:rsidRPr="003E1AA9" w:rsidP="003E1AA9">
            <w:pPr>
              <w:pStyle w:val="List"/>
            </w:pPr>
            <w:r w:rsidRPr="003E1AA9">
              <w:t>2.3</w:t>
            </w:r>
            <w:r w:rsidRPr="003E1AA9">
              <w:tab/>
              <w:t>New information from internal/external sources is aggregated.</w:t>
            </w:r>
          </w:p>
          <w:p w:rsidR="00000000" w:rsidRPr="003E1AA9" w:rsidP="003E1AA9">
            <w:pPr>
              <w:pStyle w:val="List"/>
            </w:pPr>
            <w:r w:rsidRPr="003E1AA9">
              <w:t>2.4</w:t>
            </w:r>
            <w:r w:rsidRPr="003E1AA9">
              <w:tab/>
              <w:t>Information is contextualised to the organisational context.</w:t>
            </w:r>
          </w:p>
          <w:p w:rsidR="00000000" w:rsidP="003E1AA9">
            <w:pPr>
              <w:pStyle w:val="List"/>
              <w:rPr>
                <w:lang w:val="en-NZ"/>
              </w:rPr>
            </w:pPr>
            <w:r w:rsidRPr="003E1AA9">
              <w:t>2.5</w:t>
            </w:r>
            <w:r w:rsidRPr="003E1AA9">
              <w:tab/>
              <w:t>Gaps in information are identified and addressed.</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List"/>
              <w:rPr>
                <w:lang w:val="en-NZ"/>
              </w:rPr>
            </w:pPr>
            <w:r w:rsidRPr="003E1AA9">
              <w:rPr>
                <w:rStyle w:val="SpecialBold"/>
              </w:rPr>
              <w:t>3</w:t>
            </w:r>
            <w:r w:rsidRPr="003E1AA9">
              <w:t>.</w:t>
            </w:r>
            <w:r w:rsidRPr="003E1AA9">
              <w:tab/>
            </w:r>
            <w:r w:rsidRPr="003E1AA9">
              <w:rPr>
                <w:rStyle w:val="SpecialBold"/>
              </w:rPr>
              <w:t>Iden</w:t>
            </w:r>
            <w:r w:rsidRPr="003E1AA9">
              <w:rPr>
                <w:rStyle w:val="SpecialBold"/>
              </w:rPr>
              <w:t>tify security risks</w:t>
            </w:r>
            <w:r w:rsidRPr="003E1AA9">
              <w:t xml:space="preserve"> </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
            </w:pPr>
            <w:r w:rsidRPr="003E1AA9">
              <w:t>3.1</w:t>
            </w:r>
            <w:r w:rsidRPr="003E1AA9">
              <w:tab/>
            </w:r>
            <w:r w:rsidRPr="003E1AA9">
              <w:rPr>
                <w:rStyle w:val="BoldandItalics"/>
              </w:rPr>
              <w:t>Sources of threat</w:t>
            </w:r>
            <w:r w:rsidRPr="003E1AA9">
              <w:t xml:space="preserve"> to the organisation's </w:t>
            </w:r>
            <w:r w:rsidRPr="003E1AA9">
              <w:rPr>
                <w:rStyle w:val="BoldandItalics"/>
              </w:rPr>
              <w:t xml:space="preserve">resources </w:t>
            </w:r>
            <w:r w:rsidRPr="003E1AA9">
              <w:t xml:space="preserve">and functions are identified, and </w:t>
            </w:r>
            <w:r w:rsidRPr="003E1AA9">
              <w:rPr>
                <w:rStyle w:val="BoldandItalics"/>
              </w:rPr>
              <w:t>threats/potential threats</w:t>
            </w:r>
            <w:r w:rsidRPr="003E1AA9">
              <w:t xml:space="preserve"> are determined in accordance with organisational policy and procedures.</w:t>
            </w:r>
          </w:p>
          <w:p w:rsidR="00000000" w:rsidRPr="003E1AA9" w:rsidP="003E1AA9">
            <w:pPr>
              <w:pStyle w:val="List"/>
            </w:pPr>
            <w:r w:rsidRPr="003E1AA9">
              <w:t>3.2</w:t>
            </w:r>
            <w:r w:rsidRPr="003E1AA9">
              <w:tab/>
            </w:r>
            <w:r w:rsidRPr="003E1AA9">
              <w:rPr>
                <w:rStyle w:val="BoldandItalics"/>
              </w:rPr>
              <w:t xml:space="preserve">Threat assessment </w:t>
            </w:r>
            <w:r w:rsidRPr="003E1AA9">
              <w:t>is conducted against orga</w:t>
            </w:r>
            <w:r w:rsidRPr="003E1AA9">
              <w:t>nisational policies, procedures and guidelines.</w:t>
            </w:r>
          </w:p>
          <w:p w:rsidR="00000000" w:rsidRPr="003E1AA9" w:rsidP="003E1AA9">
            <w:pPr>
              <w:pStyle w:val="List"/>
            </w:pPr>
            <w:r w:rsidRPr="003E1AA9">
              <w:t>3.3</w:t>
            </w:r>
            <w:r w:rsidRPr="003E1AA9">
              <w:tab/>
              <w:t xml:space="preserve">Access to, availability of and procedures relating to resources/areas are analysed to determine </w:t>
            </w:r>
            <w:r w:rsidRPr="003E1AA9">
              <w:rPr>
                <w:rStyle w:val="BoldandItalics"/>
              </w:rPr>
              <w:t>risk exposure</w:t>
            </w:r>
            <w:r w:rsidRPr="003E1AA9">
              <w:rPr>
                <w:rStyle w:val="Emphasis"/>
              </w:rPr>
              <w:t>.</w:t>
            </w:r>
          </w:p>
          <w:p w:rsidR="00000000" w:rsidRPr="003E1AA9" w:rsidP="003E1AA9">
            <w:pPr>
              <w:pStyle w:val="List"/>
            </w:pPr>
            <w:r w:rsidRPr="003E1AA9">
              <w:t>3.4</w:t>
            </w:r>
            <w:r w:rsidRPr="003E1AA9">
              <w:tab/>
              <w:t>Risks are assessed using</w:t>
            </w:r>
            <w:r w:rsidRPr="003E1AA9">
              <w:rPr>
                <w:rStyle w:val="BoldandItalics"/>
              </w:rPr>
              <w:t xml:space="preserve"> risk assessment techniques</w:t>
            </w:r>
            <w:r w:rsidRPr="003E1AA9">
              <w:t xml:space="preserve"> to suit the type and level of risk in accordance with organisational policy and procedures.</w:t>
            </w:r>
          </w:p>
          <w:p w:rsidR="00000000" w:rsidP="003E1AA9">
            <w:pPr>
              <w:pStyle w:val="List"/>
              <w:rPr>
                <w:lang w:val="en-NZ"/>
              </w:rPr>
            </w:pPr>
            <w:r w:rsidRPr="003E1AA9">
              <w:t>3.5</w:t>
            </w:r>
            <w:r w:rsidRPr="003E1AA9">
              <w:tab/>
              <w:t>Risk potential is determined and risks are documented in accordance with organisational requirements.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List"/>
              <w:rPr>
                <w:lang w:val="en-NZ"/>
              </w:rPr>
            </w:pPr>
            <w:r w:rsidRPr="003E1AA9">
              <w:rPr>
                <w:rStyle w:val="SpecialBold"/>
              </w:rPr>
              <w:t>4</w:t>
            </w:r>
            <w:r w:rsidRPr="003E1AA9">
              <w:t>.</w:t>
            </w:r>
            <w:r w:rsidRPr="003E1AA9">
              <w:tab/>
            </w:r>
            <w:r w:rsidRPr="003E1AA9">
              <w:rPr>
                <w:rStyle w:val="SpecialBold"/>
              </w:rPr>
              <w:t>Analyse security risks</w:t>
            </w:r>
            <w:r w:rsidRPr="003E1AA9">
              <w:t xml:space="preserve"> </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
            </w:pPr>
            <w:r w:rsidRPr="003E1AA9">
              <w:t>4.1</w:t>
            </w:r>
            <w:r w:rsidRPr="003E1AA9">
              <w:tab/>
              <w:t xml:space="preserve">Potential </w:t>
            </w:r>
            <w:r w:rsidRPr="003E1AA9">
              <w:rPr>
                <w:rStyle w:val="BoldandItalics"/>
              </w:rPr>
              <w:t xml:space="preserve">consequences </w:t>
            </w:r>
            <w:r w:rsidRPr="003E1AA9">
              <w:t>of</w:t>
            </w:r>
            <w:r w:rsidRPr="003E1AA9">
              <w:t xml:space="preserve"> risks/threats are analysed in light of potential damage to agency, including </w:t>
            </w:r>
            <w:r w:rsidRPr="003E1AA9">
              <w:rPr>
                <w:rStyle w:val="BoldandItalics"/>
              </w:rPr>
              <w:t>critical lead time for recovery</w:t>
            </w:r>
            <w:r w:rsidRPr="003E1AA9">
              <w:rPr>
                <w:rStyle w:val="Emphasis"/>
              </w:rPr>
              <w:t>.</w:t>
            </w:r>
          </w:p>
          <w:p w:rsidR="00000000" w:rsidRPr="003E1AA9" w:rsidP="003E1AA9">
            <w:pPr>
              <w:pStyle w:val="List"/>
            </w:pPr>
            <w:r w:rsidRPr="003E1AA9">
              <w:t>4.2</w:t>
            </w:r>
            <w:r w:rsidRPr="003E1AA9">
              <w:tab/>
              <w:t>Analysis techniques are used in accordance with organisational policy and procedures.</w:t>
            </w:r>
          </w:p>
          <w:p w:rsidR="00000000" w:rsidRPr="003E1AA9" w:rsidP="003E1AA9">
            <w:pPr>
              <w:pStyle w:val="List"/>
            </w:pPr>
            <w:r w:rsidRPr="003E1AA9">
              <w:t>4.3</w:t>
            </w:r>
            <w:r w:rsidRPr="003E1AA9">
              <w:tab/>
              <w:t>Intent, capability and opportunity for each risk/th</w:t>
            </w:r>
            <w:r w:rsidRPr="003E1AA9">
              <w:t>reat to occur are assessed.</w:t>
            </w:r>
          </w:p>
          <w:p w:rsidR="00000000" w:rsidRPr="003E1AA9" w:rsidP="003E1AA9">
            <w:pPr>
              <w:pStyle w:val="List"/>
            </w:pPr>
            <w:r w:rsidRPr="003E1AA9">
              <w:t>4.4</w:t>
            </w:r>
            <w:r w:rsidRPr="003E1AA9">
              <w:tab/>
              <w:t xml:space="preserve">Using all known information, </w:t>
            </w:r>
            <w:r w:rsidRPr="003E1AA9">
              <w:rPr>
                <w:rStyle w:val="BoldandItalics"/>
              </w:rPr>
              <w:t>likelihood of risks</w:t>
            </w:r>
            <w:r w:rsidRPr="003E1AA9">
              <w:t>/threats occurring is assessed.</w:t>
            </w:r>
          </w:p>
          <w:p w:rsidR="00000000" w:rsidRPr="003E1AA9" w:rsidP="003E1AA9">
            <w:pPr>
              <w:pStyle w:val="List"/>
            </w:pPr>
            <w:r w:rsidRPr="003E1AA9">
              <w:t>4.5</w:t>
            </w:r>
            <w:r w:rsidRPr="003E1AA9">
              <w:tab/>
              <w:t>Current security countermeasures/treatment options are analysed to determine areas of vulnerability.</w:t>
            </w:r>
          </w:p>
          <w:p w:rsidR="00000000" w:rsidP="003E1AA9">
            <w:pPr>
              <w:pStyle w:val="List"/>
              <w:rPr>
                <w:lang w:val="en-NZ"/>
              </w:rPr>
            </w:pPr>
            <w:r w:rsidRPr="003E1AA9">
              <w:t>4.6</w:t>
            </w:r>
            <w:r w:rsidRPr="003E1AA9">
              <w:tab/>
            </w:r>
            <w:r w:rsidRPr="003E1AA9">
              <w:rPr>
                <w:rStyle w:val="BoldandItalics"/>
              </w:rPr>
              <w:t>Risk ratings</w:t>
            </w:r>
            <w:r w:rsidRPr="003E1AA9">
              <w:t xml:space="preserve"> are determined and doc</w:t>
            </w:r>
            <w:r w:rsidRPr="003E1AA9">
              <w:t xml:space="preserve">umented in agreed </w:t>
            </w:r>
            <w:r w:rsidRPr="003E1AA9">
              <w:rPr>
                <w:rStyle w:val="BoldandItalics"/>
              </w:rPr>
              <w:t xml:space="preserve">format </w:t>
            </w:r>
            <w:r w:rsidRPr="003E1AA9">
              <w:t>using all known information.</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List"/>
              <w:rPr>
                <w:lang w:val="en-NZ"/>
              </w:rPr>
            </w:pPr>
            <w:r w:rsidRPr="003E1AA9">
              <w:rPr>
                <w:rStyle w:val="SpecialBold"/>
              </w:rPr>
              <w:t>5</w:t>
            </w:r>
            <w:r w:rsidRPr="003E1AA9">
              <w:t>.</w:t>
            </w:r>
            <w:r w:rsidRPr="003E1AA9">
              <w:tab/>
            </w:r>
            <w:r w:rsidRPr="003E1AA9">
              <w:rPr>
                <w:rStyle w:val="SpecialBold"/>
              </w:rPr>
              <w:t>Assess and prioritise security risks</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
            </w:pPr>
            <w:r w:rsidRPr="003E1AA9">
              <w:t>5.1</w:t>
            </w:r>
            <w:r w:rsidRPr="003E1AA9">
              <w:tab/>
              <w:t>Stakeholders are consulted about acceptable/unacceptable risk levels.</w:t>
            </w:r>
          </w:p>
          <w:p w:rsidR="00000000" w:rsidRPr="003E1AA9" w:rsidP="003E1AA9">
            <w:pPr>
              <w:pStyle w:val="List"/>
            </w:pPr>
            <w:r w:rsidRPr="003E1AA9">
              <w:t>5.2</w:t>
            </w:r>
            <w:r w:rsidRPr="003E1AA9">
              <w:tab/>
            </w:r>
            <w:r w:rsidRPr="003E1AA9">
              <w:rPr>
                <w:rStyle w:val="BoldandItalics"/>
              </w:rPr>
              <w:t xml:space="preserve">Acceptable/unacceptable </w:t>
            </w:r>
            <w:r w:rsidRPr="003E1AA9">
              <w:t>levels of risk are documented.</w:t>
            </w:r>
          </w:p>
          <w:p w:rsidR="00000000" w:rsidRPr="003E1AA9" w:rsidP="003E1AA9">
            <w:pPr>
              <w:pStyle w:val="List"/>
            </w:pPr>
            <w:r w:rsidRPr="003E1AA9">
              <w:t>5.3</w:t>
            </w:r>
            <w:r w:rsidRPr="003E1AA9">
              <w:tab/>
              <w:t>Identified risks are com</w:t>
            </w:r>
            <w:r w:rsidRPr="003E1AA9">
              <w:t>pared with security risk criteria to determine whether they are acceptable/unacceptable.</w:t>
            </w:r>
          </w:p>
          <w:p w:rsidR="00000000" w:rsidRPr="003E1AA9" w:rsidP="003E1AA9">
            <w:pPr>
              <w:pStyle w:val="List"/>
            </w:pPr>
            <w:r w:rsidRPr="003E1AA9">
              <w:t>5.4</w:t>
            </w:r>
            <w:r w:rsidRPr="003E1AA9">
              <w:tab/>
              <w:t>Identified risks are prioritised in accordance with security criteria.</w:t>
            </w:r>
          </w:p>
          <w:p w:rsidR="00000000" w:rsidRPr="003E1AA9" w:rsidP="003E1AA9">
            <w:pPr>
              <w:pStyle w:val="List"/>
            </w:pPr>
            <w:r w:rsidRPr="003E1AA9">
              <w:t>5.5</w:t>
            </w:r>
            <w:r w:rsidRPr="003E1AA9">
              <w:tab/>
              <w:t>Risks are documented in priority order in accordance with organisational policies, proce</w:t>
            </w:r>
            <w:r w:rsidRPr="003E1AA9">
              <w:t>dures and guidelines.</w:t>
            </w:r>
          </w:p>
          <w:p w:rsidR="00000000" w:rsidRPr="003E1AA9" w:rsidP="003E1AA9">
            <w:pPr>
              <w:pStyle w:val="List"/>
            </w:pPr>
            <w:r w:rsidRPr="003E1AA9">
              <w:t>5.6</w:t>
            </w:r>
            <w:r w:rsidRPr="003E1AA9">
              <w:tab/>
            </w:r>
            <w:r w:rsidRPr="003E1AA9">
              <w:rPr>
                <w:rStyle w:val="BoldandItalics"/>
              </w:rPr>
              <w:t xml:space="preserve">Residual risks </w:t>
            </w:r>
            <w:r w:rsidRPr="003E1AA9">
              <w:t>are determined and documented in accordance with organisational policies, procedures and guidelines.</w:t>
            </w:r>
          </w:p>
        </w:tc>
      </w:tr>
    </w:tbl>
    <w:p w:rsidR="00000000" w:rsidRPr="003E1AA9" w:rsidP="003E1AA9">
      <w:pPr>
        <w:pStyle w:val="BodyText"/>
      </w:pPr>
    </w:p>
    <w:p w:rsidR="00000000" w:rsidRPr="003E1AA9" w:rsidP="003E1AA9">
      <w:pPr>
        <w:pStyle w:val="AllowPageBreak"/>
      </w:pPr>
    </w:p>
    <w:p w:rsidR="00000000" w:rsidRPr="003E1AA9" w:rsidP="003E1AA9">
      <w:pPr>
        <w:pStyle w:val="Heading1"/>
      </w:pPr>
      <w:bookmarkStart w:id="9" w:name="O_499811"/>
      <w:bookmarkEnd w:id="9"/>
      <w:r w:rsidRPr="003E1AA9">
        <w:t>Required Skills and Knowledge</w:t>
      </w:r>
    </w:p>
    <w:tbl>
      <w:tblPr>
        <w:tblW w:w="0" w:type="auto"/>
        <w:tblLayout w:type="fixed"/>
        <w:tblCellMar>
          <w:left w:w="62" w:type="dxa"/>
          <w:right w:w="62" w:type="dxa"/>
        </w:tblCellMar>
        <w:tblLook w:val="0000"/>
      </w:tblPr>
      <w:tblGrid>
        <w:gridCol w:w="8553"/>
      </w:tblGrid>
      <w:tr w:rsidTr="003D55C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t>This section describes the essential skills and knowledge and their level, required for this unit.</w:t>
            </w:r>
          </w:p>
        </w:tc>
      </w:tr>
      <w:tr w:rsidTr="003D55C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rPr>
                <w:rStyle w:val="SpecialBold"/>
              </w:rPr>
              <w:t>Skill requirements</w:t>
            </w:r>
          </w:p>
          <w:p w:rsidR="00000000" w:rsidRPr="003E1AA9" w:rsidP="003E1AA9">
            <w:pPr>
              <w:pStyle w:val="BodyText"/>
            </w:pPr>
            <w:r w:rsidRPr="003E1AA9">
              <w:t>Look for evidence that confirms skills in:</w:t>
            </w:r>
          </w:p>
          <w:p w:rsidR="00000000" w:rsidRPr="003E1AA9" w:rsidP="003E1AA9">
            <w:pPr>
              <w:pStyle w:val="ListBullet2"/>
            </w:pPr>
            <w:r w:rsidRPr="003E1AA9">
              <w:t xml:space="preserve">applying legislation, regulations and policies relating to security risk management </w:t>
            </w:r>
          </w:p>
          <w:p w:rsidR="00000000" w:rsidRPr="003E1AA9" w:rsidP="003E1AA9">
            <w:pPr>
              <w:pStyle w:val="ListBullet2"/>
            </w:pPr>
            <w:r w:rsidRPr="003E1AA9">
              <w:t>undertak</w:t>
            </w:r>
            <w:r w:rsidRPr="003E1AA9">
              <w:t>ing risk assessment</w:t>
            </w:r>
          </w:p>
          <w:p w:rsidR="00000000" w:rsidRPr="003E1AA9" w:rsidP="003E1AA9">
            <w:pPr>
              <w:pStyle w:val="ListBullet2"/>
            </w:pPr>
            <w:r w:rsidRPr="003E1AA9">
              <w:t xml:space="preserve">reading and analysing the complex information in standards, legislation and security plans </w:t>
            </w:r>
          </w:p>
          <w:p w:rsidR="00000000" w:rsidRPr="003E1AA9" w:rsidP="003E1AA9">
            <w:pPr>
              <w:pStyle w:val="ListBullet2"/>
            </w:pPr>
            <w:r w:rsidRPr="003E1AA9">
              <w:t xml:space="preserve">researching and analysing the operational environment and drawing conclusions </w:t>
            </w:r>
          </w:p>
          <w:p w:rsidR="00000000" w:rsidRPr="003E1AA9" w:rsidP="003E1AA9">
            <w:pPr>
              <w:pStyle w:val="ListBullet2"/>
            </w:pPr>
            <w:r w:rsidRPr="003E1AA9">
              <w:t>applying critical analysis, evaluation and deductive reasoning</w:t>
            </w:r>
          </w:p>
          <w:p w:rsidR="00000000" w:rsidRPr="003E1AA9" w:rsidP="003E1AA9">
            <w:pPr>
              <w:pStyle w:val="ListBullet2"/>
            </w:pPr>
            <w:r w:rsidRPr="003E1AA9">
              <w:t>us</w:t>
            </w:r>
            <w:r w:rsidRPr="003E1AA9">
              <w:t xml:space="preserve">ing problem solving and decision making </w:t>
            </w:r>
          </w:p>
          <w:p w:rsidR="00000000" w:rsidRPr="003E1AA9" w:rsidP="003E1AA9">
            <w:pPr>
              <w:pStyle w:val="ListBullet2"/>
            </w:pPr>
            <w:r w:rsidRPr="003E1AA9">
              <w:t>using creative thinking</w:t>
            </w:r>
          </w:p>
          <w:p w:rsidR="00000000" w:rsidRPr="003E1AA9" w:rsidP="003E1AA9">
            <w:pPr>
              <w:pStyle w:val="ListBullet2"/>
            </w:pPr>
            <w:r w:rsidRPr="003E1AA9">
              <w:t>communicating with diverse stakeholders involving interviewing, listening, questioning, paraphrasing, clarifying, summarising</w:t>
            </w:r>
          </w:p>
          <w:p w:rsidR="00000000" w:rsidRPr="003E1AA9" w:rsidP="003E1AA9">
            <w:pPr>
              <w:pStyle w:val="ListBullet2"/>
            </w:pPr>
            <w:r w:rsidRPr="003E1AA9">
              <w:t>responding to diversity, including gender and disability</w:t>
            </w:r>
          </w:p>
          <w:p w:rsidR="00000000" w:rsidRPr="003E1AA9" w:rsidP="003E1AA9">
            <w:pPr>
              <w:pStyle w:val="ListBullet2"/>
            </w:pPr>
            <w:r w:rsidRPr="003E1AA9">
              <w:t>writing reports requiring formality of language and structure</w:t>
            </w:r>
          </w:p>
          <w:p w:rsidR="00000000" w:rsidRPr="003E1AA9" w:rsidP="003E1AA9">
            <w:pPr>
              <w:pStyle w:val="ListBullet2"/>
            </w:pPr>
            <w:r w:rsidRPr="003E1AA9">
              <w:t xml:space="preserve">using computer technology to gather and analyse information, and prepare reports </w:t>
            </w:r>
          </w:p>
          <w:p w:rsidR="00000000" w:rsidRPr="003E1AA9" w:rsidP="003E1AA9">
            <w:pPr>
              <w:pStyle w:val="ListBullet2"/>
            </w:pPr>
            <w:r w:rsidRPr="003E1AA9">
              <w:t>using computer modelling</w:t>
            </w:r>
          </w:p>
          <w:p w:rsidR="00000000" w:rsidRPr="003E1AA9" w:rsidP="003E1AA9">
            <w:pPr>
              <w:pStyle w:val="ListBullet2"/>
            </w:pPr>
            <w:r w:rsidRPr="003E1AA9">
              <w:t xml:space="preserve">using numerical, graphical and statistical information </w:t>
            </w:r>
          </w:p>
          <w:p w:rsidR="00000000" w:rsidRPr="003E1AA9" w:rsidP="003E1AA9">
            <w:pPr>
              <w:pStyle w:val="ListBullet2"/>
            </w:pPr>
            <w:r w:rsidRPr="003E1AA9">
              <w:t>representing mathematical infor</w:t>
            </w:r>
            <w:r w:rsidRPr="003E1AA9">
              <w:t>mation in a range of formats to suit the information and the purpose</w:t>
            </w:r>
          </w:p>
          <w:p w:rsidR="00000000" w:rsidRPr="003E1AA9" w:rsidP="003E1AA9">
            <w:pPr>
              <w:pStyle w:val="ListBullet2"/>
            </w:pPr>
            <w:r w:rsidRPr="003E1AA9">
              <w:t>responding to diversity, including gender and disability</w:t>
            </w:r>
          </w:p>
          <w:p w:rsidR="00000000" w:rsidP="003E1AA9">
            <w:pPr>
              <w:pStyle w:val="ListBullet2"/>
              <w:rPr>
                <w:lang w:val="en-NZ"/>
              </w:rPr>
            </w:pPr>
            <w:r w:rsidRPr="003E1AA9">
              <w:t xml:space="preserve">applying procedures relating to occupational health and safety and environment in the context of security risk management </w:t>
            </w:r>
          </w:p>
        </w:tc>
      </w:tr>
      <w:tr w:rsidTr="003D55C1">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rPr>
                <w:rStyle w:val="SpecialBold"/>
              </w:rPr>
              <w:t>Knowle</w:t>
            </w:r>
            <w:r w:rsidRPr="003E1AA9">
              <w:rPr>
                <w:rStyle w:val="SpecialBold"/>
              </w:rPr>
              <w:t>dge requirements</w:t>
            </w:r>
          </w:p>
          <w:p w:rsidR="00000000" w:rsidRPr="003E1AA9" w:rsidP="003E1AA9">
            <w:pPr>
              <w:pStyle w:val="BodyText"/>
            </w:pPr>
            <w:r w:rsidRPr="003E1AA9">
              <w:t>Look for evidence that confirms knowledge and understanding of:</w:t>
            </w:r>
          </w:p>
          <w:p w:rsidR="00000000" w:rsidRPr="003E1AA9" w:rsidP="003E1AA9">
            <w:pPr>
              <w:pStyle w:val="ListBullet2"/>
            </w:pPr>
            <w:r w:rsidRPr="003E1AA9">
              <w:t>legislation, regulations, policies, procedures and guidelines relating to security risk management such as:</w:t>
            </w:r>
          </w:p>
          <w:p w:rsidR="00000000" w:rsidRPr="003E1AA9" w:rsidP="003E1AA9">
            <w:pPr>
              <w:pStyle w:val="ListBullet3"/>
            </w:pPr>
            <w:r w:rsidRPr="003E1AA9">
              <w:t>occupational health and safety</w:t>
            </w:r>
          </w:p>
          <w:p w:rsidR="00000000" w:rsidRPr="003E1AA9" w:rsidP="003E1AA9">
            <w:pPr>
              <w:pStyle w:val="ListBullet3"/>
            </w:pPr>
            <w:r w:rsidRPr="003E1AA9">
              <w:t>public service Acts</w:t>
            </w:r>
          </w:p>
          <w:p w:rsidR="00000000" w:rsidRPr="003E1AA9" w:rsidP="003E1AA9">
            <w:pPr>
              <w:pStyle w:val="ListBullet3"/>
            </w:pPr>
            <w:r w:rsidRPr="003E1AA9">
              <w:t>Crimes Act 1914 and Criminal Code 1985</w:t>
            </w:r>
          </w:p>
          <w:p w:rsidR="00000000" w:rsidRPr="003E1AA9" w:rsidP="003E1AA9">
            <w:pPr>
              <w:pStyle w:val="ListBullet3"/>
            </w:pPr>
            <w:r w:rsidRPr="003E1AA9">
              <w:t>Freedom of Information Act 1982</w:t>
            </w:r>
          </w:p>
          <w:p w:rsidR="00000000" w:rsidRPr="003E1AA9" w:rsidP="003E1AA9">
            <w:pPr>
              <w:pStyle w:val="ListBullet3"/>
            </w:pPr>
            <w:r w:rsidRPr="003E1AA9">
              <w:t>Privacy Act 1988</w:t>
            </w:r>
          </w:p>
          <w:p w:rsidR="00000000" w:rsidRPr="003E1AA9" w:rsidP="003E1AA9">
            <w:pPr>
              <w:pStyle w:val="ListBullet3"/>
            </w:pPr>
            <w:r w:rsidRPr="003E1AA9">
              <w:t>fraud control policy</w:t>
            </w:r>
          </w:p>
          <w:p w:rsidR="00000000" w:rsidRPr="003E1AA9" w:rsidP="003E1AA9">
            <w:pPr>
              <w:pStyle w:val="ListBullet3"/>
            </w:pPr>
            <w:r w:rsidRPr="003E1AA9">
              <w:t>protective security policy</w:t>
            </w:r>
          </w:p>
          <w:p w:rsidR="00000000" w:rsidRPr="003E1AA9" w:rsidP="003E1AA9">
            <w:pPr>
              <w:pStyle w:val="ListBullet3"/>
            </w:pPr>
            <w:r w:rsidRPr="003E1AA9">
              <w:t>Australian Government Information Security Manual (ISM)</w:t>
            </w:r>
          </w:p>
          <w:p w:rsidR="00000000" w:rsidRPr="003E1AA9" w:rsidP="003E1AA9">
            <w:pPr>
              <w:pStyle w:val="ListBullet3"/>
            </w:pPr>
            <w:r w:rsidRPr="003E1AA9">
              <w:t>Protective Security Policy Framework</w:t>
            </w:r>
          </w:p>
          <w:p w:rsidR="00000000" w:rsidRPr="003E1AA9" w:rsidP="003E1AA9">
            <w:pPr>
              <w:pStyle w:val="ListBullet2"/>
            </w:pPr>
            <w:r w:rsidRPr="003E1AA9">
              <w:t>risk assessment techniques</w:t>
            </w:r>
            <w:r w:rsidRPr="003E1AA9">
              <w:t xml:space="preserve">/processes </w:t>
            </w:r>
          </w:p>
          <w:p w:rsidR="00000000" w:rsidRPr="003E1AA9" w:rsidP="003E1AA9">
            <w:pPr>
              <w:pStyle w:val="ListBullet2"/>
            </w:pPr>
            <w:r w:rsidRPr="003E1AA9">
              <w:t>information handling</w:t>
            </w:r>
          </w:p>
          <w:p w:rsidR="00000000" w:rsidRPr="003E1AA9" w:rsidP="003E1AA9">
            <w:pPr>
              <w:pStyle w:val="ListBullet2"/>
            </w:pPr>
            <w:r w:rsidRPr="003E1AA9">
              <w:t xml:space="preserve">qualitative and quantitative analysis techniques </w:t>
            </w:r>
          </w:p>
          <w:p w:rsidR="00000000" w:rsidRPr="003E1AA9" w:rsidP="003E1AA9">
            <w:pPr>
              <w:pStyle w:val="ListBullet2"/>
            </w:pPr>
            <w:r w:rsidRPr="003E1AA9">
              <w:t xml:space="preserve">incident reports and statistics </w:t>
            </w:r>
          </w:p>
          <w:p w:rsidR="00000000" w:rsidRPr="003E1AA9" w:rsidP="003E1AA9">
            <w:pPr>
              <w:pStyle w:val="ListBullet2"/>
            </w:pPr>
            <w:r w:rsidRPr="003E1AA9">
              <w:t>asset holdings and recording mechanisms</w:t>
            </w:r>
          </w:p>
          <w:p w:rsidR="00000000" w:rsidRPr="003E1AA9" w:rsidP="003E1AA9">
            <w:pPr>
              <w:pStyle w:val="ListBullet2"/>
            </w:pPr>
            <w:r w:rsidRPr="003E1AA9">
              <w:t>Australian standards, quality assurance and certification requirements</w:t>
            </w:r>
          </w:p>
          <w:p w:rsidR="00000000" w:rsidRPr="003E1AA9" w:rsidP="003E1AA9">
            <w:pPr>
              <w:pStyle w:val="ListBullet2"/>
            </w:pPr>
            <w:r w:rsidRPr="003E1AA9">
              <w:t>international treaties and protocols</w:t>
            </w:r>
          </w:p>
          <w:p w:rsidR="00000000" w:rsidRPr="003E1AA9" w:rsidP="003E1AA9">
            <w:pPr>
              <w:pStyle w:val="ListBullet2"/>
            </w:pPr>
            <w:r w:rsidRPr="003E1AA9">
              <w:t>cross-jurisdictional protocols</w:t>
            </w:r>
          </w:p>
          <w:p w:rsidR="00000000" w:rsidRPr="003E1AA9" w:rsidP="003E1AA9">
            <w:pPr>
              <w:pStyle w:val="ListBullet2"/>
            </w:pPr>
            <w:r w:rsidRPr="003E1AA9">
              <w:t xml:space="preserve">organisation's strategic objectives </w:t>
            </w:r>
          </w:p>
          <w:p w:rsidR="00000000" w:rsidRPr="003E1AA9" w:rsidP="003E1AA9">
            <w:pPr>
              <w:pStyle w:val="ListBullet2"/>
            </w:pPr>
            <w:r w:rsidRPr="003E1AA9">
              <w:t xml:space="preserve">national strategic objectives </w:t>
            </w:r>
          </w:p>
          <w:p w:rsidR="00000000" w:rsidRPr="003E1AA9" w:rsidP="003E1AA9">
            <w:pPr>
              <w:pStyle w:val="ListBullet2"/>
            </w:pPr>
            <w:r w:rsidRPr="003E1AA9">
              <w:t>requirements of user groups</w:t>
            </w:r>
          </w:p>
          <w:p w:rsidR="00000000" w:rsidRPr="003E1AA9" w:rsidP="003E1AA9">
            <w:pPr>
              <w:pStyle w:val="ListBullet2"/>
            </w:pPr>
            <w:r w:rsidRPr="003E1AA9">
              <w:t>equal employment opportunity, equity and diversity principles</w:t>
            </w:r>
          </w:p>
          <w:p w:rsidR="00000000" w:rsidRPr="003E1AA9" w:rsidP="003E1AA9">
            <w:pPr>
              <w:pStyle w:val="ListBullet2"/>
            </w:pPr>
            <w:r w:rsidRPr="003E1AA9">
              <w:t>public sector legislation such</w:t>
            </w:r>
            <w:r w:rsidRPr="003E1AA9">
              <w:t xml:space="preserve"> as occupational health and safety and environment in the context of security risk assessment</w:t>
            </w:r>
          </w:p>
        </w:tc>
      </w:tr>
    </w:tbl>
    <w:p w:rsidR="00000000" w:rsidRPr="003E1AA9" w:rsidP="003E1AA9">
      <w:pPr>
        <w:pStyle w:val="BodyText"/>
      </w:pPr>
    </w:p>
    <w:p w:rsidR="00000000" w:rsidRPr="003E1AA9" w:rsidP="003E1AA9">
      <w:pPr>
        <w:pStyle w:val="AllowPageBreak"/>
      </w:pPr>
    </w:p>
    <w:p w:rsidR="00000000" w:rsidRPr="003E1AA9" w:rsidP="003E1AA9">
      <w:pPr>
        <w:pStyle w:val="Heading1"/>
      </w:pPr>
      <w:bookmarkStart w:id="10" w:name="O_499806"/>
      <w:bookmarkEnd w:id="10"/>
      <w:r w:rsidRPr="003E1AA9">
        <w:t>Evidence Guide</w:t>
      </w:r>
    </w:p>
    <w:tbl>
      <w:tblPr>
        <w:tblW w:w="9322" w:type="dxa"/>
        <w:tblLayout w:type="fixed"/>
        <w:tblCellMar>
          <w:left w:w="62" w:type="dxa"/>
          <w:right w:w="62" w:type="dxa"/>
        </w:tblCellMar>
        <w:tblLook w:val="0000"/>
      </w:tblPr>
      <w:tblGrid>
        <w:gridCol w:w="2660"/>
        <w:gridCol w:w="6662"/>
      </w:tblGrid>
      <w:tr w:rsidTr="003D55C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t>The Evidence Guide specifies the evidence required to demonstrate achievement in the unit of competency as a whole. It must be r</w:t>
            </w:r>
            <w:r w:rsidRPr="003E1AA9">
              <w:t>ead in conjunction with the Unit descriptor, Performance Criteria, the Range Statement and the Assessment Guidelines for the Public Sector Training Package.</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rPr>
                <w:rStyle w:val="SpecialBold"/>
              </w:rPr>
              <w:t>Units to be assessed together</w:t>
            </w:r>
            <w:r w:rsidRPr="003E1AA9">
              <w:t xml:space="preserve"> </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rPr>
                <w:rStyle w:val="Emphasis"/>
              </w:rPr>
              <w:t>Pre</w:t>
            </w:r>
            <w:r w:rsidRPr="003E1AA9">
              <w:t>-</w:t>
            </w:r>
            <w:r w:rsidRPr="003E1AA9">
              <w:rPr>
                <w:rStyle w:val="Emphasis"/>
              </w:rPr>
              <w:t>requisite</w:t>
            </w:r>
            <w:r w:rsidRPr="003E1AA9">
              <w:t xml:space="preserve"> units that must be achieved prior to this unit:</w:t>
            </w:r>
            <w:r w:rsidRPr="003E1AA9">
              <w:rPr>
                <w:rStyle w:val="Emphasis"/>
              </w:rPr>
              <w:t>Nil</w:t>
            </w:r>
          </w:p>
          <w:p w:rsidR="00000000" w:rsidRPr="003E1AA9" w:rsidP="003E1AA9">
            <w:pPr>
              <w:pStyle w:val="ListBullet2"/>
            </w:pPr>
            <w:r w:rsidRPr="003E1AA9">
              <w:rPr>
                <w:rStyle w:val="Emphasis"/>
              </w:rPr>
              <w:t>Co</w:t>
            </w:r>
            <w:r w:rsidRPr="003E1AA9">
              <w:t>-</w:t>
            </w:r>
            <w:r w:rsidRPr="003E1AA9">
              <w:rPr>
                <w:rStyle w:val="Emphasis"/>
              </w:rPr>
              <w:t>requisite</w:t>
            </w:r>
            <w:r w:rsidRPr="003E1AA9">
              <w:t xml:space="preserve"> units that must be assessed with this unit:</w:t>
            </w:r>
            <w:r w:rsidRPr="003E1AA9">
              <w:rPr>
                <w:rStyle w:val="Emphasis"/>
              </w:rPr>
              <w:t>Nil</w:t>
            </w:r>
          </w:p>
          <w:p w:rsidR="00000000" w:rsidRPr="003E1AA9" w:rsidP="003E1AA9">
            <w:pPr>
              <w:pStyle w:val="ListBullet2"/>
            </w:pPr>
            <w:r w:rsidRPr="003E1AA9">
              <w:rPr>
                <w:rStyle w:val="Emphasis"/>
              </w:rPr>
              <w:t>Co</w:t>
            </w:r>
            <w:r w:rsidRPr="003E1AA9">
              <w:t>-</w:t>
            </w:r>
            <w:r w:rsidRPr="003E1AA9">
              <w:rPr>
                <w:rStyle w:val="Emphasis"/>
              </w:rPr>
              <w:t>assessed units</w:t>
            </w:r>
            <w:r w:rsidRPr="003E1AA9">
              <w:t xml:space="preserve"> that may be assessed with this unit to increase the efficiency and realism of the assessment process include, but are not limited to:</w:t>
            </w:r>
          </w:p>
          <w:p w:rsidR="00000000" w:rsidRPr="003E1AA9" w:rsidP="003E1AA9">
            <w:pPr>
              <w:pStyle w:val="ListBullet3"/>
            </w:pPr>
            <w:r w:rsidRPr="003E1AA9">
              <w:t>PSPETHC501B Promote the values and ethos of</w:t>
            </w:r>
            <w:r w:rsidRPr="003E1AA9">
              <w:t xml:space="preserve"> public service</w:t>
            </w:r>
          </w:p>
          <w:p w:rsidR="00000000" w:rsidRPr="003E1AA9" w:rsidP="003E1AA9">
            <w:pPr>
              <w:pStyle w:val="ListBullet3"/>
            </w:pPr>
            <w:r w:rsidRPr="003E1AA9">
              <w:t>PSPGOV502B Develop client services</w:t>
            </w:r>
          </w:p>
          <w:p w:rsidR="00000000" w:rsidRPr="003E1AA9" w:rsidP="003E1AA9">
            <w:pPr>
              <w:pStyle w:val="ListBullet3"/>
            </w:pPr>
            <w:r w:rsidRPr="003E1AA9">
              <w:t xml:space="preserve">PSPGOV504B Undertake research and analysis </w:t>
            </w:r>
          </w:p>
          <w:p w:rsidR="00000000" w:rsidRPr="003E1AA9" w:rsidP="003E1AA9">
            <w:pPr>
              <w:pStyle w:val="ListBullet3"/>
            </w:pPr>
            <w:r w:rsidRPr="003E1AA9">
              <w:t>PSPLEGN501B Promote compliance with legislation in the public sector</w:t>
            </w:r>
          </w:p>
          <w:p w:rsidR="00000000" w:rsidRPr="003E1AA9" w:rsidP="003E1AA9">
            <w:pPr>
              <w:pStyle w:val="ListBullet3"/>
            </w:pPr>
            <w:r w:rsidRPr="003E1AA9">
              <w:t>PSPSEC502A Develop security risk management plans</w:t>
            </w:r>
          </w:p>
          <w:p w:rsidR="00000000" w:rsidP="003E1AA9">
            <w:pPr>
              <w:pStyle w:val="ListBullet3"/>
              <w:rPr>
                <w:lang w:val="en-NZ"/>
              </w:rPr>
            </w:pPr>
            <w:r w:rsidRPr="003E1AA9">
              <w:t>PSPSEC503A Implement and monitor security risk management plans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t>In addition to integrated demonstration of the elements and their related performance criteria, look for evidence that confirms:</w:t>
            </w:r>
          </w:p>
          <w:p w:rsidR="00000000" w:rsidRPr="003E1AA9" w:rsidP="003E1AA9">
            <w:pPr>
              <w:pStyle w:val="ListBullet2"/>
            </w:pPr>
            <w:r w:rsidRPr="003E1AA9">
              <w:t xml:space="preserve">the knowledge requirements </w:t>
            </w:r>
            <w:r w:rsidRPr="003E1AA9">
              <w:t xml:space="preserve">of this unit </w:t>
            </w:r>
          </w:p>
          <w:p w:rsidR="00000000" w:rsidRPr="003E1AA9" w:rsidP="003E1AA9">
            <w:pPr>
              <w:pStyle w:val="ListBullet2"/>
            </w:pPr>
            <w:r w:rsidRPr="003E1AA9">
              <w:t>the skill requirements of this unit</w:t>
            </w:r>
          </w:p>
          <w:p w:rsidR="00000000" w:rsidRPr="003E1AA9" w:rsidP="003E1AA9">
            <w:pPr>
              <w:pStyle w:val="ListBullet2"/>
            </w:pPr>
            <w:r w:rsidRPr="003E1AA9">
              <w:t>application of the Employability Skills as they relate to this unit (see Employability Summaries in Qualifications Framework)</w:t>
            </w:r>
          </w:p>
          <w:p w:rsidR="00000000" w:rsidP="003E1AA9">
            <w:pPr>
              <w:pStyle w:val="ListBullet2"/>
              <w:rPr>
                <w:lang w:val="en-NZ"/>
              </w:rPr>
            </w:pPr>
            <w:r w:rsidRPr="003E1AA9">
              <w:t>assessment of security risks in a range of (3 or more) contexts (or occasions, over time)</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t>These resources include:</w:t>
            </w:r>
          </w:p>
          <w:p w:rsidR="00000000" w:rsidRPr="003E1AA9" w:rsidP="003E1AA9">
            <w:pPr>
              <w:pStyle w:val="ListBullet2"/>
            </w:pPr>
            <w:r w:rsidRPr="003E1AA9">
              <w:t>legislation, policy, procedures and protocols relating to the assessment of security risk</w:t>
            </w:r>
          </w:p>
          <w:p w:rsidR="00000000" w:rsidRPr="003E1AA9" w:rsidP="003E1AA9">
            <w:pPr>
              <w:pStyle w:val="ListBullet2"/>
            </w:pPr>
            <w:r w:rsidRPr="003E1AA9">
              <w:t>Austra</w:t>
            </w:r>
            <w:r w:rsidRPr="003E1AA9">
              <w:t>lian Government Information Manual (ISM)</w:t>
            </w:r>
          </w:p>
          <w:p w:rsidR="00000000" w:rsidRPr="003E1AA9" w:rsidP="003E1AA9">
            <w:pPr>
              <w:pStyle w:val="ListBullet2"/>
            </w:pPr>
            <w:r w:rsidRPr="003E1AA9">
              <w:t>Protective Security Policy Framework</w:t>
            </w:r>
          </w:p>
          <w:p w:rsidR="00000000" w:rsidP="003E1AA9">
            <w:pPr>
              <w:pStyle w:val="ListBullet2"/>
              <w:rPr>
                <w:lang w:val="en-NZ"/>
              </w:rPr>
            </w:pPr>
            <w:r w:rsidRPr="003E1AA9">
              <w:t>case studies and workplace scenarios to capture the range of situations likely to be encountered when assessing security risks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t xml:space="preserve">Valid assessment </w:t>
            </w:r>
            <w:r w:rsidRPr="003E1AA9">
              <w:t xml:space="preserve">of this unit requires: </w:t>
            </w:r>
          </w:p>
          <w:p w:rsidR="00000000" w:rsidRPr="003E1AA9" w:rsidP="003E1AA9">
            <w:pPr>
              <w:pStyle w:val="ListBullet2"/>
            </w:pPr>
            <w:r w:rsidRPr="003E1AA9">
              <w:t>a workplace environment or one that closely resembles normal work practice and replicates the range of conditions likely to be encountered when assessing security risks, including coping with difficulties, irregularities and breakd</w:t>
            </w:r>
            <w:r w:rsidRPr="003E1AA9">
              <w:t>owns in routine</w:t>
            </w:r>
          </w:p>
          <w:p w:rsidR="00000000" w:rsidRPr="003E1AA9" w:rsidP="003E1AA9">
            <w:pPr>
              <w:pStyle w:val="ListBullet2"/>
            </w:pPr>
            <w:r w:rsidRPr="003E1AA9">
              <w:t>assessment of security risks in a range of (3 or more) contexts (or occasions, over time)</w:t>
            </w:r>
          </w:p>
          <w:p w:rsidR="00000000" w:rsidRPr="003E1AA9" w:rsidP="003E1AA9">
            <w:pPr>
              <w:pStyle w:val="BodyText"/>
            </w:pPr>
            <w:r w:rsidRPr="003E1AA9">
              <w:t>Assessment methods should reflect workplace demands, such as literacy, and the needs of particular groups, such as:</w:t>
            </w:r>
          </w:p>
          <w:p w:rsidR="00000000" w:rsidRPr="003E1AA9" w:rsidP="003E1AA9">
            <w:pPr>
              <w:pStyle w:val="ListBullet2"/>
            </w:pPr>
            <w:r w:rsidRPr="003E1AA9">
              <w:t>people with disabilities</w:t>
            </w:r>
          </w:p>
          <w:p w:rsidR="00000000" w:rsidRPr="003E1AA9" w:rsidP="003E1AA9">
            <w:pPr>
              <w:pStyle w:val="ListBullet2"/>
            </w:pPr>
            <w:r w:rsidRPr="003E1AA9">
              <w:t>people from culturally and linguistically diverse backgrounds</w:t>
            </w:r>
          </w:p>
          <w:p w:rsidR="00000000" w:rsidRPr="003E1AA9" w:rsidP="003E1AA9">
            <w:pPr>
              <w:pStyle w:val="ListBullet2"/>
            </w:pPr>
            <w:r w:rsidRPr="003E1AA9">
              <w:t>Aboriginal and Torres Strait Islander people</w:t>
            </w:r>
          </w:p>
          <w:p w:rsidR="00000000" w:rsidRPr="003E1AA9" w:rsidP="003E1AA9">
            <w:pPr>
              <w:pStyle w:val="ListBullet2"/>
            </w:pPr>
            <w:r w:rsidRPr="003E1AA9">
              <w:t>women</w:t>
            </w:r>
          </w:p>
          <w:p w:rsidR="00000000" w:rsidRPr="003E1AA9" w:rsidP="003E1AA9">
            <w:pPr>
              <w:pStyle w:val="ListBullet2"/>
            </w:pPr>
            <w:r w:rsidRPr="003E1AA9">
              <w:t>young people</w:t>
            </w:r>
          </w:p>
          <w:p w:rsidR="00000000" w:rsidRPr="003E1AA9" w:rsidP="003E1AA9">
            <w:pPr>
              <w:pStyle w:val="ListBullet2"/>
            </w:pPr>
            <w:r w:rsidRPr="003E1AA9">
              <w:t>older people</w:t>
            </w:r>
          </w:p>
          <w:p w:rsidR="00000000" w:rsidRPr="003E1AA9" w:rsidP="003E1AA9">
            <w:pPr>
              <w:pStyle w:val="ListBullet2"/>
            </w:pPr>
            <w:r w:rsidRPr="003E1AA9">
              <w:t>people in rural and remote locations</w:t>
            </w:r>
          </w:p>
          <w:p w:rsidR="00000000" w:rsidRPr="003E1AA9" w:rsidP="003E1AA9">
            <w:pPr>
              <w:pStyle w:val="BodyText"/>
            </w:pPr>
            <w:r w:rsidRPr="003E1AA9">
              <w:t>Assessment methods suitable for valid and reliable assessment of this competency</w:t>
            </w:r>
            <w:r w:rsidRPr="003E1AA9">
              <w:t xml:space="preserve"> may include, but are not limited to, a combination of 2 or more of: </w:t>
            </w:r>
          </w:p>
          <w:p w:rsidR="00000000" w:rsidRPr="003E1AA9" w:rsidP="003E1AA9">
            <w:pPr>
              <w:pStyle w:val="ListBullet2"/>
            </w:pPr>
            <w:r w:rsidRPr="003E1AA9">
              <w:t>case studies</w:t>
            </w:r>
          </w:p>
          <w:p w:rsidR="00000000" w:rsidRPr="003E1AA9" w:rsidP="003E1AA9">
            <w:pPr>
              <w:pStyle w:val="ListBullet2"/>
            </w:pPr>
            <w:r w:rsidRPr="003E1AA9">
              <w:t xml:space="preserve">portfolios </w:t>
            </w:r>
          </w:p>
          <w:p w:rsidR="00000000" w:rsidRPr="003E1AA9" w:rsidP="003E1AA9">
            <w:pPr>
              <w:pStyle w:val="ListBullet2"/>
            </w:pPr>
            <w:r w:rsidRPr="003E1AA9">
              <w:t>questioning</w:t>
            </w:r>
          </w:p>
          <w:p w:rsidR="00000000" w:rsidRPr="003E1AA9" w:rsidP="003E1AA9">
            <w:pPr>
              <w:pStyle w:val="ListBullet2"/>
            </w:pPr>
            <w:r w:rsidRPr="003E1AA9">
              <w:t>scenarios</w:t>
            </w:r>
          </w:p>
          <w:p w:rsidR="00000000" w:rsidRPr="003E1AA9" w:rsidP="003E1AA9">
            <w:pPr>
              <w:pStyle w:val="ListBullet2"/>
            </w:pPr>
            <w:r w:rsidRPr="003E1AA9">
              <w:t>simulation or role plays</w:t>
            </w:r>
          </w:p>
          <w:p w:rsidR="00000000" w:rsidP="003E1AA9">
            <w:pPr>
              <w:pStyle w:val="ListBullet2"/>
              <w:rPr>
                <w:lang w:val="en-NZ"/>
              </w:rPr>
            </w:pPr>
            <w:r w:rsidRPr="003E1AA9">
              <w:t>authenticated evidence from the workplace and/or training courses, such as risk assessment plan</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BodyText"/>
            </w:pPr>
            <w:r w:rsidRPr="003E1AA9">
              <w:t>Evidence must be gathered over time in a range of contexts to ensure the person can achieve the unit outcome and apply the competency in different situations or environments</w:t>
            </w:r>
          </w:p>
        </w:tc>
      </w:tr>
    </w:tbl>
    <w:p w:rsidR="00000000" w:rsidRPr="003E1AA9" w:rsidP="003E1AA9">
      <w:pPr>
        <w:pStyle w:val="BodyText"/>
      </w:pPr>
    </w:p>
    <w:p w:rsidR="00000000" w:rsidRPr="003E1AA9" w:rsidP="003E1AA9">
      <w:pPr>
        <w:pStyle w:val="AllowPageBreak"/>
      </w:pPr>
    </w:p>
    <w:p w:rsidR="00000000" w:rsidRPr="003E1AA9" w:rsidP="003E1AA9">
      <w:pPr>
        <w:pStyle w:val="Heading1"/>
      </w:pPr>
      <w:bookmarkStart w:id="11" w:name="O_499808"/>
      <w:bookmarkEnd w:id="11"/>
      <w:r w:rsidRPr="003E1AA9">
        <w:t>Range Statement</w:t>
      </w:r>
    </w:p>
    <w:tbl>
      <w:tblPr>
        <w:tblW w:w="9322" w:type="dxa"/>
        <w:tblLayout w:type="fixed"/>
        <w:tblCellMar>
          <w:left w:w="62" w:type="dxa"/>
          <w:right w:w="62" w:type="dxa"/>
        </w:tblCellMar>
        <w:tblLook w:val="0000"/>
      </w:tblPr>
      <w:tblGrid>
        <w:gridCol w:w="2660"/>
        <w:gridCol w:w="6662"/>
      </w:tblGrid>
      <w:tr w:rsidTr="003D55C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t>The Range Stateme</w:t>
            </w:r>
            <w:r w:rsidRPr="003E1AA9">
              <w:t>nt provides information about the context in which the unit of competency is carried out. The variables cater for differences between States and Territories and the Commonwealth, and between organisations and workplaces. They allow for different work requi</w:t>
            </w:r>
            <w:r w:rsidRPr="003E1AA9">
              <w:t xml:space="preserve">rements, work practices and knowledge. The Range Statement also provides a focus for assessment. It relates to the unit as a whole. Text in </w:t>
            </w:r>
            <w:r w:rsidRPr="003E1AA9">
              <w:rPr>
                <w:rStyle w:val="BoldandItalics"/>
              </w:rPr>
              <w:t xml:space="preserve">bold italics </w:t>
            </w:r>
            <w:r w:rsidRPr="003E1AA9">
              <w:t>in the Performance Criteria is explained here.</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Strategic context </w:t>
            </w:r>
            <w:r w:rsidRPr="003E1AA9">
              <w:t>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the relationship betwe</w:t>
            </w:r>
            <w:r w:rsidRPr="003E1AA9">
              <w:t>en the organisation and the environment in which it operates</w:t>
            </w:r>
          </w:p>
          <w:p w:rsidR="00000000" w:rsidRPr="003E1AA9" w:rsidP="003E1AA9">
            <w:pPr>
              <w:pStyle w:val="ListBullet2"/>
            </w:pPr>
            <w:r w:rsidRPr="003E1AA9">
              <w:t>the organisation's functions:</w:t>
            </w:r>
          </w:p>
          <w:p w:rsidR="00000000" w:rsidRPr="003E1AA9" w:rsidP="003E1AA9">
            <w:pPr>
              <w:pStyle w:val="ListBullet3"/>
            </w:pPr>
            <w:r w:rsidRPr="003E1AA9">
              <w:t>political</w:t>
            </w:r>
          </w:p>
          <w:p w:rsidR="00000000" w:rsidRPr="003E1AA9" w:rsidP="003E1AA9">
            <w:pPr>
              <w:pStyle w:val="ListBullet3"/>
            </w:pPr>
            <w:r w:rsidRPr="003E1AA9">
              <w:t>operational</w:t>
            </w:r>
          </w:p>
          <w:p w:rsidR="00000000" w:rsidRPr="003E1AA9" w:rsidP="003E1AA9">
            <w:pPr>
              <w:pStyle w:val="ListBullet3"/>
            </w:pPr>
            <w:r w:rsidRPr="003E1AA9">
              <w:t>financial</w:t>
            </w:r>
          </w:p>
          <w:p w:rsidR="00000000" w:rsidRPr="003E1AA9" w:rsidP="003E1AA9">
            <w:pPr>
              <w:pStyle w:val="ListBullet3"/>
            </w:pPr>
            <w:r w:rsidRPr="003E1AA9">
              <w:t>social</w:t>
            </w:r>
          </w:p>
          <w:p w:rsidR="00000000" w:rsidRPr="003E1AA9" w:rsidP="003E1AA9">
            <w:pPr>
              <w:pStyle w:val="ListBullet3"/>
            </w:pPr>
            <w:r w:rsidRPr="003E1AA9">
              <w:t>legal</w:t>
            </w:r>
          </w:p>
          <w:p w:rsidR="00000000" w:rsidRPr="003E1AA9" w:rsidP="003E1AA9">
            <w:pPr>
              <w:pStyle w:val="ListBullet3"/>
            </w:pPr>
            <w:r w:rsidRPr="003E1AA9">
              <w:t>commercial</w:t>
            </w:r>
          </w:p>
          <w:p w:rsidR="00000000" w:rsidP="003E1AA9">
            <w:pPr>
              <w:pStyle w:val="ListBullet3"/>
              <w:rPr>
                <w:lang w:val="en-NZ"/>
              </w:rPr>
            </w:pPr>
            <w:r w:rsidRPr="003E1AA9">
              <w:t>the various stakeholders and clients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Organisational context</w:t>
            </w:r>
            <w:r w:rsidRPr="003E1AA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the organisation, how it is organised, and its capabilities</w:t>
            </w:r>
          </w:p>
          <w:p w:rsidR="00000000" w:rsidRPr="003E1AA9" w:rsidP="003E1AA9">
            <w:pPr>
              <w:pStyle w:val="ListBullet2"/>
            </w:pPr>
            <w:r w:rsidRPr="003E1AA9">
              <w:t>any official resources, including physical areas and assets, that are vital to the operation of the organisation</w:t>
            </w:r>
          </w:p>
          <w:p w:rsidR="00000000" w:rsidRPr="003E1AA9" w:rsidP="003E1AA9">
            <w:pPr>
              <w:pStyle w:val="ListBullet2"/>
            </w:pPr>
            <w:r w:rsidRPr="003E1AA9">
              <w:t>key operational elements of the organisation</w:t>
            </w:r>
          </w:p>
          <w:p w:rsidR="00000000" w:rsidP="003E1AA9">
            <w:pPr>
              <w:pStyle w:val="ListBullet2"/>
              <w:rPr>
                <w:lang w:val="en-NZ"/>
              </w:rPr>
            </w:pPr>
            <w:r w:rsidRPr="003E1AA9">
              <w:t>any major projects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Legislation, polic</w:t>
            </w:r>
            <w:r w:rsidRPr="003E1AA9">
              <w:rPr>
                <w:rStyle w:val="BoldandItalics"/>
              </w:rPr>
              <w:t>ies procedures and guidelines</w:t>
            </w:r>
            <w:r w:rsidRPr="003E1AA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Commonwealth and State/Territory legislation relating to security</w:t>
            </w:r>
          </w:p>
          <w:p w:rsidR="00000000" w:rsidRPr="003E1AA9" w:rsidP="003E1AA9">
            <w:pPr>
              <w:pStyle w:val="ListBullet2"/>
            </w:pPr>
            <w:r w:rsidRPr="003E1AA9">
              <w:t>national and international codes of practice and standards</w:t>
            </w:r>
          </w:p>
          <w:p w:rsidR="00000000" w:rsidRPr="003E1AA9" w:rsidP="003E1AA9">
            <w:pPr>
              <w:pStyle w:val="ListBullet2"/>
            </w:pPr>
            <w:r w:rsidRPr="003E1AA9">
              <w:t>the organisation's policies and practices</w:t>
            </w:r>
          </w:p>
          <w:p w:rsidR="00000000" w:rsidRPr="003E1AA9" w:rsidP="003E1AA9">
            <w:pPr>
              <w:pStyle w:val="ListBullet2"/>
            </w:pPr>
            <w:r w:rsidRPr="003E1AA9">
              <w:t>jurisdictional policies</w:t>
            </w:r>
          </w:p>
          <w:p w:rsidR="00000000" w:rsidRPr="003E1AA9" w:rsidP="003E1AA9">
            <w:pPr>
              <w:pStyle w:val="ListBullet2"/>
            </w:pPr>
            <w:r w:rsidRPr="003E1AA9">
              <w:t>codes of conduct/code</w:t>
            </w:r>
            <w:r w:rsidRPr="003E1AA9">
              <w:t>s of ethics</w:t>
            </w:r>
          </w:p>
          <w:p w:rsidR="00000000" w:rsidRPr="003E1AA9" w:rsidP="003E1AA9">
            <w:pPr>
              <w:pStyle w:val="ListBullet2"/>
            </w:pPr>
            <w:r w:rsidRPr="003E1AA9">
              <w:t>AS/NZS ISO 31000:2009 Risk management - Principles and guidelines</w:t>
            </w:r>
          </w:p>
          <w:p w:rsidR="00000000" w:rsidRPr="003E1AA9" w:rsidP="003E1AA9">
            <w:pPr>
              <w:pStyle w:val="ListBullet2"/>
            </w:pPr>
            <w:r w:rsidRPr="003E1AA9">
              <w:t>Australian Government Information Security Manual (ISM)</w:t>
            </w:r>
          </w:p>
          <w:p w:rsidR="00000000" w:rsidP="003E1AA9">
            <w:pPr>
              <w:pStyle w:val="ListBullet2"/>
              <w:rPr>
                <w:lang w:val="en-NZ"/>
              </w:rPr>
            </w:pPr>
            <w:r w:rsidRPr="003E1AA9">
              <w:t>Protective Security Policy Framework</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Stakeholders </w:t>
            </w:r>
            <w:r w:rsidRPr="003E1AA9">
              <w:t>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supervisors</w:t>
            </w:r>
          </w:p>
          <w:p w:rsidR="00000000" w:rsidRPr="003E1AA9" w:rsidP="003E1AA9">
            <w:pPr>
              <w:pStyle w:val="ListBullet2"/>
            </w:pPr>
            <w:r w:rsidRPr="003E1AA9">
              <w:t>managers</w:t>
            </w:r>
          </w:p>
          <w:p w:rsidR="00000000" w:rsidRPr="003E1AA9" w:rsidP="003E1AA9">
            <w:pPr>
              <w:pStyle w:val="ListBullet2"/>
            </w:pPr>
            <w:r w:rsidRPr="003E1AA9">
              <w:t>other areas within the organisation</w:t>
            </w:r>
          </w:p>
          <w:p w:rsidR="00000000" w:rsidRPr="003E1AA9" w:rsidP="003E1AA9">
            <w:pPr>
              <w:pStyle w:val="ListBullet2"/>
            </w:pPr>
            <w:r w:rsidRPr="003E1AA9">
              <w:t>other organisations</w:t>
            </w:r>
          </w:p>
          <w:p w:rsidR="00000000" w:rsidRPr="003E1AA9" w:rsidP="003E1AA9">
            <w:pPr>
              <w:pStyle w:val="ListBullet2"/>
            </w:pPr>
            <w:r w:rsidRPr="003E1AA9">
              <w:t>government</w:t>
            </w:r>
          </w:p>
          <w:p w:rsidR="00000000" w:rsidP="003E1AA9">
            <w:pPr>
              <w:pStyle w:val="ListBullet2"/>
              <w:rPr>
                <w:lang w:val="en-NZ"/>
              </w:rPr>
            </w:pPr>
            <w:r w:rsidRPr="003E1AA9">
              <w:t>third parties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Security risk criteria</w:t>
            </w:r>
            <w:r w:rsidRPr="003E1AA9">
              <w:t xml:space="preserve"> may concern:</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vital functions and capabilities</w:t>
            </w:r>
          </w:p>
          <w:p w:rsidR="00000000" w:rsidRPr="003E1AA9" w:rsidP="003E1AA9">
            <w:pPr>
              <w:pStyle w:val="ListBullet2"/>
            </w:pPr>
            <w:r w:rsidRPr="003E1AA9">
              <w:t>the expectations of stakeholders and clients</w:t>
            </w:r>
          </w:p>
          <w:p w:rsidR="00000000" w:rsidRPr="003E1AA9" w:rsidP="003E1AA9">
            <w:pPr>
              <w:pStyle w:val="ListBullet2"/>
            </w:pPr>
            <w:r w:rsidRPr="003E1AA9">
              <w:t>the personal security of employees and clients</w:t>
            </w:r>
          </w:p>
          <w:p w:rsidR="00000000" w:rsidRPr="003E1AA9" w:rsidP="003E1AA9">
            <w:pPr>
              <w:pStyle w:val="ListBullet2"/>
            </w:pPr>
            <w:r w:rsidRPr="003E1AA9">
              <w:t>general expectations about confidentiality</w:t>
            </w:r>
          </w:p>
          <w:p w:rsidR="00000000" w:rsidP="003E1AA9">
            <w:pPr>
              <w:pStyle w:val="ListBullet2"/>
              <w:rPr>
                <w:lang w:val="en-NZ"/>
              </w:rPr>
            </w:pPr>
            <w:r w:rsidRPr="003E1AA9">
              <w:t>the availability of the organisation's official resources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Jurisdictional policies and legislation</w:t>
            </w:r>
            <w:r w:rsidRPr="003E1AA9">
              <w:t xml:space="preserve"> relating to risk criteria cover:</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expectations about the care and confidentiality of official information reflected in legislation such as Public Service Act</w:t>
            </w:r>
            <w:r w:rsidRPr="003E1AA9">
              <w:t xml:space="preserve"> 1999, Crimes Act 1914 and Criminal Code 1985</w:t>
            </w:r>
          </w:p>
          <w:p w:rsidR="00000000" w:rsidRPr="003E1AA9" w:rsidP="003E1AA9">
            <w:pPr>
              <w:pStyle w:val="ListBullet2"/>
            </w:pPr>
            <w:r w:rsidRPr="003E1AA9">
              <w:t>the availability of official information to the public (Freedom of Information Act 1982)</w:t>
            </w:r>
          </w:p>
          <w:p w:rsidR="00000000" w:rsidRPr="003E1AA9" w:rsidP="003E1AA9">
            <w:pPr>
              <w:pStyle w:val="ListBullet2"/>
            </w:pPr>
            <w:r w:rsidRPr="003E1AA9">
              <w:t>expectations about the collection, use and care of personal information (the Privacy Act 1988)</w:t>
            </w:r>
          </w:p>
          <w:p w:rsidR="00000000" w:rsidRPr="003E1AA9" w:rsidP="003E1AA9">
            <w:pPr>
              <w:pStyle w:val="ListBullet2"/>
            </w:pPr>
            <w:r w:rsidRPr="003E1AA9">
              <w:t>expectations about the wel</w:t>
            </w:r>
            <w:r w:rsidRPr="003E1AA9">
              <w:t>l-being and personal security of staff (Occupational Health and Safety [Commonwealth Employment] Act 1991)</w:t>
            </w:r>
          </w:p>
          <w:p w:rsidR="00000000" w:rsidRPr="003E1AA9" w:rsidP="003E1AA9">
            <w:pPr>
              <w:pStyle w:val="ListBullet2"/>
            </w:pPr>
            <w:r w:rsidRPr="003E1AA9">
              <w:t>the measures and procedures agencies must adopt to protect official resources from fraud (Commonwealth fraud control policy)</w:t>
            </w:r>
          </w:p>
          <w:p w:rsidR="00000000" w:rsidP="003E1AA9">
            <w:pPr>
              <w:pStyle w:val="ListBullet2"/>
              <w:rPr>
                <w:lang w:val="en-NZ"/>
              </w:rPr>
            </w:pPr>
            <w:r w:rsidRPr="003E1AA9">
              <w:t>the expectation that the</w:t>
            </w:r>
            <w:r w:rsidRPr="003E1AA9">
              <w:t>re will be a Commonwealth-wide system for providing appropriate protection to security classified information (Commonwealth protective security policy)</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Risk assessment plan </w:t>
            </w:r>
            <w:r w:rsidRPr="003E1AA9">
              <w:t>will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the strategic and organisational context of the agency (or organisa</w:t>
            </w:r>
            <w:r w:rsidRPr="003E1AA9">
              <w:t>tion, area or project under review)</w:t>
            </w:r>
          </w:p>
          <w:p w:rsidR="00000000" w:rsidRPr="003E1AA9" w:rsidP="003E1AA9">
            <w:pPr>
              <w:pStyle w:val="ListBullet2"/>
            </w:pPr>
            <w:r w:rsidRPr="003E1AA9">
              <w:t>the scope and objectives of the review</w:t>
            </w:r>
          </w:p>
          <w:p w:rsidR="00000000" w:rsidRPr="003E1AA9" w:rsidP="003E1AA9">
            <w:pPr>
              <w:pStyle w:val="ListBullet2"/>
            </w:pPr>
            <w:r w:rsidRPr="003E1AA9">
              <w:t>information and resources required to complete the review</w:t>
            </w:r>
          </w:p>
          <w:p w:rsidR="00000000" w:rsidP="003E1AA9">
            <w:pPr>
              <w:pStyle w:val="ListBullet2"/>
              <w:rPr>
                <w:lang w:val="en-NZ"/>
              </w:rPr>
            </w:pPr>
            <w:r w:rsidRPr="003E1AA9">
              <w:t>the security risk criteria</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Information </w:t>
            </w:r>
            <w:r w:rsidRPr="003E1AA9">
              <w:t>may be: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hardcopy</w:t>
            </w:r>
          </w:p>
          <w:p w:rsidR="00000000" w:rsidRPr="003E1AA9" w:rsidP="003E1AA9">
            <w:pPr>
              <w:pStyle w:val="ListBullet2"/>
            </w:pPr>
            <w:r w:rsidRPr="003E1AA9">
              <w:t>audio-visual</w:t>
            </w:r>
          </w:p>
          <w:p w:rsidR="00000000" w:rsidP="003E1AA9">
            <w:pPr>
              <w:pStyle w:val="ListBullet2"/>
              <w:rPr>
                <w:lang w:val="en-NZ"/>
              </w:rPr>
            </w:pPr>
            <w:r w:rsidRPr="003E1AA9">
              <w:t>electronic</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Sources of threat</w:t>
            </w:r>
            <w:r w:rsidRPr="003E1AA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 xml:space="preserve">people </w:t>
            </w:r>
          </w:p>
          <w:p w:rsidR="00000000" w:rsidRPr="003E1AA9" w:rsidP="003E1AA9">
            <w:pPr>
              <w:pStyle w:val="ListBullet2"/>
            </w:pPr>
            <w:r w:rsidRPr="003E1AA9">
              <w:t>systems</w:t>
            </w:r>
          </w:p>
          <w:p w:rsidR="00000000" w:rsidRPr="003E1AA9" w:rsidP="003E1AA9">
            <w:pPr>
              <w:pStyle w:val="ListBullet2"/>
            </w:pPr>
            <w:r w:rsidRPr="003E1AA9">
              <w:t>environmental</w:t>
            </w:r>
          </w:p>
          <w:p w:rsidR="00000000" w:rsidRPr="003E1AA9" w:rsidP="003E1AA9">
            <w:pPr>
              <w:pStyle w:val="ListBullet2"/>
            </w:pPr>
            <w:r w:rsidRPr="003E1AA9">
              <w:t>financial</w:t>
            </w:r>
          </w:p>
          <w:p w:rsidR="00000000" w:rsidRPr="003E1AA9" w:rsidP="003E1AA9">
            <w:pPr>
              <w:pStyle w:val="ListBullet2"/>
            </w:pPr>
            <w:r w:rsidRPr="003E1AA9">
              <w:t>natural</w:t>
            </w:r>
          </w:p>
          <w:p w:rsidR="00000000" w:rsidRPr="003E1AA9" w:rsidP="003E1AA9">
            <w:pPr>
              <w:pStyle w:val="ListBullet2"/>
            </w:pPr>
            <w:r w:rsidRPr="003E1AA9">
              <w:t xml:space="preserve">conflict </w:t>
            </w:r>
          </w:p>
          <w:p w:rsidR="00000000" w:rsidRPr="003E1AA9" w:rsidP="003E1AA9">
            <w:pPr>
              <w:pStyle w:val="ListBullet2"/>
            </w:pPr>
            <w:r w:rsidRPr="003E1AA9">
              <w:t>terrorism</w:t>
            </w:r>
          </w:p>
          <w:p w:rsidR="00000000" w:rsidRPr="003E1AA9" w:rsidP="003E1AA9">
            <w:pPr>
              <w:pStyle w:val="ListBullet2"/>
            </w:pPr>
            <w:r w:rsidRPr="003E1AA9">
              <w:t>political circumstances</w:t>
            </w:r>
          </w:p>
          <w:p w:rsidR="00000000" w:rsidRPr="003E1AA9" w:rsidP="003E1AA9">
            <w:pPr>
              <w:pStyle w:val="ListBullet2"/>
            </w:pPr>
            <w:r w:rsidRPr="003E1AA9">
              <w:t>internal</w:t>
            </w:r>
          </w:p>
          <w:p w:rsidR="00000000" w:rsidRPr="003E1AA9" w:rsidP="003E1AA9">
            <w:pPr>
              <w:pStyle w:val="ListBullet2"/>
            </w:pPr>
            <w:r w:rsidRPr="003E1AA9">
              <w:t>external</w:t>
            </w:r>
          </w:p>
          <w:p w:rsidR="00000000" w:rsidRPr="003E1AA9" w:rsidP="003E1AA9">
            <w:pPr>
              <w:pStyle w:val="ListBullet2"/>
            </w:pPr>
            <w:r w:rsidRPr="003E1AA9">
              <w:t>local</w:t>
            </w:r>
          </w:p>
          <w:p w:rsidR="00000000" w:rsidRPr="003E1AA9" w:rsidP="003E1AA9">
            <w:pPr>
              <w:pStyle w:val="ListBullet2"/>
            </w:pPr>
            <w:r w:rsidRPr="003E1AA9">
              <w:t>national</w:t>
            </w:r>
          </w:p>
          <w:p w:rsidR="00000000" w:rsidP="003E1AA9">
            <w:pPr>
              <w:pStyle w:val="ListBullet2"/>
              <w:rPr>
                <w:lang w:val="en-NZ"/>
              </w:rPr>
            </w:pPr>
            <w:r w:rsidRPr="003E1AA9">
              <w:t>international</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Resources </w:t>
            </w:r>
            <w:r w:rsidRPr="003E1AA9">
              <w:t>may be: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agency owned</w:t>
            </w:r>
          </w:p>
          <w:p w:rsidR="00000000" w:rsidRPr="003E1AA9" w:rsidP="003E1AA9">
            <w:pPr>
              <w:pStyle w:val="ListBullet2"/>
            </w:pPr>
            <w:r w:rsidRPr="003E1AA9">
              <w:t>contractor owned</w:t>
            </w:r>
          </w:p>
          <w:p w:rsidR="00000000" w:rsidRPr="003E1AA9" w:rsidP="003E1AA9">
            <w:pPr>
              <w:pStyle w:val="ListBullet2"/>
            </w:pPr>
            <w:r w:rsidRPr="003E1AA9">
              <w:t>hired</w:t>
            </w:r>
          </w:p>
          <w:p w:rsidR="00000000" w:rsidRPr="003E1AA9" w:rsidP="003E1AA9">
            <w:pPr>
              <w:pStyle w:val="ListBullet2"/>
            </w:pPr>
            <w:r w:rsidRPr="003E1AA9">
              <w:t>leased</w:t>
            </w:r>
          </w:p>
          <w:p w:rsidR="00000000" w:rsidP="003E1AA9">
            <w:pPr>
              <w:pStyle w:val="ListBullet2"/>
              <w:rPr>
                <w:lang w:val="en-NZ"/>
              </w:rPr>
            </w:pPr>
            <w:r w:rsidRPr="003E1AA9">
              <w:t>owned by third parties</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Threats/potential threats</w:t>
            </w:r>
            <w:r w:rsidRPr="003E1AA9">
              <w:t xml:space="preserve"> may be: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internal</w:t>
            </w:r>
          </w:p>
          <w:p w:rsidR="00000000" w:rsidRPr="003E1AA9" w:rsidP="003E1AA9">
            <w:pPr>
              <w:pStyle w:val="ListBullet2"/>
            </w:pPr>
            <w:r w:rsidRPr="003E1AA9">
              <w:t>external</w:t>
            </w:r>
          </w:p>
          <w:p w:rsidR="00000000" w:rsidRPr="003E1AA9" w:rsidP="003E1AA9">
            <w:pPr>
              <w:pStyle w:val="ListBullet2"/>
            </w:pPr>
            <w:r w:rsidRPr="003E1AA9">
              <w:t>national</w:t>
            </w:r>
          </w:p>
          <w:p w:rsidR="00000000" w:rsidRPr="003E1AA9" w:rsidP="003E1AA9">
            <w:pPr>
              <w:pStyle w:val="ListBullet2"/>
            </w:pPr>
            <w:r w:rsidRPr="003E1AA9">
              <w:t>international</w:t>
            </w:r>
          </w:p>
          <w:p w:rsidR="00000000" w:rsidRPr="003E1AA9" w:rsidP="003E1AA9">
            <w:pPr>
              <w:pStyle w:val="ListBullet2"/>
            </w:pPr>
            <w:r w:rsidRPr="003E1AA9">
              <w:t>real</w:t>
            </w:r>
          </w:p>
          <w:p w:rsidR="00000000" w:rsidRPr="003E1AA9" w:rsidP="003E1AA9">
            <w:pPr>
              <w:pStyle w:val="ListBullet2"/>
            </w:pPr>
            <w:r w:rsidRPr="003E1AA9">
              <w:t>perceived</w:t>
            </w:r>
          </w:p>
          <w:p w:rsidR="00000000" w:rsidRPr="003E1AA9" w:rsidP="003E1AA9">
            <w:pPr>
              <w:pStyle w:val="ListBullet2"/>
            </w:pPr>
            <w:r w:rsidRPr="003E1AA9">
              <w:t xml:space="preserve">to: </w:t>
            </w:r>
          </w:p>
          <w:p w:rsidR="00000000" w:rsidRPr="003E1AA9" w:rsidP="003E1AA9">
            <w:pPr>
              <w:pStyle w:val="ListBullet3"/>
            </w:pPr>
            <w:r w:rsidRPr="003E1AA9">
              <w:t>people</w:t>
            </w:r>
          </w:p>
          <w:p w:rsidR="00000000" w:rsidRPr="003E1AA9" w:rsidP="003E1AA9">
            <w:pPr>
              <w:pStyle w:val="ListBullet3"/>
            </w:pPr>
            <w:r w:rsidRPr="003E1AA9">
              <w:t>property</w:t>
            </w:r>
          </w:p>
          <w:p w:rsidR="00000000" w:rsidRPr="003E1AA9" w:rsidP="003E1AA9">
            <w:pPr>
              <w:pStyle w:val="ListBullet3"/>
            </w:pPr>
            <w:r w:rsidRPr="003E1AA9">
              <w:t>information</w:t>
            </w:r>
          </w:p>
          <w:p w:rsidR="00000000" w:rsidRPr="003E1AA9" w:rsidP="003E1AA9">
            <w:pPr>
              <w:pStyle w:val="ListBullet3"/>
            </w:pPr>
            <w:r w:rsidRPr="003E1AA9">
              <w:t>reputation</w:t>
            </w:r>
          </w:p>
          <w:p w:rsidR="00000000" w:rsidRPr="003E1AA9" w:rsidP="003E1AA9">
            <w:pPr>
              <w:pStyle w:val="ListBullet3"/>
            </w:pPr>
            <w:r w:rsidRPr="003E1AA9">
              <w:t>criminal</w:t>
            </w:r>
          </w:p>
          <w:p w:rsidR="00000000" w:rsidRPr="003E1AA9" w:rsidP="003E1AA9">
            <w:pPr>
              <w:pStyle w:val="ListBullet3"/>
            </w:pPr>
            <w:r w:rsidRPr="003E1AA9">
              <w:t>terrorist</w:t>
            </w:r>
          </w:p>
          <w:p w:rsidR="00000000" w:rsidRPr="003E1AA9" w:rsidP="003E1AA9">
            <w:pPr>
              <w:pStyle w:val="ListBullet2"/>
            </w:pPr>
            <w:r w:rsidRPr="003E1AA9">
              <w:t>from foreign intelligence services</w:t>
            </w:r>
          </w:p>
          <w:p w:rsidR="00000000" w:rsidRPr="003E1AA9" w:rsidP="003E1AA9">
            <w:pPr>
              <w:pStyle w:val="ListBullet2"/>
            </w:pPr>
            <w:r w:rsidRPr="003E1AA9">
              <w:t>from commercial/industrial competitors</w:t>
            </w:r>
          </w:p>
          <w:p w:rsidR="00000000" w:rsidP="003E1AA9">
            <w:pPr>
              <w:pStyle w:val="ListBullet2"/>
              <w:rPr>
                <w:lang w:val="en-NZ"/>
              </w:rPr>
            </w:pPr>
            <w:r w:rsidRPr="003E1AA9">
              <w:t>from malicious people</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Threat assessment</w:t>
            </w:r>
            <w:r w:rsidRPr="003E1AA9">
              <w:t>:</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is used to provide information about people and events that may pose a risk to a particular resource or function</w:t>
            </w:r>
          </w:p>
          <w:p w:rsidR="00000000" w:rsidRPr="003E1AA9" w:rsidP="003E1AA9">
            <w:pPr>
              <w:pStyle w:val="ListBullet2"/>
            </w:pPr>
            <w:r w:rsidRPr="003E1AA9">
              <w:t>evaluates and discusses the likelihood of a threat being realised</w:t>
            </w:r>
          </w:p>
          <w:p w:rsidR="00000000" w:rsidP="003E1AA9">
            <w:pPr>
              <w:pStyle w:val="ListBullet2"/>
              <w:rPr>
                <w:lang w:val="en-NZ"/>
              </w:rPr>
            </w:pPr>
            <w:r w:rsidRPr="003E1AA9">
              <w:t>determines the potential of a threat to actually cause harm</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Risk exposure</w:t>
            </w:r>
            <w:r w:rsidRPr="003E1AA9">
              <w:t xml:space="preserve"> is</w:t>
            </w:r>
            <w:r w:rsidRPr="003E1AA9">
              <w:t>:</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a measure of how open a resource is to harm, or</w:t>
            </w:r>
          </w:p>
          <w:p w:rsidR="00000000" w:rsidP="003E1AA9">
            <w:pPr>
              <w:pStyle w:val="ListBullet2"/>
              <w:rPr>
                <w:lang w:val="en-NZ"/>
              </w:rPr>
            </w:pPr>
            <w:r w:rsidRPr="003E1AA9">
              <w:t>the potential of a resource to attract harm</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Risk assessment techniques</w:t>
            </w:r>
            <w:r w:rsidRPr="003E1AA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qualitative and/or semi-quantitative and/or quantitative</w:t>
            </w:r>
          </w:p>
          <w:p w:rsidR="00000000" w:rsidRPr="003E1AA9" w:rsidP="003E1AA9">
            <w:pPr>
              <w:pStyle w:val="ListBullet2"/>
            </w:pPr>
            <w:r w:rsidRPr="003E1AA9">
              <w:t>brainstorming</w:t>
            </w:r>
          </w:p>
          <w:p w:rsidR="00000000" w:rsidRPr="003E1AA9" w:rsidP="003E1AA9">
            <w:pPr>
              <w:pStyle w:val="ListBullet2"/>
            </w:pPr>
            <w:r w:rsidRPr="003E1AA9">
              <w:t>focus groups</w:t>
            </w:r>
          </w:p>
          <w:p w:rsidR="00000000" w:rsidRPr="003E1AA9" w:rsidP="003E1AA9">
            <w:pPr>
              <w:pStyle w:val="ListBullet2"/>
            </w:pPr>
            <w:r w:rsidRPr="003E1AA9">
              <w:t>expert judgment</w:t>
            </w:r>
          </w:p>
          <w:p w:rsidR="00000000" w:rsidRPr="003E1AA9" w:rsidP="003E1AA9">
            <w:pPr>
              <w:pStyle w:val="ListBullet2"/>
            </w:pPr>
            <w:r w:rsidRPr="003E1AA9">
              <w:t>strengths, weaknesses, opportunities and threats (SWOT) analysis</w:t>
            </w:r>
          </w:p>
          <w:p w:rsidR="00000000" w:rsidRPr="003E1AA9" w:rsidP="003E1AA9">
            <w:pPr>
              <w:pStyle w:val="ListBullet2"/>
            </w:pPr>
            <w:r w:rsidRPr="003E1AA9">
              <w:t>analysis of risk registers</w:t>
            </w:r>
          </w:p>
          <w:p w:rsidR="00000000" w:rsidRPr="003E1AA9" w:rsidP="003E1AA9">
            <w:pPr>
              <w:pStyle w:val="ListBullet2"/>
            </w:pPr>
            <w:r w:rsidRPr="003E1AA9">
              <w:t>examination of available data such as audit results, incident reports</w:t>
            </w:r>
          </w:p>
          <w:p w:rsidR="00000000" w:rsidRPr="003E1AA9" w:rsidP="003E1AA9">
            <w:pPr>
              <w:pStyle w:val="ListBullet2"/>
            </w:pPr>
            <w:r w:rsidRPr="003E1AA9">
              <w:t>nomogram</w:t>
            </w:r>
          </w:p>
          <w:p w:rsidR="00000000" w:rsidRPr="003E1AA9" w:rsidP="003E1AA9">
            <w:pPr>
              <w:pStyle w:val="ListBullet2"/>
            </w:pPr>
            <w:r w:rsidRPr="003E1AA9">
              <w:t>risk matrix</w:t>
            </w:r>
          </w:p>
          <w:p w:rsidR="00000000" w:rsidRPr="003E1AA9" w:rsidP="003E1AA9">
            <w:pPr>
              <w:pStyle w:val="ListBullet2"/>
            </w:pPr>
            <w:r w:rsidRPr="003E1AA9">
              <w:t>scenario analysis</w:t>
            </w:r>
          </w:p>
          <w:p w:rsidR="00000000" w:rsidP="003E1AA9">
            <w:pPr>
              <w:pStyle w:val="ListBullet2"/>
              <w:rPr>
                <w:lang w:val="en-NZ"/>
              </w:rPr>
            </w:pPr>
            <w:r w:rsidRPr="003E1AA9">
              <w:t>business continuity planning</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Consequences </w:t>
            </w:r>
            <w:r w:rsidRPr="003E1AA9">
              <w:t>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degree of harm</w:t>
            </w:r>
          </w:p>
          <w:p w:rsidR="00000000" w:rsidRPr="003E1AA9" w:rsidP="003E1AA9">
            <w:pPr>
              <w:pStyle w:val="ListBullet2"/>
            </w:pPr>
            <w:r w:rsidRPr="003E1AA9">
              <w:t>who would be affected and how</w:t>
            </w:r>
          </w:p>
          <w:p w:rsidR="00000000" w:rsidRPr="003E1AA9" w:rsidP="003E1AA9">
            <w:pPr>
              <w:pStyle w:val="ListBullet2"/>
            </w:pPr>
            <w:r w:rsidRPr="003E1AA9">
              <w:t>how much disruption would occur</w:t>
            </w:r>
          </w:p>
          <w:p w:rsidR="00000000" w:rsidRPr="003E1AA9" w:rsidP="003E1AA9">
            <w:pPr>
              <w:pStyle w:val="ListBullet2"/>
            </w:pPr>
            <w:r w:rsidRPr="003E1AA9">
              <w:t>damage to:</w:t>
            </w:r>
          </w:p>
          <w:p w:rsidR="00000000" w:rsidRPr="003E1AA9" w:rsidP="003E1AA9">
            <w:pPr>
              <w:pStyle w:val="ListBullet3"/>
            </w:pPr>
            <w:r w:rsidRPr="003E1AA9">
              <w:t>the organisation</w:t>
            </w:r>
          </w:p>
          <w:p w:rsidR="00000000" w:rsidRPr="003E1AA9" w:rsidP="003E1AA9">
            <w:pPr>
              <w:pStyle w:val="ListBullet3"/>
            </w:pPr>
            <w:r w:rsidRPr="003E1AA9">
              <w:t>other organisations</w:t>
            </w:r>
          </w:p>
          <w:p w:rsidR="00000000" w:rsidRPr="003E1AA9" w:rsidP="003E1AA9">
            <w:pPr>
              <w:pStyle w:val="ListBullet3"/>
            </w:pPr>
            <w:r w:rsidRPr="003E1AA9">
              <w:t>government</w:t>
            </w:r>
          </w:p>
          <w:p w:rsidR="00000000" w:rsidRPr="003E1AA9" w:rsidP="003E1AA9">
            <w:pPr>
              <w:pStyle w:val="ListBullet3"/>
            </w:pPr>
            <w:r w:rsidRPr="003E1AA9">
              <w:t>third parties</w:t>
            </w:r>
          </w:p>
          <w:p w:rsidR="00000000" w:rsidP="003E1AA9">
            <w:pPr>
              <w:pStyle w:val="ListBullet2"/>
              <w:rPr>
                <w:lang w:val="en-NZ"/>
              </w:rPr>
            </w:pPr>
            <w:r w:rsidRPr="003E1AA9">
              <w:t>critical lead time for recovery</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Critical lead time for recovery</w:t>
            </w:r>
            <w:r w:rsidRPr="003E1AA9">
              <w:t xml:space="preserve"> is</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the period of time a function is compromised</w:t>
            </w:r>
          </w:p>
          <w:p w:rsidR="00000000" w:rsidP="003E1AA9">
            <w:pPr>
              <w:pStyle w:val="ListBullet2"/>
              <w:rPr>
                <w:lang w:val="en-NZ"/>
              </w:rPr>
            </w:pPr>
            <w:r w:rsidRPr="003E1AA9">
              <w:t>critical if the function is vital to the organisation</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Likelihood </w:t>
            </w:r>
            <w:r w:rsidRPr="003E1AA9">
              <w:t>of risk may be determined through analysis of:</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current controls to deter, detect or prevent harm</w:t>
            </w:r>
          </w:p>
          <w:p w:rsidR="00000000" w:rsidRPr="003E1AA9" w:rsidP="003E1AA9">
            <w:pPr>
              <w:pStyle w:val="ListBullet2"/>
            </w:pPr>
            <w:r w:rsidRPr="003E1AA9">
              <w:t>effectiveness of current controls</w:t>
            </w:r>
          </w:p>
          <w:p w:rsidR="00000000" w:rsidRPr="003E1AA9" w:rsidP="003E1AA9">
            <w:pPr>
              <w:pStyle w:val="ListBullet2"/>
            </w:pPr>
            <w:r w:rsidRPr="003E1AA9">
              <w:t>level of expo</w:t>
            </w:r>
            <w:r w:rsidRPr="003E1AA9">
              <w:t>sure</w:t>
            </w:r>
          </w:p>
          <w:p w:rsidR="00000000" w:rsidRPr="003E1AA9" w:rsidP="003E1AA9">
            <w:pPr>
              <w:pStyle w:val="ListBullet2"/>
            </w:pPr>
            <w:r w:rsidRPr="003E1AA9">
              <w:t>threat assessment</w:t>
            </w:r>
          </w:p>
          <w:p w:rsidR="00000000" w:rsidRPr="003E1AA9" w:rsidP="003E1AA9">
            <w:pPr>
              <w:pStyle w:val="ListBullet2"/>
            </w:pPr>
            <w:r w:rsidRPr="003E1AA9">
              <w:t>determination of threat source/s</w:t>
            </w:r>
          </w:p>
          <w:p w:rsidR="00000000" w:rsidRPr="003E1AA9" w:rsidP="003E1AA9">
            <w:pPr>
              <w:pStyle w:val="ListBullet2"/>
            </w:pPr>
            <w:r w:rsidRPr="003E1AA9">
              <w:t>competence/capability of threat source/s</w:t>
            </w:r>
          </w:p>
          <w:p w:rsidR="00000000" w:rsidP="003E1AA9">
            <w:pPr>
              <w:pStyle w:val="ListBullet2"/>
              <w:rPr>
                <w:lang w:val="en-NZ"/>
              </w:rPr>
            </w:pPr>
            <w:r w:rsidRPr="003E1AA9">
              <w:t>opportunity for threat to occur</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Risk ratings </w:t>
            </w:r>
            <w:r w:rsidRPr="003E1AA9">
              <w:t>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severe</w:t>
            </w:r>
          </w:p>
          <w:p w:rsidR="00000000" w:rsidRPr="003E1AA9" w:rsidP="003E1AA9">
            <w:pPr>
              <w:pStyle w:val="ListBullet2"/>
            </w:pPr>
            <w:r w:rsidRPr="003E1AA9">
              <w:t>high</w:t>
            </w:r>
          </w:p>
          <w:p w:rsidR="00000000" w:rsidRPr="003E1AA9" w:rsidP="003E1AA9">
            <w:pPr>
              <w:pStyle w:val="ListBullet2"/>
            </w:pPr>
            <w:r w:rsidRPr="003E1AA9">
              <w:t>major</w:t>
            </w:r>
          </w:p>
          <w:p w:rsidR="00000000" w:rsidRPr="003E1AA9" w:rsidP="003E1AA9">
            <w:pPr>
              <w:pStyle w:val="ListBullet2"/>
            </w:pPr>
            <w:r w:rsidRPr="003E1AA9">
              <w:t>significant</w:t>
            </w:r>
          </w:p>
          <w:p w:rsidR="00000000" w:rsidRPr="003E1AA9" w:rsidP="003E1AA9">
            <w:pPr>
              <w:pStyle w:val="ListBullet2"/>
            </w:pPr>
            <w:r w:rsidRPr="003E1AA9">
              <w:t>moderate</w:t>
            </w:r>
          </w:p>
          <w:p w:rsidR="00000000" w:rsidRPr="003E1AA9" w:rsidP="003E1AA9">
            <w:pPr>
              <w:pStyle w:val="ListBullet2"/>
            </w:pPr>
            <w:r w:rsidRPr="003E1AA9">
              <w:t>low</w:t>
            </w:r>
          </w:p>
          <w:p w:rsidR="00000000" w:rsidP="003E1AA9">
            <w:pPr>
              <w:pStyle w:val="ListBullet2"/>
              <w:rPr>
                <w:lang w:val="en-NZ"/>
              </w:rPr>
            </w:pPr>
            <w:r w:rsidRPr="003E1AA9">
              <w:t>trivial</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Format for risk documentation</w:t>
            </w:r>
            <w:r w:rsidRPr="003E1AA9">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2"/>
            </w:pPr>
            <w:r w:rsidRPr="003E1AA9">
              <w:t>matrix</w:t>
            </w:r>
          </w:p>
          <w:p w:rsidR="00000000" w:rsidRPr="003E1AA9" w:rsidP="003E1AA9">
            <w:pPr>
              <w:pStyle w:val="ListBullet2"/>
            </w:pPr>
            <w:r w:rsidRPr="003E1AA9">
              <w:t>table</w:t>
            </w:r>
          </w:p>
          <w:p w:rsidR="00000000" w:rsidRPr="003E1AA9" w:rsidP="003E1AA9">
            <w:pPr>
              <w:pStyle w:val="ListBullet2"/>
            </w:pPr>
            <w:r w:rsidRPr="003E1AA9">
              <w:t>graphs</w:t>
            </w:r>
          </w:p>
          <w:p w:rsidR="00000000" w:rsidRPr="003E1AA9" w:rsidP="003E1AA9">
            <w:pPr>
              <w:pStyle w:val="ListBullet2"/>
            </w:pPr>
            <w:r w:rsidRPr="003E1AA9">
              <w:t>graphics</w:t>
            </w:r>
          </w:p>
          <w:p w:rsidR="00000000" w:rsidP="003E1AA9">
            <w:pPr>
              <w:pStyle w:val="ListBullet2"/>
              <w:rPr>
                <w:lang w:val="en-NZ"/>
              </w:rPr>
            </w:pPr>
            <w:r w:rsidRPr="003E1AA9">
              <w:t>computer modelling</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 xml:space="preserve">Acceptable risks </w:t>
            </w:r>
            <w:r w:rsidRPr="003E1AA9">
              <w:t>are:</w:t>
            </w:r>
          </w:p>
        </w:tc>
        <w:tc>
          <w:tcPr>
            <w:tcW w:w="6662" w:type="dxa"/>
            <w:tcBorders>
              <w:top w:val="nil"/>
              <w:left w:val="nil"/>
              <w:bottom w:val="nil"/>
              <w:right w:val="nil"/>
            </w:tcBorders>
            <w:tcMar>
              <w:top w:w="0" w:type="dxa"/>
              <w:left w:w="62" w:type="dxa"/>
              <w:bottom w:w="0" w:type="dxa"/>
              <w:right w:w="62" w:type="dxa"/>
            </w:tcMar>
          </w:tcPr>
          <w:p w:rsidR="00000000" w:rsidP="003E1AA9">
            <w:pPr>
              <w:pStyle w:val="ListBullet2"/>
              <w:rPr>
                <w:lang w:val="en-NZ"/>
              </w:rPr>
            </w:pPr>
            <w:r w:rsidRPr="003E1AA9">
              <w:t xml:space="preserve">those which an organisation has determined have the least potential for harm </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Unacceptable risks</w:t>
            </w:r>
            <w:r w:rsidRPr="003E1AA9">
              <w:t xml:space="preserve"> are:</w:t>
            </w:r>
          </w:p>
        </w:tc>
        <w:tc>
          <w:tcPr>
            <w:tcW w:w="6662" w:type="dxa"/>
            <w:tcBorders>
              <w:top w:val="nil"/>
              <w:left w:val="nil"/>
              <w:bottom w:val="nil"/>
              <w:right w:val="nil"/>
            </w:tcBorders>
            <w:tcMar>
              <w:top w:w="0" w:type="dxa"/>
              <w:left w:w="62" w:type="dxa"/>
              <w:bottom w:w="0" w:type="dxa"/>
              <w:right w:w="62" w:type="dxa"/>
            </w:tcMar>
          </w:tcPr>
          <w:p w:rsidR="00000000" w:rsidP="003E1AA9">
            <w:pPr>
              <w:pStyle w:val="ListBullet2"/>
              <w:rPr>
                <w:lang w:val="en-NZ"/>
              </w:rPr>
            </w:pPr>
            <w:r w:rsidRPr="003E1AA9">
              <w:t>those which an organisation has determined have the most potential for harm</w:t>
            </w:r>
          </w:p>
        </w:tc>
      </w:tr>
      <w:tr w:rsidTr="003D55C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E1AA9">
            <w:pPr>
              <w:pStyle w:val="BodyText"/>
              <w:rPr>
                <w:lang w:val="en-NZ"/>
              </w:rPr>
            </w:pPr>
            <w:r w:rsidRPr="003E1AA9">
              <w:rPr>
                <w:rStyle w:val="BoldandItalics"/>
              </w:rPr>
              <w:t>Residual risks</w:t>
            </w:r>
            <w:r w:rsidRPr="003E1AA9">
              <w:t xml:space="preserve"> are:</w:t>
            </w:r>
          </w:p>
        </w:tc>
        <w:tc>
          <w:tcPr>
            <w:tcW w:w="6662" w:type="dxa"/>
            <w:tcBorders>
              <w:top w:val="nil"/>
              <w:left w:val="nil"/>
              <w:bottom w:val="nil"/>
              <w:right w:val="nil"/>
            </w:tcBorders>
            <w:tcMar>
              <w:top w:w="0" w:type="dxa"/>
              <w:left w:w="62" w:type="dxa"/>
              <w:bottom w:w="0" w:type="dxa"/>
              <w:right w:w="62" w:type="dxa"/>
            </w:tcMar>
          </w:tcPr>
          <w:p w:rsidR="00000000" w:rsidRPr="003E1AA9" w:rsidP="003E1AA9">
            <w:pPr>
              <w:pStyle w:val="ListBullet"/>
            </w:pPr>
            <w:r w:rsidRPr="003E1AA9">
              <w:t>those which cannot be treated but still need to be documented</w:t>
            </w:r>
          </w:p>
        </w:tc>
      </w:tr>
    </w:tbl>
    <w:p w:rsidR="003D55C1" w:rsidP="003E1AA9">
      <w:pPr>
        <w:pStyle w:val="BodyText"/>
      </w:pPr>
    </w:p>
    <w:p w:rsidR="003D55C1" w:rsidP="003E1AA9">
      <w:pPr>
        <w:pStyle w:val="BodyText"/>
      </w:pPr>
    </w:p>
    <w:p w:rsidR="00000000" w:rsidRPr="003E1AA9" w:rsidP="003E1AA9">
      <w:pPr>
        <w:pStyle w:val="Heading1"/>
      </w:pPr>
      <w:bookmarkStart w:id="12" w:name="O_499807"/>
      <w:bookmarkEnd w:id="12"/>
      <w:r w:rsidRPr="003E1AA9">
        <w:t>Unit Sector(s)</w:t>
      </w:r>
    </w:p>
    <w:p w:rsidR="00000000" w:rsidRPr="003E1AA9" w:rsidP="003E1AA9">
      <w:pPr>
        <w:pStyle w:val="BodyText"/>
      </w:pPr>
      <w:r w:rsidRPr="003E1AA9">
        <w:t>Not applicable.</w:t>
      </w:r>
    </w:p>
    <w:p w:rsidR="00000000" w:rsidRPr="003E1AA9" w:rsidP="003E1AA9">
      <w:pPr>
        <w:pStyle w:val="AllowPageBreak"/>
      </w:pPr>
    </w:p>
    <w:p w:rsidR="00000000" w:rsidRPr="003E1AA9" w:rsidP="003E1AA9">
      <w:pPr>
        <w:pStyle w:val="Heading1"/>
      </w:pPr>
      <w:bookmarkStart w:id="13" w:name="O_499818"/>
      <w:bookmarkEnd w:id="13"/>
      <w:r w:rsidRPr="003E1AA9">
        <w:t>Competency field</w:t>
      </w:r>
    </w:p>
    <w:p w:rsidR="00000000" w:rsidRPr="003E1AA9" w:rsidP="003E1AA9">
      <w:pPr>
        <w:pStyle w:val="BodyText"/>
      </w:pPr>
      <w:r w:rsidRPr="003E1AA9">
        <w:t>Government Security Management.</w:t>
      </w:r>
    </w:p>
    <w:p w:rsidR="00000000" w:rsidRPr="003E1AA9" w:rsidP="003E1AA9"/>
    <w:sectPr w:rsidSect="003E1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5C1" w:rsidP="003D5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C1" w:rsidP="003E1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D55C1" w:rsidP="003E1A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D55C1" w:rsidP="003E1A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9" w:rsidRPr="003D55C1" w:rsidP="003D55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C1" w:rsidRPr="002D2AF8" w:rsidP="003E1AA9">
    <w:pPr>
      <w:pStyle w:val="Header"/>
      <w:framePr w:wrap="around"/>
    </w:pPr>
    <w:r>
      <w:fldChar w:fldCharType="begin"/>
    </w:r>
    <w:r>
      <w:instrText xml:space="preserve"> TITLE   \* MERGEFORMAT </w:instrText>
    </w:r>
    <w:r>
      <w:fldChar w:fldCharType="separate"/>
    </w:r>
    <w:r>
      <w:t>PSPSEC501A Assess security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3D55C1" w:rsidP="003E1A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29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7C21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C44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A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AA9"/>
    <w:pPr>
      <w:spacing w:before="360" w:after="60"/>
      <w:outlineLvl w:val="0"/>
    </w:pPr>
    <w:rPr>
      <w:sz w:val="32"/>
    </w:rPr>
  </w:style>
  <w:style w:type="paragraph" w:styleId="Heading2">
    <w:name w:val="heading 2"/>
    <w:basedOn w:val="HeadingBase"/>
    <w:next w:val="BodyText"/>
    <w:link w:val="Heading2Char"/>
    <w:qFormat/>
    <w:rsid w:val="003E1AA9"/>
    <w:pPr>
      <w:keepLines/>
      <w:spacing w:before="240" w:after="120"/>
      <w:outlineLvl w:val="1"/>
    </w:pPr>
    <w:rPr>
      <w:sz w:val="28"/>
      <w:szCs w:val="40"/>
    </w:rPr>
  </w:style>
  <w:style w:type="paragraph" w:styleId="Heading3">
    <w:name w:val="heading 3"/>
    <w:basedOn w:val="HeadingBase"/>
    <w:next w:val="BodyText"/>
    <w:link w:val="Heading3Char"/>
    <w:qFormat/>
    <w:rsid w:val="003E1AA9"/>
    <w:pPr>
      <w:spacing w:before="180" w:after="120"/>
      <w:outlineLvl w:val="2"/>
    </w:pPr>
    <w:rPr>
      <w:spacing w:val="-10"/>
      <w:kern w:val="32"/>
    </w:rPr>
  </w:style>
  <w:style w:type="paragraph" w:styleId="Heading4">
    <w:name w:val="heading 4"/>
    <w:basedOn w:val="HeadingBase"/>
    <w:next w:val="BodyText"/>
    <w:link w:val="Heading4Char"/>
    <w:qFormat/>
    <w:rsid w:val="003E1AA9"/>
    <w:pPr>
      <w:spacing w:before="160" w:after="120"/>
      <w:outlineLvl w:val="3"/>
    </w:pPr>
    <w:rPr>
      <w:sz w:val="22"/>
    </w:rPr>
  </w:style>
  <w:style w:type="paragraph" w:styleId="Heading5">
    <w:name w:val="heading 5"/>
    <w:basedOn w:val="HeadingBase"/>
    <w:next w:val="Normal"/>
    <w:link w:val="Heading5Char"/>
    <w:qFormat/>
    <w:rsid w:val="003E1AA9"/>
    <w:pPr>
      <w:spacing w:before="80"/>
      <w:outlineLvl w:val="4"/>
    </w:pPr>
    <w:rPr>
      <w:color w:val="918585"/>
      <w:sz w:val="20"/>
    </w:rPr>
  </w:style>
  <w:style w:type="paragraph" w:styleId="Heading6">
    <w:name w:val="heading 6"/>
    <w:basedOn w:val="HeadingBase"/>
    <w:next w:val="Normal"/>
    <w:link w:val="Heading6Char"/>
    <w:qFormat/>
    <w:rsid w:val="003E1AA9"/>
    <w:pPr>
      <w:spacing w:before="60"/>
      <w:outlineLvl w:val="5"/>
    </w:pPr>
    <w:rPr>
      <w:color w:val="918585"/>
      <w:sz w:val="20"/>
    </w:rPr>
  </w:style>
  <w:style w:type="paragraph" w:styleId="Heading7">
    <w:name w:val="heading 7"/>
    <w:basedOn w:val="Normal"/>
    <w:next w:val="Normal"/>
    <w:link w:val="Heading7Char"/>
    <w:qFormat/>
    <w:rsid w:val="003E1AA9"/>
    <w:pPr>
      <w:ind w:left="720"/>
      <w:outlineLvl w:val="6"/>
    </w:pPr>
    <w:rPr>
      <w:i/>
    </w:rPr>
  </w:style>
  <w:style w:type="paragraph" w:styleId="Heading8">
    <w:name w:val="heading 8"/>
    <w:basedOn w:val="Normal"/>
    <w:next w:val="Normal"/>
    <w:link w:val="Heading8Char"/>
    <w:qFormat/>
    <w:rsid w:val="003E1AA9"/>
    <w:pPr>
      <w:ind w:left="720"/>
      <w:outlineLvl w:val="7"/>
    </w:pPr>
    <w:rPr>
      <w:i/>
    </w:rPr>
  </w:style>
  <w:style w:type="paragraph" w:styleId="Heading9">
    <w:name w:val="heading 9"/>
    <w:basedOn w:val="Normal"/>
    <w:next w:val="Normal"/>
    <w:link w:val="Heading9Char"/>
    <w:qFormat/>
    <w:rsid w:val="003E1AA9"/>
    <w:pPr>
      <w:ind w:left="720"/>
      <w:outlineLvl w:val="8"/>
    </w:pPr>
    <w:rPr>
      <w:i/>
    </w:rPr>
  </w:style>
  <w:style w:type="character" w:default="1" w:styleId="DefaultParagraphFont">
    <w:name w:val="Default Paragraph Font"/>
    <w:uiPriority w:val="1"/>
    <w:unhideWhenUsed/>
    <w:rsid w:val="003E1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AA9"/>
  </w:style>
  <w:style w:type="character" w:customStyle="1" w:styleId="Heading1Char">
    <w:name w:val="Heading 1 Char"/>
    <w:basedOn w:val="DefaultParagraphFont"/>
    <w:link w:val="Heading1"/>
    <w:rsid w:val="003E1AA9"/>
    <w:rPr>
      <w:rFonts w:ascii="Times New Roman" w:eastAsia="Times New Roman" w:hAnsi="Times New Roman" w:cs="Times New Roman"/>
      <w:b/>
      <w:sz w:val="32"/>
      <w:szCs w:val="20"/>
      <w:lang w:eastAsia="en-US"/>
    </w:rPr>
  </w:style>
  <w:style w:type="paragraph" w:styleId="BodyText">
    <w:name w:val="Body Text"/>
    <w:basedOn w:val="Normal"/>
    <w:link w:val="BodyTextChar"/>
    <w:rsid w:val="003E1A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1AA9"/>
    <w:rPr>
      <w:rFonts w:ascii="Times New Roman" w:eastAsia="Times New Roman" w:hAnsi="Times New Roman" w:cs="Times New Roman"/>
      <w:sz w:val="24"/>
      <w:lang w:eastAsia="en-US"/>
    </w:rPr>
  </w:style>
  <w:style w:type="paragraph" w:styleId="Footer">
    <w:name w:val="footer"/>
    <w:basedOn w:val="Normal"/>
    <w:link w:val="FooterChar"/>
    <w:rsid w:val="003E1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AA9"/>
    <w:rPr>
      <w:rFonts w:ascii="Times New Roman" w:eastAsia="Times New Roman" w:hAnsi="Times New Roman" w:cs="Times New Roman"/>
      <w:sz w:val="16"/>
      <w:lang w:eastAsia="en-US"/>
    </w:rPr>
  </w:style>
  <w:style w:type="paragraph" w:styleId="List">
    <w:name w:val="List"/>
    <w:basedOn w:val="BodyText"/>
    <w:next w:val="BodyText"/>
    <w:rsid w:val="003E1AA9"/>
    <w:pPr>
      <w:tabs>
        <w:tab w:val="left" w:pos="340"/>
      </w:tabs>
      <w:spacing w:before="60" w:after="60"/>
      <w:ind w:left="340" w:hanging="340"/>
    </w:pPr>
  </w:style>
  <w:style w:type="paragraph" w:styleId="ListBullet">
    <w:name w:val="List Bullet"/>
    <w:basedOn w:val="List"/>
    <w:rsid w:val="003E1AA9"/>
    <w:pPr>
      <w:numPr>
        <w:numId w:val="14"/>
      </w:numPr>
      <w:tabs>
        <w:tab w:val="clear" w:pos="340"/>
      </w:tabs>
      <w:spacing w:before="40" w:after="40"/>
    </w:pPr>
  </w:style>
  <w:style w:type="character" w:customStyle="1" w:styleId="SpecialBold">
    <w:name w:val="Special Bold"/>
    <w:basedOn w:val="DefaultParagraphFont"/>
    <w:rsid w:val="003E1AA9"/>
    <w:rPr>
      <w:b/>
      <w:spacing w:val="0"/>
    </w:rPr>
  </w:style>
  <w:style w:type="paragraph" w:styleId="ListBullet2">
    <w:name w:val="List Bullet 2"/>
    <w:basedOn w:val="List2"/>
    <w:rsid w:val="003E1AA9"/>
    <w:pPr>
      <w:numPr>
        <w:numId w:val="15"/>
      </w:numPr>
      <w:tabs>
        <w:tab w:val="clear" w:pos="680"/>
      </w:tabs>
    </w:pPr>
  </w:style>
  <w:style w:type="character" w:styleId="Emphasis">
    <w:name w:val="Emphasis"/>
    <w:basedOn w:val="DefaultParagraphFont"/>
    <w:qFormat/>
    <w:rsid w:val="003E1AA9"/>
    <w:rPr>
      <w:i/>
    </w:rPr>
  </w:style>
  <w:style w:type="paragraph" w:customStyle="1" w:styleId="SuperHeading">
    <w:name w:val="SuperHeading"/>
    <w:basedOn w:val="Normal"/>
    <w:rsid w:val="003E1AA9"/>
    <w:pPr>
      <w:spacing w:before="240" w:after="120"/>
      <w:outlineLvl w:val="0"/>
    </w:pPr>
    <w:rPr>
      <w:rFonts w:ascii="Times New Roman" w:hAnsi="Times New Roman"/>
      <w:b/>
      <w:sz w:val="28"/>
    </w:rPr>
  </w:style>
  <w:style w:type="paragraph" w:customStyle="1" w:styleId="AllowPageBreak">
    <w:name w:val="AllowPageBreak"/>
    <w:rsid w:val="003E1AA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1AA9"/>
    <w:pPr>
      <w:numPr>
        <w:numId w:val="3"/>
      </w:numPr>
      <w:tabs>
        <w:tab w:val="clear" w:pos="1021"/>
      </w:tabs>
      <w:ind w:left="1037" w:hanging="357"/>
    </w:pPr>
  </w:style>
  <w:style w:type="character" w:customStyle="1" w:styleId="BoldandItalics">
    <w:name w:val="Bold and Italics"/>
    <w:qFormat/>
    <w:rsid w:val="003E1AA9"/>
    <w:rPr>
      <w:b/>
      <w:i/>
      <w:u w:val="none"/>
    </w:rPr>
  </w:style>
  <w:style w:type="character" w:customStyle="1" w:styleId="Heading2Char">
    <w:name w:val="Heading 2 Char"/>
    <w:basedOn w:val="DefaultParagraphFont"/>
    <w:link w:val="Heading2"/>
    <w:rsid w:val="003E1A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A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A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A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A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A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AA9"/>
    <w:rPr>
      <w:rFonts w:ascii="Courier New" w:eastAsia="Times New Roman" w:hAnsi="Courier New" w:cs="Times New Roman"/>
      <w:i/>
      <w:szCs w:val="20"/>
      <w:lang w:eastAsia="en-US"/>
    </w:rPr>
  </w:style>
  <w:style w:type="paragraph" w:customStyle="1" w:styleId="HeadingBase">
    <w:name w:val="Heading Base"/>
    <w:rsid w:val="003E1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AA9"/>
    <w:pPr>
      <w:tabs>
        <w:tab w:val="right" w:leader="dot" w:pos="9072"/>
      </w:tabs>
      <w:ind w:left="567"/>
    </w:pPr>
    <w:rPr>
      <w:szCs w:val="22"/>
    </w:rPr>
  </w:style>
  <w:style w:type="paragraph" w:customStyle="1" w:styleId="TOCBase">
    <w:name w:val="TOC Base"/>
    <w:rsid w:val="003E1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AA9"/>
    <w:pPr>
      <w:tabs>
        <w:tab w:val="right" w:leader="dot" w:pos="9072"/>
      </w:tabs>
      <w:spacing w:before="40" w:after="40"/>
      <w:ind w:left="284"/>
    </w:pPr>
    <w:rPr>
      <w:rFonts w:ascii="Times New Roman" w:hAnsi="Times New Roman"/>
    </w:rPr>
  </w:style>
  <w:style w:type="paragraph" w:styleId="TOC1">
    <w:name w:val="toc 1"/>
    <w:basedOn w:val="TOCBase"/>
    <w:next w:val="Normal"/>
    <w:rsid w:val="003E1A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AA9"/>
    <w:pPr>
      <w:spacing w:before="5040"/>
      <w:jc w:val="center"/>
    </w:pPr>
    <w:rPr>
      <w:sz w:val="48"/>
      <w:szCs w:val="72"/>
      <w:lang w:val="en-US"/>
    </w:rPr>
  </w:style>
  <w:style w:type="character" w:customStyle="1" w:styleId="TitleChar">
    <w:name w:val="Title Char"/>
    <w:basedOn w:val="DefaultParagraphFont"/>
    <w:link w:val="Title"/>
    <w:rsid w:val="003E1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AA9"/>
    <w:pPr>
      <w:tabs>
        <w:tab w:val="left" w:pos="3600"/>
        <w:tab w:val="left" w:pos="3958"/>
      </w:tabs>
    </w:pPr>
  </w:style>
  <w:style w:type="paragraph" w:customStyle="1" w:styleId="Note">
    <w:name w:val="Note"/>
    <w:basedOn w:val="BodyText"/>
    <w:rsid w:val="003E1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AA9"/>
    <w:pPr>
      <w:framePr w:wrap="auto" w:hAnchor="text" w:y="6049"/>
    </w:pPr>
    <w:rPr>
      <w:color w:val="000000"/>
      <w:sz w:val="40"/>
    </w:rPr>
  </w:style>
  <w:style w:type="paragraph" w:customStyle="1" w:styleId="TOCTitle">
    <w:name w:val="TOCTitle"/>
    <w:basedOn w:val="Heading1"/>
    <w:rsid w:val="003E1AA9"/>
    <w:pPr>
      <w:spacing w:after="240"/>
      <w:jc w:val="center"/>
      <w:outlineLvl w:val="9"/>
    </w:pPr>
    <w:rPr>
      <w:caps/>
    </w:rPr>
  </w:style>
  <w:style w:type="paragraph" w:customStyle="1" w:styleId="Version">
    <w:name w:val="Version"/>
    <w:rsid w:val="003E1A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1AA9"/>
    <w:pPr>
      <w:keepNext w:val="0"/>
      <w:tabs>
        <w:tab w:val="right" w:pos="4176"/>
      </w:tabs>
      <w:ind w:left="198" w:hanging="198"/>
    </w:pPr>
    <w:rPr>
      <w:rFonts w:ascii="Garamond" w:hAnsi="Garamond"/>
    </w:rPr>
  </w:style>
  <w:style w:type="paragraph" w:styleId="IndexHeading">
    <w:name w:val="index heading"/>
    <w:basedOn w:val="Normal"/>
    <w:next w:val="Index1"/>
    <w:semiHidden/>
    <w:rsid w:val="003E1AA9"/>
    <w:pPr>
      <w:spacing w:before="120" w:after="120"/>
    </w:pPr>
    <w:rPr>
      <w:rFonts w:ascii="Arial" w:hAnsi="Arial"/>
      <w:b/>
      <w:color w:val="918585"/>
      <w:sz w:val="24"/>
    </w:rPr>
  </w:style>
  <w:style w:type="paragraph" w:styleId="Header">
    <w:name w:val="header"/>
    <w:basedOn w:val="Normal"/>
    <w:link w:val="HeaderChar"/>
    <w:rsid w:val="003E1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AA9"/>
    <w:rPr>
      <w:rFonts w:ascii="Times New Roman" w:eastAsia="Times New Roman" w:hAnsi="Times New Roman" w:cs="Times New Roman"/>
      <w:sz w:val="16"/>
      <w:szCs w:val="20"/>
      <w:lang w:val="en-GB" w:eastAsia="en-US"/>
    </w:rPr>
  </w:style>
  <w:style w:type="paragraph" w:customStyle="1" w:styleId="Chapter">
    <w:name w:val="Chapter"/>
    <w:basedOn w:val="Normal"/>
    <w:rsid w:val="003E1AA9"/>
    <w:pPr>
      <w:spacing w:before="240"/>
    </w:pPr>
    <w:rPr>
      <w:rFonts w:ascii="Times New Roman" w:hAnsi="Times New Roman"/>
      <w:smallCaps/>
      <w:spacing w:val="80"/>
      <w:sz w:val="28"/>
    </w:rPr>
  </w:style>
  <w:style w:type="paragraph" w:customStyle="1" w:styleId="InChapter">
    <w:name w:val="InChapter"/>
    <w:basedOn w:val="Heading3"/>
    <w:rsid w:val="003E1AA9"/>
    <w:pPr>
      <w:spacing w:after="240"/>
      <w:outlineLvl w:val="9"/>
    </w:pPr>
    <w:rPr>
      <w:noProof/>
    </w:rPr>
  </w:style>
  <w:style w:type="paragraph" w:styleId="Index2">
    <w:name w:val="index 2"/>
    <w:basedOn w:val="Normal"/>
    <w:next w:val="Normal"/>
    <w:semiHidden/>
    <w:rsid w:val="003E1AA9"/>
    <w:pPr>
      <w:tabs>
        <w:tab w:val="right" w:pos="4176"/>
      </w:tabs>
      <w:ind w:left="568" w:hanging="284"/>
    </w:pPr>
    <w:rPr>
      <w:rFonts w:ascii="Garamond" w:hAnsi="Garamond"/>
    </w:rPr>
  </w:style>
  <w:style w:type="paragraph" w:customStyle="1" w:styleId="Byline">
    <w:name w:val="Byline"/>
    <w:rsid w:val="003E1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AA9"/>
    <w:pPr>
      <w:tabs>
        <w:tab w:val="clear" w:pos="3600"/>
        <w:tab w:val="clear" w:pos="3958"/>
      </w:tabs>
      <w:jc w:val="right"/>
    </w:pPr>
  </w:style>
  <w:style w:type="paragraph" w:styleId="Caption">
    <w:name w:val="caption"/>
    <w:basedOn w:val="BodyText"/>
    <w:next w:val="Normal"/>
    <w:qFormat/>
    <w:rsid w:val="003E1AA9"/>
    <w:pPr>
      <w:framePr w:w="2268" w:hSpace="181" w:vSpace="181" w:wrap="around" w:vAnchor="text" w:hAnchor="page" w:x="1135" w:y="285" w:anchorLock="1"/>
    </w:pPr>
    <w:rPr>
      <w:i/>
    </w:rPr>
  </w:style>
  <w:style w:type="paragraph" w:customStyle="1" w:styleId="MiniTOCTitle">
    <w:name w:val="MiniTOCTitle"/>
    <w:basedOn w:val="Heading4"/>
    <w:rsid w:val="003E1AA9"/>
    <w:pPr>
      <w:spacing w:before="240"/>
      <w:outlineLvl w:val="9"/>
    </w:pPr>
    <w:rPr>
      <w:noProof/>
      <w:sz w:val="24"/>
    </w:rPr>
  </w:style>
  <w:style w:type="paragraph" w:customStyle="1" w:styleId="MiniTOCItem">
    <w:name w:val="MiniTOCItem"/>
    <w:basedOn w:val="ListBullet"/>
    <w:rsid w:val="003E1AA9"/>
    <w:pPr>
      <w:numPr>
        <w:numId w:val="0"/>
      </w:numPr>
      <w:tabs>
        <w:tab w:val="right" w:leader="dot" w:pos="6521"/>
      </w:tabs>
      <w:spacing w:before="0" w:after="0"/>
    </w:pPr>
  </w:style>
  <w:style w:type="paragraph" w:customStyle="1" w:styleId="TOFTitle">
    <w:name w:val="TOFTitle"/>
    <w:basedOn w:val="TOCTitle"/>
    <w:rsid w:val="003E1AA9"/>
  </w:style>
  <w:style w:type="paragraph" w:styleId="TableofFigures">
    <w:name w:val="table of figures"/>
    <w:basedOn w:val="Normal"/>
    <w:next w:val="Normal"/>
    <w:semiHidden/>
    <w:rsid w:val="003E1AA9"/>
    <w:pPr>
      <w:tabs>
        <w:tab w:val="right" w:leader="dot" w:pos="9072"/>
      </w:tabs>
      <w:ind w:left="970" w:hanging="403"/>
    </w:pPr>
    <w:rPr>
      <w:rFonts w:ascii="Times New Roman" w:hAnsi="Times New Roman"/>
      <w:b/>
    </w:rPr>
  </w:style>
  <w:style w:type="paragraph" w:styleId="ListNumber">
    <w:name w:val="List Number"/>
    <w:basedOn w:val="List"/>
    <w:rsid w:val="003E1AA9"/>
    <w:pPr>
      <w:numPr>
        <w:numId w:val="12"/>
      </w:numPr>
    </w:pPr>
  </w:style>
  <w:style w:type="character" w:customStyle="1" w:styleId="WingdingSymbols">
    <w:name w:val="Wingding Symbols"/>
    <w:rsid w:val="003E1AA9"/>
    <w:rPr>
      <w:rFonts w:ascii="Wingdings" w:hAnsi="Wingdings"/>
    </w:rPr>
  </w:style>
  <w:style w:type="paragraph" w:customStyle="1" w:styleId="TableHeading">
    <w:name w:val="Table Heading"/>
    <w:basedOn w:val="HeadingBase"/>
    <w:rsid w:val="003E1AA9"/>
    <w:pPr>
      <w:keepLines/>
      <w:pBdr>
        <w:bottom w:val="single" w:sz="6" w:space="1" w:color="918585"/>
      </w:pBdr>
      <w:spacing w:before="240"/>
    </w:pPr>
  </w:style>
  <w:style w:type="character" w:customStyle="1" w:styleId="HotSpot">
    <w:name w:val="HotSpot"/>
    <w:rsid w:val="003E1AA9"/>
    <w:rPr>
      <w:color w:val="0033CC"/>
      <w:u w:val="none"/>
    </w:rPr>
  </w:style>
  <w:style w:type="paragraph" w:customStyle="1" w:styleId="BodyTextRight">
    <w:name w:val="Body Text Right"/>
    <w:basedOn w:val="BodyText"/>
    <w:rsid w:val="003E1AA9"/>
    <w:pPr>
      <w:spacing w:before="0" w:after="0"/>
      <w:jc w:val="right"/>
    </w:pPr>
  </w:style>
  <w:style w:type="paragraph" w:styleId="Index3">
    <w:name w:val="index 3"/>
    <w:basedOn w:val="ListNumber2"/>
    <w:next w:val="Normal"/>
    <w:semiHidden/>
    <w:rsid w:val="003E1AA9"/>
    <w:pPr>
      <w:numPr>
        <w:numId w:val="0"/>
      </w:numPr>
      <w:tabs>
        <w:tab w:val="right" w:leader="dot" w:pos="4176"/>
      </w:tabs>
    </w:pPr>
  </w:style>
  <w:style w:type="paragraph" w:styleId="ListNumber2">
    <w:name w:val="List Number 2"/>
    <w:basedOn w:val="List2"/>
    <w:rsid w:val="003E1AA9"/>
    <w:pPr>
      <w:numPr>
        <w:numId w:val="11"/>
      </w:numPr>
      <w:tabs>
        <w:tab w:val="clear" w:pos="1060"/>
      </w:tabs>
    </w:pPr>
  </w:style>
  <w:style w:type="paragraph" w:customStyle="1" w:styleId="MarginNote">
    <w:name w:val="Margin Note"/>
    <w:basedOn w:val="BodyText"/>
    <w:rsid w:val="003E1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A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AA9"/>
    <w:rPr>
      <w:sz w:val="32"/>
    </w:rPr>
  </w:style>
  <w:style w:type="paragraph" w:customStyle="1" w:styleId="HeadingProcedure">
    <w:name w:val="Heading Procedure"/>
    <w:basedOn w:val="HeadingBase"/>
    <w:next w:val="Normal"/>
    <w:rsid w:val="003E1AA9"/>
    <w:pPr>
      <w:tabs>
        <w:tab w:val="left" w:pos="0"/>
      </w:tabs>
      <w:spacing w:before="120" w:after="60"/>
    </w:pPr>
    <w:rPr>
      <w:i/>
      <w:color w:val="918585"/>
      <w:sz w:val="22"/>
    </w:rPr>
  </w:style>
  <w:style w:type="paragraph" w:customStyle="1" w:styleId="TableBodyText">
    <w:name w:val="Table Body Text"/>
    <w:basedOn w:val="BodyText"/>
    <w:rsid w:val="003E1AA9"/>
    <w:pPr>
      <w:spacing w:before="60" w:after="60"/>
    </w:pPr>
  </w:style>
  <w:style w:type="paragraph" w:styleId="ListContinue">
    <w:name w:val="List Continue"/>
    <w:basedOn w:val="List"/>
    <w:rsid w:val="003E1AA9"/>
    <w:pPr>
      <w:ind w:firstLine="0"/>
    </w:pPr>
  </w:style>
  <w:style w:type="paragraph" w:customStyle="1" w:styleId="ListNote">
    <w:name w:val="List Note"/>
    <w:basedOn w:val="List"/>
    <w:rsid w:val="003E1AA9"/>
    <w:pPr>
      <w:pBdr>
        <w:top w:val="single" w:sz="6" w:space="2" w:color="918585"/>
        <w:bottom w:val="single" w:sz="6" w:space="2" w:color="918585"/>
      </w:pBdr>
      <w:tabs>
        <w:tab w:val="left" w:pos="1021"/>
      </w:tabs>
      <w:ind w:firstLine="0"/>
    </w:pPr>
  </w:style>
  <w:style w:type="paragraph" w:customStyle="1" w:styleId="Warning">
    <w:name w:val="Warning"/>
    <w:basedOn w:val="BodyText"/>
    <w:rsid w:val="003E1AA9"/>
    <w:pPr>
      <w:shd w:val="clear" w:color="auto" w:fill="D9D9D9"/>
      <w:tabs>
        <w:tab w:val="left" w:pos="992"/>
      </w:tabs>
      <w:ind w:left="119" w:right="119"/>
    </w:pPr>
    <w:rPr>
      <w:sz w:val="20"/>
    </w:rPr>
  </w:style>
  <w:style w:type="paragraph" w:customStyle="1" w:styleId="MarginIcons">
    <w:name w:val="Margin Icons"/>
    <w:basedOn w:val="BodyText"/>
    <w:rsid w:val="003E1A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AA9"/>
    <w:rPr>
      <w:rFonts w:ascii="Courier New" w:hAnsi="Courier New"/>
    </w:rPr>
  </w:style>
  <w:style w:type="paragraph" w:customStyle="1" w:styleId="NoteBullet">
    <w:name w:val="Note Bullet"/>
    <w:basedOn w:val="Note"/>
    <w:rsid w:val="003E1AA9"/>
    <w:pPr>
      <w:tabs>
        <w:tab w:val="clear" w:pos="680"/>
      </w:tabs>
      <w:spacing w:before="60" w:after="60"/>
    </w:pPr>
  </w:style>
  <w:style w:type="paragraph" w:customStyle="1" w:styleId="SubHeading2">
    <w:name w:val="SubHeading2"/>
    <w:basedOn w:val="HeadingBase"/>
    <w:rsid w:val="003E1AA9"/>
    <w:pPr>
      <w:spacing w:before="240" w:after="60"/>
    </w:pPr>
    <w:rPr>
      <w:sz w:val="20"/>
    </w:rPr>
  </w:style>
  <w:style w:type="paragraph" w:customStyle="1" w:styleId="SubHeading1">
    <w:name w:val="SubHeading1"/>
    <w:basedOn w:val="HeadingBase"/>
    <w:rsid w:val="003E1AA9"/>
    <w:pPr>
      <w:spacing w:before="240" w:after="60"/>
    </w:pPr>
    <w:rPr>
      <w:color w:val="918585"/>
      <w:sz w:val="22"/>
    </w:rPr>
  </w:style>
  <w:style w:type="paragraph" w:customStyle="1" w:styleId="SideHeading">
    <w:name w:val="Side Heading"/>
    <w:basedOn w:val="HeadingBase"/>
    <w:rsid w:val="003E1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AA9"/>
    <w:pPr>
      <w:numPr>
        <w:numId w:val="13"/>
      </w:numPr>
    </w:pPr>
  </w:style>
  <w:style w:type="paragraph" w:styleId="PlainText">
    <w:name w:val="Plain Text"/>
    <w:basedOn w:val="Normal"/>
    <w:link w:val="PlainTextChar"/>
    <w:rsid w:val="003E1AA9"/>
    <w:rPr>
      <w:sz w:val="20"/>
    </w:rPr>
  </w:style>
  <w:style w:type="character" w:customStyle="1" w:styleId="PlainTextChar">
    <w:name w:val="Plain Text Char"/>
    <w:basedOn w:val="DefaultParagraphFont"/>
    <w:link w:val="PlainText"/>
    <w:rsid w:val="003E1AA9"/>
    <w:rPr>
      <w:rFonts w:ascii="Courier New" w:eastAsia="Times New Roman" w:hAnsi="Courier New" w:cs="Times New Roman"/>
      <w:sz w:val="20"/>
      <w:szCs w:val="20"/>
      <w:lang w:eastAsia="en-US"/>
    </w:rPr>
  </w:style>
  <w:style w:type="character" w:customStyle="1" w:styleId="MenuOption">
    <w:name w:val="Menu Option"/>
    <w:basedOn w:val="DefaultParagraphFont"/>
    <w:rsid w:val="003E1AA9"/>
    <w:rPr>
      <w:b/>
      <w:smallCaps/>
    </w:rPr>
  </w:style>
  <w:style w:type="paragraph" w:customStyle="1" w:styleId="TableListNumber">
    <w:name w:val="Table List Number"/>
    <w:basedOn w:val="ListNumber"/>
    <w:rsid w:val="003E1AA9"/>
    <w:pPr>
      <w:numPr>
        <w:numId w:val="0"/>
      </w:numPr>
    </w:pPr>
  </w:style>
  <w:style w:type="paragraph" w:styleId="TOC4">
    <w:name w:val="toc 4"/>
    <w:basedOn w:val="TOCBase"/>
    <w:next w:val="Normal"/>
    <w:semiHidden/>
    <w:rsid w:val="003E1AA9"/>
    <w:pPr>
      <w:tabs>
        <w:tab w:val="right" w:leader="dot" w:pos="9071"/>
      </w:tabs>
      <w:ind w:left="1701"/>
    </w:pPr>
  </w:style>
  <w:style w:type="paragraph" w:customStyle="1" w:styleId="ListAlpha">
    <w:name w:val="List Alpha"/>
    <w:basedOn w:val="List"/>
    <w:rsid w:val="003E1AA9"/>
    <w:pPr>
      <w:numPr>
        <w:numId w:val="10"/>
      </w:numPr>
    </w:pPr>
  </w:style>
  <w:style w:type="paragraph" w:customStyle="1" w:styleId="ListAlpha2">
    <w:name w:val="List Alpha 2"/>
    <w:basedOn w:val="List2"/>
    <w:rsid w:val="003E1AA9"/>
    <w:pPr>
      <w:numPr>
        <w:numId w:val="9"/>
      </w:numPr>
    </w:pPr>
  </w:style>
  <w:style w:type="paragraph" w:styleId="List2">
    <w:name w:val="List 2"/>
    <w:basedOn w:val="BodyText"/>
    <w:rsid w:val="003E1AA9"/>
    <w:pPr>
      <w:tabs>
        <w:tab w:val="left" w:pos="680"/>
      </w:tabs>
      <w:spacing w:before="60" w:after="60"/>
      <w:ind w:left="680" w:hanging="340"/>
    </w:pPr>
  </w:style>
  <w:style w:type="paragraph" w:styleId="List3">
    <w:name w:val="List 3"/>
    <w:basedOn w:val="BodyText"/>
    <w:rsid w:val="003E1AA9"/>
    <w:pPr>
      <w:tabs>
        <w:tab w:val="left" w:pos="1021"/>
      </w:tabs>
      <w:spacing w:before="60" w:after="60"/>
      <w:ind w:left="1020" w:hanging="340"/>
    </w:pPr>
  </w:style>
  <w:style w:type="paragraph" w:styleId="List4">
    <w:name w:val="List 4"/>
    <w:basedOn w:val="BodyText"/>
    <w:rsid w:val="003E1AA9"/>
    <w:pPr>
      <w:tabs>
        <w:tab w:val="left" w:pos="1361"/>
      </w:tabs>
      <w:spacing w:before="60" w:after="60"/>
      <w:ind w:left="1361" w:hanging="340"/>
    </w:pPr>
  </w:style>
  <w:style w:type="paragraph" w:styleId="List5">
    <w:name w:val="List 5"/>
    <w:basedOn w:val="BodyText"/>
    <w:rsid w:val="003E1AA9"/>
    <w:pPr>
      <w:tabs>
        <w:tab w:val="left" w:pos="1701"/>
      </w:tabs>
      <w:spacing w:before="60" w:after="60"/>
      <w:ind w:left="1701" w:hanging="340"/>
    </w:pPr>
  </w:style>
  <w:style w:type="paragraph" w:styleId="ListBullet4">
    <w:name w:val="List Bullet 4"/>
    <w:basedOn w:val="List4"/>
    <w:rsid w:val="003E1AA9"/>
    <w:pPr>
      <w:numPr>
        <w:numId w:val="4"/>
      </w:numPr>
    </w:pPr>
  </w:style>
  <w:style w:type="paragraph" w:styleId="ListBullet5">
    <w:name w:val="List Bullet 5"/>
    <w:basedOn w:val="List5"/>
    <w:rsid w:val="003E1AA9"/>
    <w:pPr>
      <w:numPr>
        <w:numId w:val="5"/>
      </w:numPr>
    </w:pPr>
  </w:style>
  <w:style w:type="paragraph" w:styleId="ListContinue2">
    <w:name w:val="List Continue 2"/>
    <w:basedOn w:val="List2"/>
    <w:rsid w:val="003E1AA9"/>
    <w:pPr>
      <w:ind w:firstLine="0"/>
    </w:pPr>
  </w:style>
  <w:style w:type="paragraph" w:styleId="ListContinue3">
    <w:name w:val="List Continue 3"/>
    <w:basedOn w:val="List3"/>
    <w:rsid w:val="003E1AA9"/>
    <w:pPr>
      <w:ind w:left="1021" w:firstLine="0"/>
    </w:pPr>
  </w:style>
  <w:style w:type="paragraph" w:styleId="ListContinue4">
    <w:name w:val="List Continue 4"/>
    <w:basedOn w:val="List4"/>
    <w:rsid w:val="003E1AA9"/>
    <w:pPr>
      <w:ind w:firstLine="0"/>
    </w:pPr>
  </w:style>
  <w:style w:type="paragraph" w:styleId="ListContinue5">
    <w:name w:val="List Continue 5"/>
    <w:basedOn w:val="List5"/>
    <w:rsid w:val="003E1AA9"/>
    <w:pPr>
      <w:ind w:firstLine="0"/>
    </w:pPr>
  </w:style>
  <w:style w:type="paragraph" w:styleId="ListNumber3">
    <w:name w:val="List Number 3"/>
    <w:basedOn w:val="List3"/>
    <w:rsid w:val="003E1AA9"/>
    <w:pPr>
      <w:numPr>
        <w:numId w:val="6"/>
      </w:numPr>
    </w:pPr>
  </w:style>
  <w:style w:type="paragraph" w:styleId="ListNumber4">
    <w:name w:val="List Number 4"/>
    <w:basedOn w:val="List4"/>
    <w:rsid w:val="003E1AA9"/>
    <w:pPr>
      <w:numPr>
        <w:numId w:val="7"/>
      </w:numPr>
    </w:pPr>
  </w:style>
  <w:style w:type="paragraph" w:styleId="ListNumber5">
    <w:name w:val="List Number 5"/>
    <w:basedOn w:val="List5"/>
    <w:rsid w:val="003E1AA9"/>
    <w:pPr>
      <w:numPr>
        <w:numId w:val="8"/>
      </w:numPr>
    </w:pPr>
  </w:style>
  <w:style w:type="paragraph" w:styleId="BlockText">
    <w:name w:val="Block Text"/>
    <w:basedOn w:val="Normal"/>
    <w:rsid w:val="003E1AA9"/>
    <w:pPr>
      <w:spacing w:after="120"/>
      <w:ind w:left="1440" w:right="1440"/>
    </w:pPr>
  </w:style>
  <w:style w:type="character" w:customStyle="1" w:styleId="Subscript">
    <w:name w:val="Subscript"/>
    <w:basedOn w:val="DefaultParagraphFont"/>
    <w:rsid w:val="003E1AA9"/>
    <w:rPr>
      <w:sz w:val="16"/>
      <w:vertAlign w:val="subscript"/>
    </w:rPr>
  </w:style>
  <w:style w:type="character" w:customStyle="1" w:styleId="Superscript">
    <w:name w:val="Superscript"/>
    <w:basedOn w:val="DefaultParagraphFont"/>
    <w:rsid w:val="003E1AA9"/>
    <w:rPr>
      <w:sz w:val="16"/>
      <w:vertAlign w:val="superscript"/>
    </w:rPr>
  </w:style>
  <w:style w:type="character" w:customStyle="1" w:styleId="Symbols">
    <w:name w:val="Symbols"/>
    <w:basedOn w:val="DefaultParagraphFont"/>
    <w:rsid w:val="003E1AA9"/>
    <w:rPr>
      <w:rFonts w:ascii="Symbol" w:hAnsi="Symbol"/>
    </w:rPr>
  </w:style>
  <w:style w:type="character" w:customStyle="1" w:styleId="MenuOptions">
    <w:name w:val="Menu Options"/>
    <w:basedOn w:val="DefaultParagraphFont"/>
    <w:rsid w:val="003E1AA9"/>
    <w:rPr>
      <w:rFonts w:ascii="Arial Narrow" w:hAnsi="Arial Narrow"/>
      <w:smallCaps/>
    </w:rPr>
  </w:style>
  <w:style w:type="character" w:customStyle="1" w:styleId="Buttons">
    <w:name w:val="Buttons"/>
    <w:basedOn w:val="DefaultParagraphFont"/>
    <w:rsid w:val="003E1AA9"/>
    <w:rPr>
      <w:b/>
    </w:rPr>
  </w:style>
  <w:style w:type="character" w:customStyle="1" w:styleId="Underlined">
    <w:name w:val="Underlined"/>
    <w:basedOn w:val="DefaultParagraphFont"/>
    <w:rsid w:val="003E1AA9"/>
    <w:rPr>
      <w:u w:val="single"/>
    </w:rPr>
  </w:style>
  <w:style w:type="paragraph" w:customStyle="1" w:styleId="TableBodyTextRight">
    <w:name w:val="Table Body Text Right"/>
    <w:basedOn w:val="TableBodyText"/>
    <w:rsid w:val="003E1AA9"/>
    <w:pPr>
      <w:widowControl w:val="0"/>
      <w:autoSpaceDE w:val="0"/>
      <w:autoSpaceDN w:val="0"/>
      <w:adjustRightInd w:val="0"/>
      <w:jc w:val="right"/>
    </w:pPr>
    <w:rPr>
      <w:rFonts w:cs="Arial"/>
      <w:szCs w:val="18"/>
    </w:rPr>
  </w:style>
  <w:style w:type="paragraph" w:customStyle="1" w:styleId="CopyrightText">
    <w:name w:val="Copyright Text"/>
    <w:basedOn w:val="BodyText"/>
    <w:rsid w:val="003E1AA9"/>
    <w:rPr>
      <w:sz w:val="18"/>
    </w:rPr>
  </w:style>
  <w:style w:type="paragraph" w:customStyle="1" w:styleId="BodySmallRight">
    <w:name w:val="Body Small Right"/>
    <w:basedOn w:val="BodyTextRight"/>
    <w:rsid w:val="003E1AA9"/>
    <w:rPr>
      <w:sz w:val="18"/>
      <w:szCs w:val="18"/>
    </w:rPr>
  </w:style>
  <w:style w:type="paragraph" w:customStyle="1" w:styleId="MarginEdition">
    <w:name w:val="Margin Edition"/>
    <w:basedOn w:val="MarginNote"/>
    <w:rsid w:val="003E1AA9"/>
    <w:pPr>
      <w:spacing w:before="0" w:after="0"/>
    </w:pPr>
    <w:rPr>
      <w:rFonts w:ascii="Times New Roman" w:hAnsi="Times New Roman"/>
      <w:color w:val="999999"/>
    </w:rPr>
  </w:style>
  <w:style w:type="paragraph" w:customStyle="1" w:styleId="Spacer">
    <w:name w:val="Spacer"/>
    <w:basedOn w:val="Normal"/>
    <w:rsid w:val="003E1AA9"/>
    <w:rPr>
      <w:sz w:val="2"/>
      <w:szCs w:val="2"/>
    </w:rPr>
  </w:style>
  <w:style w:type="character" w:customStyle="1" w:styleId="Small">
    <w:name w:val="Small"/>
    <w:basedOn w:val="DefaultParagraphFont"/>
    <w:rsid w:val="003E1AA9"/>
    <w:rPr>
      <w:sz w:val="16"/>
    </w:rPr>
  </w:style>
  <w:style w:type="paragraph" w:customStyle="1" w:styleId="WideTable">
    <w:name w:val="Wide Table"/>
    <w:basedOn w:val="Normal"/>
    <w:rsid w:val="003E1AA9"/>
    <w:pPr>
      <w:ind w:left="-1418"/>
    </w:pPr>
    <w:rPr>
      <w:sz w:val="2"/>
      <w:szCs w:val="2"/>
    </w:rPr>
  </w:style>
  <w:style w:type="character" w:styleId="PageNumber">
    <w:name w:val="page number"/>
    <w:basedOn w:val="DefaultParagraphFont"/>
    <w:rsid w:val="003E1AA9"/>
  </w:style>
  <w:style w:type="paragraph" w:styleId="Quote">
    <w:name w:val="Quote"/>
    <w:basedOn w:val="Heading1"/>
    <w:link w:val="QuoteChar"/>
    <w:qFormat/>
    <w:rsid w:val="003E1AA9"/>
    <w:rPr>
      <w:b w:val="0"/>
      <w:sz w:val="72"/>
      <w:szCs w:val="72"/>
      <w:lang w:val="en-NZ"/>
    </w:rPr>
  </w:style>
  <w:style w:type="character" w:customStyle="1" w:styleId="QuoteChar">
    <w:name w:val="Quote Char"/>
    <w:basedOn w:val="DefaultParagraphFont"/>
    <w:link w:val="Quote"/>
    <w:rsid w:val="003E1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AA9"/>
    <w:pPr>
      <w:pageBreakBefore/>
    </w:pPr>
  </w:style>
  <w:style w:type="paragraph" w:customStyle="1" w:styleId="Border">
    <w:name w:val="Border"/>
    <w:basedOn w:val="Normal"/>
    <w:qFormat/>
    <w:rsid w:val="003E1A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AA9"/>
    <w:rPr>
      <w:b/>
      <w:bCs/>
      <w:i/>
      <w:iCs/>
      <w:color w:val="auto"/>
    </w:rPr>
  </w:style>
  <w:style w:type="paragraph" w:styleId="IntenseQuote">
    <w:name w:val="Intense Quote"/>
    <w:basedOn w:val="Normal"/>
    <w:next w:val="Normal"/>
    <w:link w:val="IntenseQuoteChar"/>
    <w:uiPriority w:val="30"/>
    <w:qFormat/>
    <w:rsid w:val="003E1A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A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AA9"/>
    <w:rPr>
      <w:smallCaps/>
      <w:color w:val="auto"/>
      <w:u w:val="single"/>
    </w:rPr>
  </w:style>
  <w:style w:type="character" w:styleId="IntenseReference">
    <w:name w:val="Intense Reference"/>
    <w:basedOn w:val="DefaultParagraphFont"/>
    <w:uiPriority w:val="32"/>
    <w:qFormat/>
    <w:rsid w:val="003E1AA9"/>
    <w:rPr>
      <w:b/>
      <w:bCs/>
      <w:smallCaps/>
      <w:color w:val="auto"/>
      <w:spacing w:val="5"/>
      <w:u w:val="single"/>
    </w:rPr>
  </w:style>
  <w:style w:type="paragraph" w:customStyle="1" w:styleId="2ColumnHeading">
    <w:name w:val="2Column Heading"/>
    <w:basedOn w:val="BodyText"/>
    <w:qFormat/>
    <w:rsid w:val="003E1AA9"/>
    <w:pPr>
      <w:spacing w:after="60"/>
      <w:ind w:left="-2268"/>
    </w:pPr>
    <w:rPr>
      <w:b/>
    </w:rPr>
  </w:style>
  <w:style w:type="paragraph" w:customStyle="1" w:styleId="Heading1TOC">
    <w:name w:val="Heading1 TOC"/>
    <w:basedOn w:val="Normal"/>
    <w:qFormat/>
    <w:rsid w:val="003E1AA9"/>
    <w:pPr>
      <w:spacing w:before="240" w:after="120"/>
    </w:pPr>
    <w:rPr>
      <w:rFonts w:ascii="Times New Roman" w:hAnsi="Times New Roman"/>
      <w:b/>
      <w:sz w:val="32"/>
    </w:rPr>
  </w:style>
  <w:style w:type="paragraph" w:customStyle="1" w:styleId="Heading2TOC">
    <w:name w:val="Heading2 TOC"/>
    <w:basedOn w:val="Normal"/>
    <w:qFormat/>
    <w:rsid w:val="003E1AA9"/>
    <w:pPr>
      <w:spacing w:before="240" w:after="60"/>
    </w:pPr>
    <w:rPr>
      <w:rFonts w:ascii="Times New Roman" w:hAnsi="Times New Roman"/>
      <w:b/>
      <w:sz w:val="28"/>
    </w:rPr>
  </w:style>
  <w:style w:type="character" w:customStyle="1" w:styleId="Underline">
    <w:name w:val="Underline"/>
    <w:basedOn w:val="DefaultParagraphFont"/>
    <w:qFormat/>
    <w:rsid w:val="003E1AA9"/>
    <w:rPr>
      <w:u w:val="single"/>
    </w:rPr>
  </w:style>
  <w:style w:type="paragraph" w:styleId="BalloonText">
    <w:name w:val="Balloon Text"/>
    <w:basedOn w:val="Normal"/>
    <w:link w:val="BalloonTextChar"/>
    <w:rsid w:val="003E1AA9"/>
    <w:rPr>
      <w:rFonts w:ascii="Tahoma" w:hAnsi="Tahoma" w:cs="Tahoma"/>
      <w:sz w:val="16"/>
      <w:szCs w:val="16"/>
    </w:rPr>
  </w:style>
  <w:style w:type="character" w:customStyle="1" w:styleId="BalloonTextChar">
    <w:name w:val="Balloon Text Char"/>
    <w:basedOn w:val="DefaultParagraphFont"/>
    <w:link w:val="BalloonText"/>
    <w:rsid w:val="003E1A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A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1A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AA9"/>
    <w:rPr>
      <w:b/>
      <w:color w:val="660033"/>
      <w:spacing w:val="0"/>
    </w:rPr>
  </w:style>
  <w:style w:type="paragraph" w:customStyle="1" w:styleId="Nameditemlist">
    <w:name w:val="Named item list"/>
    <w:basedOn w:val="BodyText"/>
    <w:qFormat/>
    <w:rsid w:val="003E1A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2061</Words>
  <Characters>13375</Characters>
  <Application>Microsoft Office Word</Application>
  <DocSecurity>0</DocSecurity>
  <Lines>467</Lines>
  <Paragraphs>313</Paragraphs>
  <ScaleCrop>false</ScaleCrop>
  <Company>Author-it Software Corporation Ltd.</Company>
  <LinksUpToDate>false</LinksUpToDate>
  <CharactersWithSpaces>15350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PSPSEC501A Assess security risks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2012-11-01T03:08:00Z</dcterms:created>
  <dcterms:modified xsi:type="dcterms:W3CDTF">2012-11-01T03:08:00Z</dcterms:modified>
</cp:coreProperties>
</file>