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8C1" w:rsidP="006238C1">
      <w:pPr>
        <w:pStyle w:val="Title"/>
      </w:pPr>
      <w:bookmarkStart w:id="0" w:name="_GoBack"/>
      <w:bookmarkEnd w:id="0"/>
      <w:r>
        <w:fldChar w:fldCharType="begin"/>
      </w:r>
      <w:r>
        <w:instrText xml:space="preserve"> TITLE   \* MERGEFORMAT </w:instrText>
      </w:r>
      <w:r>
        <w:fldChar w:fldCharType="separate"/>
      </w:r>
      <w:r>
        <w:t>PSPSEC402A Implement security risk treatments</w:t>
      </w:r>
      <w:r>
        <w:fldChar w:fldCharType="end"/>
      </w:r>
    </w:p>
    <w:p w:rsidR="006238C1" w:rsidP="006238C1">
      <w:pPr>
        <w:pStyle w:val="Version"/>
        <w:sectPr w:rsidSect="00E92A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E92A34" w:rsidP="00E92A34">
      <w:pPr>
        <w:pStyle w:val="SuperHeading"/>
      </w:pPr>
      <w:r w:rsidRPr="00E92A34">
        <w:t>PSPSEC402A Implement security risk treatments</w:t>
      </w:r>
    </w:p>
    <w:p w:rsidR="00000000" w:rsidRPr="00E92A34" w:rsidP="00E92A34">
      <w:pPr>
        <w:pStyle w:val="SuperHeading"/>
      </w:pPr>
    </w:p>
    <w:p w:rsidR="00000000" w:rsidRPr="00E92A34" w:rsidP="00E92A34">
      <w:pPr>
        <w:pStyle w:val="Heading1"/>
      </w:pPr>
      <w:bookmarkStart w:id="1" w:name="O_499718"/>
      <w:bookmarkEnd w:id="1"/>
      <w:r w:rsidRPr="00E92A34">
        <w:t>Modification History</w:t>
      </w:r>
    </w:p>
    <w:tbl>
      <w:tblPr>
        <w:tblW w:w="0" w:type="auto"/>
        <w:tblLayout w:type="fixed"/>
        <w:tblCellMar>
          <w:left w:w="62" w:type="dxa"/>
          <w:right w:w="62" w:type="dxa"/>
        </w:tblCellMar>
        <w:tblLook w:val="0000"/>
      </w:tblPr>
      <w:tblGrid>
        <w:gridCol w:w="3052"/>
        <w:gridCol w:w="3052"/>
        <w:gridCol w:w="3052"/>
      </w:tblGrid>
      <w:tr w:rsidTr="006238C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34" w:rsidP="00E92A34">
            <w:pPr>
              <w:pStyle w:val="BodyText"/>
            </w:pPr>
            <w:r w:rsidRPr="00E92A3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34" w:rsidP="00E92A34">
            <w:pPr>
              <w:pStyle w:val="BodyText"/>
            </w:pPr>
            <w:r w:rsidRPr="00E92A3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34">
            <w:pPr>
              <w:pStyle w:val="BodyText"/>
              <w:rPr>
                <w:lang w:val="en-NZ"/>
              </w:rPr>
            </w:pPr>
            <w:r w:rsidRPr="00E92A34">
              <w:rPr>
                <w:rStyle w:val="SpecialBold"/>
              </w:rPr>
              <w:t>Comments</w:t>
            </w:r>
          </w:p>
        </w:tc>
      </w:tr>
      <w:tr w:rsidTr="006238C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34">
            <w:pPr>
              <w:pStyle w:val="BodyText"/>
              <w:rPr>
                <w:lang w:val="en-NZ"/>
              </w:rPr>
            </w:pPr>
            <w:r w:rsidRPr="00E92A3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34">
            <w:pPr>
              <w:pStyle w:val="BodyText"/>
              <w:rPr>
                <w:lang w:val="en-NZ"/>
              </w:rPr>
            </w:pPr>
            <w:r w:rsidRPr="00E92A3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34">
            <w:pPr>
              <w:pStyle w:val="BodyText"/>
              <w:rPr>
                <w:lang w:val="en-NZ"/>
              </w:rPr>
            </w:pPr>
            <w:r w:rsidRPr="00E92A34">
              <w:t xml:space="preserve">Unit descriptor edited. </w:t>
            </w:r>
          </w:p>
        </w:tc>
      </w:tr>
      <w:tr w:rsidTr="006238C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34">
            <w:pPr>
              <w:pStyle w:val="BodyText"/>
              <w:rPr>
                <w:lang w:val="en-NZ"/>
              </w:rPr>
            </w:pPr>
            <w:r w:rsidRPr="00E92A3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34">
            <w:pPr>
              <w:pStyle w:val="BodyText"/>
              <w:rPr>
                <w:lang w:val="en-NZ"/>
              </w:rPr>
            </w:pPr>
            <w:r w:rsidRPr="00E92A3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34">
            <w:pPr>
              <w:pStyle w:val="BodyText"/>
              <w:rPr>
                <w:lang w:val="en-NZ"/>
              </w:rPr>
            </w:pPr>
            <w:r w:rsidRPr="00E92A34">
              <w:t>Layout adjusted. No changes to content.</w:t>
            </w:r>
          </w:p>
        </w:tc>
      </w:tr>
      <w:tr w:rsidTr="006238C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34">
            <w:pPr>
              <w:pStyle w:val="BodyText"/>
              <w:rPr>
                <w:lang w:val="en-NZ"/>
              </w:rPr>
            </w:pPr>
            <w:r w:rsidRPr="00E92A3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A34">
            <w:pPr>
              <w:pStyle w:val="BodyText"/>
              <w:rPr>
                <w:lang w:val="en-NZ"/>
              </w:rPr>
            </w:pPr>
            <w:r w:rsidRPr="00E92A3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A34" w:rsidP="00E92A34">
            <w:pPr>
              <w:pStyle w:val="BodyText"/>
            </w:pPr>
            <w:r w:rsidRPr="00E92A34">
              <w:t>Primary release.</w:t>
            </w:r>
          </w:p>
        </w:tc>
      </w:tr>
    </w:tbl>
    <w:p w:rsidR="006238C1" w:rsidP="00E92A34">
      <w:pPr>
        <w:pStyle w:val="BodyText"/>
      </w:pPr>
    </w:p>
    <w:p w:rsidR="006238C1" w:rsidP="00E92A34">
      <w:pPr>
        <w:pStyle w:val="BodyText"/>
      </w:pPr>
    </w:p>
    <w:p w:rsidR="00000000" w:rsidRPr="00E92A34" w:rsidP="00E92A34">
      <w:pPr>
        <w:pStyle w:val="Heading1"/>
      </w:pPr>
      <w:bookmarkStart w:id="2" w:name="O_499715"/>
      <w:bookmarkEnd w:id="2"/>
      <w:r w:rsidRPr="00E92A34">
        <w:t>Unit Descriptor</w:t>
      </w:r>
    </w:p>
    <w:p w:rsidR="00000000" w:rsidRPr="00E92A34" w:rsidP="00E92A34">
      <w:pPr>
        <w:pStyle w:val="BodyText"/>
      </w:pPr>
      <w:r w:rsidRPr="00E92A34">
        <w:t>This unit covers identification and implementation of security r</w:t>
      </w:r>
      <w:r w:rsidRPr="00E92A34">
        <w:t xml:space="preserve">isk treatments. It includes confirming risk decisions identifying security risk treatment options, implementing countermeasures, and monitoring and reviewing the security risk management process. Depending on the size of the organisation, work may be in a </w:t>
      </w:r>
      <w:r w:rsidRPr="00E92A34">
        <w:t>discrete area such as information technology or across all areas within the organisation.</w:t>
      </w:r>
    </w:p>
    <w:p w:rsidR="00000000" w:rsidRPr="00E92A34" w:rsidP="00E92A34">
      <w:pPr>
        <w:pStyle w:val="BodyText"/>
      </w:pPr>
      <w:r w:rsidRPr="00E92A34">
        <w:t>In practice, implementation of security risk treatments may overlap with other generalist or specialist public sector work activities such as working ethically, compl</w:t>
      </w:r>
      <w:r w:rsidRPr="00E92A34">
        <w:t>ying with legislation, applying government processes, gathering and analysing information, exercising regulatory powers.</w:t>
      </w:r>
    </w:p>
    <w:p w:rsidR="006238C1" w:rsidP="00E92A34">
      <w:pPr>
        <w:pStyle w:val="BodyText"/>
      </w:pPr>
      <w:r w:rsidRPr="00E92A34">
        <w:t>No licensing, legislative, regulatory or certification requirements apply to this unit at the time of endorsement.</w:t>
      </w:r>
    </w:p>
    <w:p w:rsidR="006238C1" w:rsidP="00E92A34">
      <w:pPr>
        <w:pStyle w:val="BodyText"/>
      </w:pPr>
    </w:p>
    <w:p w:rsidR="00000000" w:rsidRPr="00E92A34" w:rsidP="00E92A34">
      <w:pPr>
        <w:pStyle w:val="Heading1"/>
      </w:pPr>
      <w:bookmarkStart w:id="3" w:name="O_499724"/>
      <w:bookmarkEnd w:id="3"/>
      <w:r w:rsidRPr="00E92A34">
        <w:t>Ap</w:t>
      </w:r>
      <w:r w:rsidRPr="00E92A34">
        <w:t>plication of the Unit</w:t>
      </w:r>
    </w:p>
    <w:p w:rsidR="00000000" w:rsidRPr="00E92A34" w:rsidP="00E92A34">
      <w:pPr>
        <w:pStyle w:val="BodyText"/>
      </w:pPr>
      <w:r w:rsidRPr="00E92A34">
        <w:t>Not applicable.</w:t>
      </w:r>
    </w:p>
    <w:p w:rsidR="00000000" w:rsidRPr="00E92A34" w:rsidP="00E92A34">
      <w:pPr>
        <w:pStyle w:val="AllowPageBreak"/>
      </w:pPr>
    </w:p>
    <w:p w:rsidR="00000000" w:rsidRPr="00E92A34" w:rsidP="00E92A34">
      <w:pPr>
        <w:pStyle w:val="Heading1"/>
      </w:pPr>
      <w:bookmarkStart w:id="4" w:name="O_499714"/>
      <w:bookmarkEnd w:id="4"/>
      <w:r w:rsidRPr="00E92A34">
        <w:t>Licensing/Regulatory Information</w:t>
      </w:r>
    </w:p>
    <w:p w:rsidR="00000000" w:rsidRPr="00E92A34" w:rsidP="00E92A34">
      <w:pPr>
        <w:pStyle w:val="BodyText"/>
      </w:pPr>
      <w:r w:rsidRPr="00E92A34">
        <w:t>Not applicable.</w:t>
      </w:r>
    </w:p>
    <w:p w:rsidR="00000000" w:rsidRPr="00E92A34" w:rsidP="00E92A34">
      <w:pPr>
        <w:pStyle w:val="AllowPageBreak"/>
      </w:pPr>
    </w:p>
    <w:p w:rsidR="00000000" w:rsidRPr="00E92A34" w:rsidP="00E92A34">
      <w:pPr>
        <w:pStyle w:val="Heading1"/>
      </w:pPr>
      <w:bookmarkStart w:id="5" w:name="O_499713"/>
      <w:bookmarkEnd w:id="5"/>
      <w:r w:rsidRPr="00E92A34">
        <w:t>Pre-Requisites</w:t>
      </w:r>
    </w:p>
    <w:p w:rsidR="00000000" w:rsidRPr="00E92A34" w:rsidP="00E92A34">
      <w:pPr>
        <w:pStyle w:val="BodyText"/>
      </w:pPr>
      <w:r w:rsidRPr="00E92A34">
        <w:t>Not applicable.</w:t>
      </w:r>
    </w:p>
    <w:p w:rsidR="00000000" w:rsidRPr="00E92A34" w:rsidP="00E92A34">
      <w:pPr>
        <w:pStyle w:val="AllowPageBreak"/>
      </w:pPr>
    </w:p>
    <w:p w:rsidR="00000000" w:rsidRPr="00E92A34" w:rsidP="00E92A34">
      <w:pPr>
        <w:pStyle w:val="Heading1"/>
      </w:pPr>
      <w:bookmarkStart w:id="6" w:name="O_499720"/>
      <w:bookmarkEnd w:id="6"/>
      <w:r w:rsidRPr="00E92A34">
        <w:t>Employability Skills Information</w:t>
      </w:r>
    </w:p>
    <w:p w:rsidR="00000000" w:rsidRPr="00E92A34" w:rsidP="00E92A34">
      <w:pPr>
        <w:pStyle w:val="BodyText"/>
      </w:pPr>
      <w:r w:rsidRPr="00E92A34">
        <w:t>This unit contains employability skills.</w:t>
      </w:r>
    </w:p>
    <w:p w:rsidR="00000000" w:rsidRPr="00E92A34" w:rsidP="00E92A34">
      <w:pPr>
        <w:pStyle w:val="AllowPageBreak"/>
      </w:pPr>
    </w:p>
    <w:p w:rsidR="00000000" w:rsidRPr="00E92A34" w:rsidP="00E92A34">
      <w:pPr>
        <w:pStyle w:val="Heading1"/>
      </w:pPr>
      <w:bookmarkStart w:id="7" w:name="O_499721"/>
      <w:bookmarkEnd w:id="7"/>
      <w:r w:rsidRPr="00E92A34">
        <w:t>Elements and Performance Criteria Pre-Content</w:t>
      </w:r>
    </w:p>
    <w:tbl>
      <w:tblPr>
        <w:tblW w:w="9322" w:type="dxa"/>
        <w:tblLayout w:type="fixed"/>
        <w:tblCellMar>
          <w:left w:w="62" w:type="dxa"/>
          <w:right w:w="62" w:type="dxa"/>
        </w:tblCellMar>
        <w:tblLook w:val="0000"/>
      </w:tblPr>
      <w:tblGrid>
        <w:gridCol w:w="2660"/>
        <w:gridCol w:w="6662"/>
      </w:tblGrid>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E92A34" w:rsidP="00E92A34">
            <w:pPr>
              <w:pStyle w:val="BodyText"/>
            </w:pPr>
            <w:r w:rsidRPr="00E92A34">
              <w:t xml:space="preserve">Together, performance criteria specify the requirements for competent performance. Text in </w:t>
            </w:r>
            <w:r w:rsidRPr="00E92A34">
              <w:rPr>
                <w:rStyle w:val="BoldandItalics"/>
              </w:rPr>
              <w:t>bold italics</w:t>
            </w:r>
            <w:r w:rsidRPr="00E92A34">
              <w:t xml:space="preserve">  is explained in the Range Statement following.</w:t>
            </w:r>
          </w:p>
        </w:tc>
      </w:tr>
    </w:tbl>
    <w:p w:rsidR="00000000" w:rsidRPr="00E92A34" w:rsidP="00E92A34">
      <w:pPr>
        <w:pStyle w:val="BodyText"/>
      </w:pPr>
    </w:p>
    <w:p w:rsidR="00000000" w:rsidRPr="00E92A34" w:rsidP="00E92A34">
      <w:pPr>
        <w:pStyle w:val="AllowPageBreak"/>
      </w:pPr>
    </w:p>
    <w:p w:rsidR="00000000" w:rsidRPr="00E92A34" w:rsidP="00E92A34">
      <w:pPr>
        <w:pStyle w:val="Heading1"/>
      </w:pPr>
      <w:bookmarkStart w:id="8" w:name="O_499722"/>
      <w:bookmarkEnd w:id="8"/>
      <w:r w:rsidRPr="00E92A34">
        <w:t>Elements and Performance Criteria</w:t>
      </w:r>
    </w:p>
    <w:tbl>
      <w:tblPr>
        <w:tblW w:w="9322" w:type="dxa"/>
        <w:tblLayout w:type="fixed"/>
        <w:tblCellMar>
          <w:left w:w="62" w:type="dxa"/>
          <w:right w:w="62" w:type="dxa"/>
        </w:tblCellMar>
        <w:tblLook w:val="0000"/>
      </w:tblPr>
      <w:tblGrid>
        <w:gridCol w:w="2660"/>
        <w:gridCol w:w="6662"/>
      </w:tblGrid>
      <w:tr w:rsidTr="006238C1">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E92A34" w:rsidP="00E92A34">
            <w:pPr>
              <w:pStyle w:val="BodyText"/>
            </w:pPr>
            <w:r w:rsidRPr="00E92A3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rPr>
                <w:rStyle w:val="SpecialBold"/>
              </w:rPr>
              <w:t>PERFORMANCE CRITERIA</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List"/>
              <w:rPr>
                <w:lang w:val="en-NZ"/>
              </w:rPr>
            </w:pPr>
            <w:r w:rsidRPr="00E92A34">
              <w:rPr>
                <w:rStyle w:val="SpecialBold"/>
              </w:rPr>
              <w:t>1</w:t>
            </w:r>
            <w:r w:rsidRPr="00E92A34">
              <w:t>.</w:t>
            </w:r>
            <w:r w:rsidRPr="00E92A34">
              <w:tab/>
            </w:r>
            <w:r w:rsidRPr="00E92A34">
              <w:rPr>
                <w:rStyle w:val="SpecialBold"/>
              </w:rPr>
              <w:t>Confirm risk decisions</w:t>
            </w:r>
          </w:p>
        </w:tc>
        <w:tc>
          <w:tcPr>
            <w:tcW w:w="6662" w:type="dxa"/>
            <w:tcBorders>
              <w:top w:val="nil"/>
              <w:left w:val="nil"/>
              <w:bottom w:val="nil"/>
              <w:right w:val="nil"/>
            </w:tcBorders>
            <w:tcMar>
              <w:top w:w="0" w:type="dxa"/>
              <w:left w:w="62" w:type="dxa"/>
              <w:bottom w:w="0" w:type="dxa"/>
              <w:right w:w="62" w:type="dxa"/>
            </w:tcMar>
          </w:tcPr>
          <w:p w:rsidR="00000000" w:rsidRPr="00E92A34" w:rsidP="00E92A34">
            <w:pPr>
              <w:pStyle w:val="List"/>
            </w:pPr>
            <w:r w:rsidRPr="00E92A34">
              <w:t>1.1</w:t>
            </w:r>
            <w:r w:rsidRPr="00E92A34">
              <w:tab/>
              <w:t xml:space="preserve">Management decisions determining </w:t>
            </w:r>
            <w:r w:rsidRPr="00E92A34">
              <w:rPr>
                <w:rStyle w:val="BoldandItalics"/>
              </w:rPr>
              <w:t xml:space="preserve">acceptable </w:t>
            </w:r>
            <w:r w:rsidRPr="00E92A34">
              <w:t xml:space="preserve">and </w:t>
            </w:r>
            <w:r w:rsidRPr="00E92A34">
              <w:rPr>
                <w:rStyle w:val="BoldandItalics"/>
              </w:rPr>
              <w:t>unacceptable risks</w:t>
            </w:r>
            <w:r w:rsidRPr="00E92A34">
              <w:t xml:space="preserve"> are confirmed in accordance with organisational policy and procedures.</w:t>
            </w:r>
          </w:p>
          <w:p w:rsidR="00000000" w:rsidRPr="00E92A34" w:rsidP="00E92A34">
            <w:pPr>
              <w:pStyle w:val="List"/>
            </w:pPr>
            <w:r w:rsidRPr="00E92A34">
              <w:t>1.2</w:t>
            </w:r>
            <w:r w:rsidRPr="00E92A34">
              <w:tab/>
              <w:t>Low-level risks that the organisation decides to accept are noted and monitored to detect changed circumstances .</w:t>
            </w:r>
          </w:p>
          <w:p w:rsidR="00000000" w:rsidRPr="00E92A34" w:rsidP="00E92A34">
            <w:pPr>
              <w:pStyle w:val="List"/>
            </w:pPr>
            <w:r w:rsidRPr="00E92A34">
              <w:t>1.3</w:t>
            </w:r>
            <w:r w:rsidRPr="00E92A34">
              <w:tab/>
              <w:t>Unacceptable high</w:t>
            </w:r>
            <w:r w:rsidRPr="00E92A34">
              <w:rPr>
                <w:rStyle w:val="BoldandItalics"/>
              </w:rPr>
              <w:t xml:space="preserve">-level </w:t>
            </w:r>
            <w:r w:rsidRPr="00E92A34">
              <w:t>risks are referred for the development</w:t>
            </w:r>
            <w:r w:rsidRPr="00E92A34">
              <w:t xml:space="preserve"> of formal management plans.</w:t>
            </w:r>
          </w:p>
          <w:p w:rsidR="00000000" w:rsidP="00E92A34">
            <w:pPr>
              <w:pStyle w:val="List"/>
              <w:rPr>
                <w:lang w:val="en-NZ"/>
              </w:rPr>
            </w:pPr>
            <w:r w:rsidRPr="00E92A34">
              <w:t>1.4</w:t>
            </w:r>
            <w:r w:rsidRPr="00E92A34">
              <w:tab/>
              <w:t>Major or significant risks identified as unacceptable are noted for treatment.</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List"/>
              <w:rPr>
                <w:lang w:val="en-NZ"/>
              </w:rPr>
            </w:pPr>
            <w:r w:rsidRPr="00E92A34">
              <w:rPr>
                <w:rStyle w:val="SpecialBold"/>
              </w:rPr>
              <w:t>2</w:t>
            </w:r>
            <w:r w:rsidRPr="00E92A34">
              <w:t>.</w:t>
            </w:r>
            <w:r w:rsidRPr="00E92A34">
              <w:tab/>
            </w:r>
            <w:r w:rsidRPr="00E92A34">
              <w:rPr>
                <w:rStyle w:val="SpecialBold"/>
              </w:rPr>
              <w:t>Identify risk treatments</w:t>
            </w:r>
          </w:p>
        </w:tc>
        <w:tc>
          <w:tcPr>
            <w:tcW w:w="6662" w:type="dxa"/>
            <w:tcBorders>
              <w:top w:val="nil"/>
              <w:left w:val="nil"/>
              <w:bottom w:val="nil"/>
              <w:right w:val="nil"/>
            </w:tcBorders>
            <w:tcMar>
              <w:top w:w="0" w:type="dxa"/>
              <w:left w:w="62" w:type="dxa"/>
              <w:bottom w:w="0" w:type="dxa"/>
              <w:right w:w="62" w:type="dxa"/>
            </w:tcMar>
          </w:tcPr>
          <w:p w:rsidR="00000000" w:rsidRPr="00E92A34" w:rsidP="00E92A34">
            <w:pPr>
              <w:pStyle w:val="List"/>
            </w:pPr>
            <w:r w:rsidRPr="00E92A34">
              <w:t>2.1</w:t>
            </w:r>
            <w:r w:rsidRPr="00E92A34">
              <w:tab/>
            </w:r>
            <w:r w:rsidRPr="00E92A34">
              <w:rPr>
                <w:rStyle w:val="BoldandItalics"/>
              </w:rPr>
              <w:t xml:space="preserve">Treatments </w:t>
            </w:r>
            <w:r w:rsidRPr="00E92A34">
              <w:t xml:space="preserve">are determined that are consistent </w:t>
            </w:r>
            <w:r w:rsidRPr="00E92A34">
              <w:t>with organisational policies, procedures and guidelines and the organisation's security plan.</w:t>
            </w:r>
          </w:p>
          <w:p w:rsidR="00000000" w:rsidRPr="00E92A34" w:rsidP="00E92A34">
            <w:pPr>
              <w:pStyle w:val="List"/>
            </w:pPr>
            <w:r w:rsidRPr="00E92A34">
              <w:t>2.2</w:t>
            </w:r>
            <w:r w:rsidRPr="00E92A34">
              <w:tab/>
              <w:t>Treatments are determined that are cost-effective and match the level and type of risk and the importance of the function or resource.</w:t>
            </w:r>
          </w:p>
          <w:p w:rsidR="00000000" w:rsidRPr="00E92A34" w:rsidP="00E92A34">
            <w:pPr>
              <w:pStyle w:val="List"/>
            </w:pPr>
            <w:r w:rsidRPr="00E92A34">
              <w:t>2.3</w:t>
            </w:r>
            <w:r w:rsidRPr="00E92A34">
              <w:tab/>
              <w:t>Treatments are sele</w:t>
            </w:r>
            <w:r w:rsidRPr="00E92A34">
              <w:t xml:space="preserve">cted to reduce the </w:t>
            </w:r>
            <w:r w:rsidRPr="00E92A34">
              <w:rPr>
                <w:rStyle w:val="BoldandItalics"/>
              </w:rPr>
              <w:t xml:space="preserve">likelihood </w:t>
            </w:r>
            <w:r w:rsidRPr="00E92A34">
              <w:t xml:space="preserve">of occurrence or the </w:t>
            </w:r>
            <w:r w:rsidRPr="00E92A34">
              <w:rPr>
                <w:rStyle w:val="BoldandItalics"/>
              </w:rPr>
              <w:t xml:space="preserve">consequences </w:t>
            </w:r>
            <w:r w:rsidRPr="00E92A34">
              <w:t>of the risk, or both.</w:t>
            </w:r>
          </w:p>
          <w:p w:rsidR="00000000" w:rsidRPr="00E92A34" w:rsidP="00E92A34">
            <w:pPr>
              <w:pStyle w:val="List"/>
            </w:pPr>
            <w:r w:rsidRPr="00E92A34">
              <w:t>2.4</w:t>
            </w:r>
            <w:r w:rsidRPr="00E92A34">
              <w:rPr>
                <w:rStyle w:val="BoldandItalics"/>
              </w:rPr>
              <w:tab/>
              <w:t xml:space="preserve">Continuity plans </w:t>
            </w:r>
            <w:r w:rsidRPr="00E92A34">
              <w:t>are included in treatments, where appropriate, in accordance with the security plan.</w:t>
            </w:r>
          </w:p>
          <w:p w:rsidR="00000000" w:rsidP="00E92A34">
            <w:pPr>
              <w:pStyle w:val="List"/>
              <w:rPr>
                <w:lang w:val="en-NZ"/>
              </w:rPr>
            </w:pPr>
            <w:r w:rsidRPr="00E92A34">
              <w:t>2.5</w:t>
            </w:r>
            <w:r w:rsidRPr="00E92A34">
              <w:tab/>
              <w:t>Treatments are documented and submitted for approval in acco</w:t>
            </w:r>
            <w:r w:rsidRPr="00E92A34">
              <w:t>rdance with organisational policy and procedures.</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List"/>
              <w:rPr>
                <w:lang w:val="en-NZ"/>
              </w:rPr>
            </w:pPr>
            <w:r w:rsidRPr="00E92A34">
              <w:rPr>
                <w:rStyle w:val="SpecialBold"/>
              </w:rPr>
              <w:t>3</w:t>
            </w:r>
            <w:r w:rsidRPr="00E92A34">
              <w:t>.</w:t>
            </w:r>
            <w:r w:rsidRPr="00E92A34">
              <w:tab/>
            </w:r>
            <w:r w:rsidRPr="00E92A34">
              <w:rPr>
                <w:rStyle w:val="SpecialBold"/>
              </w:rPr>
              <w:t>Implement countermeasures</w:t>
            </w:r>
          </w:p>
        </w:tc>
        <w:tc>
          <w:tcPr>
            <w:tcW w:w="6662" w:type="dxa"/>
            <w:tcBorders>
              <w:top w:val="nil"/>
              <w:left w:val="nil"/>
              <w:bottom w:val="nil"/>
              <w:right w:val="nil"/>
            </w:tcBorders>
            <w:tcMar>
              <w:top w:w="0" w:type="dxa"/>
              <w:left w:w="62" w:type="dxa"/>
              <w:bottom w:w="0" w:type="dxa"/>
              <w:right w:w="62" w:type="dxa"/>
            </w:tcMar>
          </w:tcPr>
          <w:p w:rsidR="00000000" w:rsidRPr="00E92A34" w:rsidP="00E92A34">
            <w:pPr>
              <w:pStyle w:val="List"/>
            </w:pPr>
            <w:r w:rsidRPr="00E92A34">
              <w:t>3.1</w:t>
            </w:r>
            <w:r w:rsidRPr="00E92A34">
              <w:tab/>
              <w:t xml:space="preserve">A </w:t>
            </w:r>
            <w:r w:rsidRPr="00E92A34">
              <w:rPr>
                <w:rStyle w:val="BoldandItalics"/>
              </w:rPr>
              <w:t xml:space="preserve">treatment plan </w:t>
            </w:r>
            <w:r w:rsidRPr="00E92A34">
              <w:t>is developed and implemented in accordance with organisational policy and procedures.</w:t>
            </w:r>
          </w:p>
          <w:p w:rsidR="00000000" w:rsidRPr="00E92A34" w:rsidP="00E92A34">
            <w:pPr>
              <w:pStyle w:val="List"/>
            </w:pPr>
            <w:r w:rsidRPr="00E92A34">
              <w:t>3.2</w:t>
            </w:r>
            <w:r w:rsidRPr="00E92A34">
              <w:tab/>
              <w:t xml:space="preserve">Implementation of </w:t>
            </w:r>
            <w:r w:rsidRPr="00E92A34">
              <w:rPr>
                <w:rStyle w:val="BoldandItalics"/>
              </w:rPr>
              <w:t xml:space="preserve">countermeasures </w:t>
            </w:r>
            <w:r w:rsidRPr="00E92A34">
              <w:t>is undertaken in accordance wit</w:t>
            </w:r>
            <w:r w:rsidRPr="00E92A34">
              <w:t>h the implementation strategy detailed in the security plan.</w:t>
            </w:r>
          </w:p>
          <w:p w:rsidR="00000000" w:rsidRPr="00E92A34" w:rsidP="00E92A34">
            <w:pPr>
              <w:pStyle w:val="List"/>
            </w:pPr>
            <w:r w:rsidRPr="00E92A34">
              <w:t>3.3</w:t>
            </w:r>
            <w:r w:rsidRPr="00E92A34">
              <w:tab/>
              <w:t>Countermeasures are implemented in accordance with timeframe and budgetary requirements.</w:t>
            </w:r>
          </w:p>
          <w:p w:rsidR="00000000" w:rsidP="00E92A34">
            <w:pPr>
              <w:pStyle w:val="List"/>
              <w:rPr>
                <w:lang w:val="en-NZ"/>
              </w:rPr>
            </w:pPr>
            <w:r w:rsidRPr="00E92A34">
              <w:t>3.4</w:t>
            </w:r>
            <w:r w:rsidRPr="00E92A34">
              <w:tab/>
              <w:t xml:space="preserve">Countermeasures are implemented in accordance with </w:t>
            </w:r>
            <w:r w:rsidRPr="00E92A34">
              <w:rPr>
                <w:rStyle w:val="BoldandItalics"/>
              </w:rPr>
              <w:t>legal requirements, government and organisation</w:t>
            </w:r>
            <w:r w:rsidRPr="00E92A34">
              <w:rPr>
                <w:rStyle w:val="BoldandItalics"/>
              </w:rPr>
              <w:t>al policy</w:t>
            </w:r>
            <w:r w:rsidRPr="00E92A34">
              <w:rPr>
                <w:rStyle w:val="Emphasis"/>
              </w:rPr>
              <w:t>.</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List"/>
              <w:rPr>
                <w:lang w:val="en-NZ"/>
              </w:rPr>
            </w:pPr>
            <w:r w:rsidRPr="00E92A34">
              <w:rPr>
                <w:rStyle w:val="SpecialBold"/>
              </w:rPr>
              <w:t>4</w:t>
            </w:r>
            <w:r w:rsidRPr="00E92A34">
              <w:t>.</w:t>
            </w:r>
            <w:r w:rsidRPr="00E92A34">
              <w:tab/>
            </w:r>
            <w:r w:rsidRPr="00E92A34">
              <w:rPr>
                <w:rStyle w:val="SpecialBold"/>
              </w:rPr>
              <w:t>Monitor and review security risk management process</w:t>
            </w:r>
          </w:p>
        </w:tc>
        <w:tc>
          <w:tcPr>
            <w:tcW w:w="6662" w:type="dxa"/>
            <w:tcBorders>
              <w:top w:val="nil"/>
              <w:left w:val="nil"/>
              <w:bottom w:val="nil"/>
              <w:right w:val="nil"/>
            </w:tcBorders>
            <w:tcMar>
              <w:top w:w="0" w:type="dxa"/>
              <w:left w:w="62" w:type="dxa"/>
              <w:bottom w:w="0" w:type="dxa"/>
              <w:right w:w="62" w:type="dxa"/>
            </w:tcMar>
          </w:tcPr>
          <w:p w:rsidR="00000000" w:rsidRPr="00E92A34" w:rsidP="00E92A34">
            <w:pPr>
              <w:pStyle w:val="List"/>
            </w:pPr>
            <w:r w:rsidRPr="00E92A34">
              <w:t>4.1</w:t>
            </w:r>
            <w:r w:rsidRPr="00E92A34">
              <w:tab/>
            </w:r>
            <w:r w:rsidRPr="00E92A34">
              <w:rPr>
                <w:rStyle w:val="BoldandItalics"/>
              </w:rPr>
              <w:t xml:space="preserve">Strategies </w:t>
            </w:r>
            <w:r w:rsidRPr="00E92A34">
              <w:t>to monitor risk environment are implemented.</w:t>
            </w:r>
          </w:p>
          <w:p w:rsidR="00000000" w:rsidRPr="00E92A34" w:rsidP="00E92A34">
            <w:pPr>
              <w:pStyle w:val="List"/>
            </w:pPr>
            <w:r w:rsidRPr="00E92A34">
              <w:t>4.2</w:t>
            </w:r>
            <w:r w:rsidRPr="00E92A34">
              <w:tab/>
            </w:r>
            <w:r w:rsidRPr="00E92A34">
              <w:rPr>
                <w:rStyle w:val="BoldandItalics"/>
              </w:rPr>
              <w:t xml:space="preserve">Monitoring </w:t>
            </w:r>
            <w:r w:rsidRPr="00E92A34">
              <w:t>is conducted on a regular basis in accordance with organisational policy and procedures.</w:t>
            </w:r>
          </w:p>
          <w:p w:rsidR="00000000" w:rsidRPr="00E92A34" w:rsidP="00E92A34">
            <w:pPr>
              <w:pStyle w:val="List"/>
            </w:pPr>
            <w:r w:rsidRPr="00E92A34">
              <w:t>4.3</w:t>
            </w:r>
            <w:r w:rsidRPr="00E92A34">
              <w:tab/>
              <w:t>Risk treatments are e</w:t>
            </w:r>
            <w:r w:rsidRPr="00E92A34">
              <w:t>valuated against the objectives of the security plan to ensure these remain effective and/or necessary.</w:t>
            </w:r>
          </w:p>
          <w:p w:rsidR="00000000" w:rsidRPr="00E92A34" w:rsidP="00E92A34">
            <w:pPr>
              <w:pStyle w:val="List"/>
            </w:pPr>
            <w:r w:rsidRPr="00E92A34">
              <w:t>4.4</w:t>
            </w:r>
            <w:r w:rsidRPr="00E92A34">
              <w:tab/>
              <w:t xml:space="preserve">Feedback is obtained from </w:t>
            </w:r>
            <w:r w:rsidRPr="00E92A34">
              <w:rPr>
                <w:rStyle w:val="BoldandItalics"/>
              </w:rPr>
              <w:t xml:space="preserve">stakeholders </w:t>
            </w:r>
            <w:r w:rsidRPr="00E92A34">
              <w:t>on the adequacy and need for current security measures affecting their work/area.</w:t>
            </w:r>
          </w:p>
          <w:p w:rsidR="00000000" w:rsidRPr="00E92A34" w:rsidP="00E92A34">
            <w:pPr>
              <w:pStyle w:val="List"/>
            </w:pPr>
            <w:r w:rsidRPr="00E92A34">
              <w:t>4.5</w:t>
            </w:r>
            <w:r w:rsidRPr="00E92A34">
              <w:tab/>
              <w:t>Recommendations for re-</w:t>
            </w:r>
            <w:r w:rsidRPr="00E92A34">
              <w:t>examination of security risk or improved risk treatments are conveyed to the appropriate personnel in accordance with organisational policy and procedures.</w:t>
            </w:r>
          </w:p>
        </w:tc>
      </w:tr>
    </w:tbl>
    <w:p w:rsidR="00000000" w:rsidRPr="00E92A34" w:rsidP="00E92A34">
      <w:pPr>
        <w:pStyle w:val="BodyText"/>
      </w:pPr>
    </w:p>
    <w:p w:rsidR="00000000" w:rsidRPr="00E92A34" w:rsidP="00E92A34">
      <w:pPr>
        <w:pStyle w:val="AllowPageBreak"/>
      </w:pPr>
    </w:p>
    <w:p w:rsidR="00000000" w:rsidRPr="00E92A34" w:rsidP="00E92A34">
      <w:pPr>
        <w:pStyle w:val="Heading1"/>
      </w:pPr>
      <w:bookmarkStart w:id="9" w:name="O_499716"/>
      <w:bookmarkEnd w:id="9"/>
      <w:r w:rsidRPr="00E92A34">
        <w:t>Required Skills and Knowledge</w:t>
      </w:r>
    </w:p>
    <w:tbl>
      <w:tblPr>
        <w:tblW w:w="0" w:type="auto"/>
        <w:tblLayout w:type="fixed"/>
        <w:tblCellMar>
          <w:left w:w="62" w:type="dxa"/>
          <w:right w:w="62" w:type="dxa"/>
        </w:tblCellMar>
        <w:tblLook w:val="0000"/>
      </w:tblPr>
      <w:tblGrid>
        <w:gridCol w:w="8553"/>
      </w:tblGrid>
      <w:tr w:rsidTr="006238C1">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t>This section describes the essential skills and knowledge and their level, required for this unit.</w:t>
            </w:r>
          </w:p>
        </w:tc>
      </w:tr>
      <w:tr w:rsidTr="006238C1">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E92A34" w:rsidP="00E92A34">
            <w:pPr>
              <w:pStyle w:val="BodyText"/>
            </w:pPr>
            <w:r w:rsidRPr="00E92A34">
              <w:rPr>
                <w:rStyle w:val="SpecialBold"/>
              </w:rPr>
              <w:t>Skill requirements</w:t>
            </w:r>
          </w:p>
          <w:p w:rsidR="00000000" w:rsidRPr="00E92A34" w:rsidP="00E92A34">
            <w:pPr>
              <w:pStyle w:val="BodyText"/>
            </w:pPr>
            <w:r w:rsidRPr="00E92A34">
              <w:t>Look for evidence that confirms skills in:</w:t>
            </w:r>
          </w:p>
          <w:p w:rsidR="00000000" w:rsidRPr="00E92A34" w:rsidP="00E92A34">
            <w:pPr>
              <w:pStyle w:val="ListBullet2"/>
            </w:pPr>
            <w:r w:rsidRPr="00E92A34">
              <w:t>applying legislation, regulations and policies relating to government security management</w:t>
            </w:r>
          </w:p>
          <w:p w:rsidR="00000000" w:rsidRPr="00E92A34" w:rsidP="00E92A34">
            <w:pPr>
              <w:pStyle w:val="ListBullet2"/>
            </w:pPr>
            <w:r w:rsidRPr="00E92A34">
              <w:t>rea</w:t>
            </w:r>
            <w:r w:rsidRPr="00E92A34">
              <w:t xml:space="preserve">ding and analysing the organisation's security plan </w:t>
            </w:r>
          </w:p>
          <w:p w:rsidR="00000000" w:rsidRPr="00E92A34" w:rsidP="00E92A34">
            <w:pPr>
              <w:pStyle w:val="ListBullet2"/>
            </w:pPr>
            <w:r w:rsidRPr="00E92A34">
              <w:t>observing and critically analysing the application of security risk treatments in an operational environment</w:t>
            </w:r>
          </w:p>
          <w:p w:rsidR="00000000" w:rsidRPr="00E92A34" w:rsidP="00E92A34">
            <w:pPr>
              <w:pStyle w:val="ListBullet2"/>
            </w:pPr>
            <w:r w:rsidRPr="00E92A34">
              <w:t>engaging in communication with diverse stakeholders involving listening, questioning, paraphra</w:t>
            </w:r>
            <w:r w:rsidRPr="00E92A34">
              <w:t>sing, clarifying, summarising</w:t>
            </w:r>
          </w:p>
          <w:p w:rsidR="00000000" w:rsidRPr="00E92A34" w:rsidP="00E92A34">
            <w:pPr>
              <w:pStyle w:val="ListBullet2"/>
            </w:pPr>
            <w:r w:rsidRPr="00E92A34">
              <w:t>responding to diversity, including gender and disability</w:t>
            </w:r>
          </w:p>
          <w:p w:rsidR="00000000" w:rsidRPr="00E92A34" w:rsidP="00E92A34">
            <w:pPr>
              <w:pStyle w:val="ListBullet2"/>
            </w:pPr>
            <w:r w:rsidRPr="00E92A34">
              <w:t>writing reports requiring formality of language and structure</w:t>
            </w:r>
          </w:p>
          <w:p w:rsidR="00000000" w:rsidRPr="00E92A34" w:rsidP="00E92A34">
            <w:pPr>
              <w:pStyle w:val="ListBullet2"/>
            </w:pPr>
            <w:r w:rsidRPr="00E92A34">
              <w:t>using computer technology to gather and analyse information, and prepare reports</w:t>
            </w:r>
          </w:p>
          <w:p w:rsidR="00000000" w:rsidRPr="00E92A34" w:rsidP="00E92A34">
            <w:pPr>
              <w:pStyle w:val="ListBullet2"/>
            </w:pPr>
            <w:r w:rsidRPr="00E92A34">
              <w:t xml:space="preserve">representing mathematical </w:t>
            </w:r>
            <w:r w:rsidRPr="00E92A34">
              <w:t>information in a range of formats to suit the information and the purpose</w:t>
            </w:r>
          </w:p>
          <w:p w:rsidR="00000000" w:rsidP="00E92A34">
            <w:pPr>
              <w:pStyle w:val="ListBullet2"/>
              <w:rPr>
                <w:lang w:val="en-NZ"/>
              </w:rPr>
            </w:pPr>
            <w:r w:rsidRPr="00E92A34">
              <w:t>applying procedures relating to occupational health and safety and environment in the context of government security management</w:t>
            </w:r>
          </w:p>
        </w:tc>
      </w:tr>
      <w:tr w:rsidTr="006238C1">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E92A34" w:rsidP="00E92A34">
            <w:pPr>
              <w:pStyle w:val="BodyText"/>
            </w:pPr>
            <w:r w:rsidRPr="00E92A34">
              <w:rPr>
                <w:rStyle w:val="SpecialBold"/>
              </w:rPr>
              <w:t>Knowledge requirements</w:t>
            </w:r>
          </w:p>
          <w:p w:rsidR="00000000" w:rsidRPr="00E92A34" w:rsidP="00E92A34">
            <w:pPr>
              <w:pStyle w:val="BodyText"/>
            </w:pPr>
            <w:r w:rsidRPr="00E92A34">
              <w:t>Look for evidence that confirms knowledge and understanding of:</w:t>
            </w:r>
          </w:p>
          <w:p w:rsidR="00000000" w:rsidRPr="00E92A34" w:rsidP="00E92A34">
            <w:pPr>
              <w:pStyle w:val="ListBullet2"/>
            </w:pPr>
            <w:r w:rsidRPr="00E92A34">
              <w:t>legislation, regulations, policies, procedures and guidelines relating to government security management such as:</w:t>
            </w:r>
          </w:p>
          <w:p w:rsidR="00000000" w:rsidRPr="00E92A34" w:rsidP="00E92A34">
            <w:pPr>
              <w:pStyle w:val="ListBullet3"/>
            </w:pPr>
            <w:r w:rsidRPr="00E92A34">
              <w:t>occupational health and safety</w:t>
            </w:r>
          </w:p>
          <w:p w:rsidR="00000000" w:rsidRPr="00E92A34" w:rsidP="00E92A34">
            <w:pPr>
              <w:pStyle w:val="ListBullet3"/>
            </w:pPr>
            <w:r w:rsidRPr="00E92A34">
              <w:t>public service acts</w:t>
            </w:r>
          </w:p>
          <w:p w:rsidR="00000000" w:rsidRPr="00E92A34" w:rsidP="00E92A34">
            <w:pPr>
              <w:pStyle w:val="ListBullet3"/>
            </w:pPr>
            <w:r w:rsidRPr="00E92A34">
              <w:t>Crimes Act 1914 an</w:t>
            </w:r>
            <w:r w:rsidRPr="00E92A34">
              <w:t>d Criminal Code 1985</w:t>
            </w:r>
          </w:p>
          <w:p w:rsidR="00000000" w:rsidRPr="00E92A34" w:rsidP="00E92A34">
            <w:pPr>
              <w:pStyle w:val="ListBullet3"/>
            </w:pPr>
            <w:r w:rsidRPr="00E92A34">
              <w:t>Freedom of Information Act 1982</w:t>
            </w:r>
          </w:p>
          <w:p w:rsidR="00000000" w:rsidRPr="00E92A34" w:rsidP="00E92A34">
            <w:pPr>
              <w:pStyle w:val="ListBullet3"/>
            </w:pPr>
            <w:r w:rsidRPr="00E92A34">
              <w:t>Privacy Act 1988</w:t>
            </w:r>
          </w:p>
          <w:p w:rsidR="00000000" w:rsidRPr="00E92A34" w:rsidP="00E92A34">
            <w:pPr>
              <w:pStyle w:val="ListBullet3"/>
            </w:pPr>
            <w:r w:rsidRPr="00E92A34">
              <w:t>fraud control policy</w:t>
            </w:r>
          </w:p>
          <w:p w:rsidR="00000000" w:rsidRPr="00E92A34" w:rsidP="00E92A34">
            <w:pPr>
              <w:pStyle w:val="ListBullet3"/>
            </w:pPr>
            <w:r w:rsidRPr="00E92A34">
              <w:t>protective security policy</w:t>
            </w:r>
          </w:p>
          <w:p w:rsidR="00000000" w:rsidRPr="00E92A34" w:rsidP="00E92A34">
            <w:pPr>
              <w:pStyle w:val="ListBullet3"/>
            </w:pPr>
            <w:r w:rsidRPr="00E92A34">
              <w:t>Australian Government Information Security Manual (ISM)</w:t>
            </w:r>
          </w:p>
          <w:p w:rsidR="00000000" w:rsidRPr="00E92A34" w:rsidP="00E92A34">
            <w:pPr>
              <w:pStyle w:val="ListBullet3"/>
            </w:pPr>
            <w:r w:rsidRPr="00E92A34">
              <w:t>Protective Security Policy Framework</w:t>
            </w:r>
          </w:p>
          <w:p w:rsidR="00000000" w:rsidRPr="00E92A34" w:rsidP="00E92A34">
            <w:pPr>
              <w:pStyle w:val="ListBullet3"/>
            </w:pPr>
            <w:r w:rsidRPr="00E92A34">
              <w:t>risk analysis terminology and techniques</w:t>
            </w:r>
          </w:p>
          <w:p w:rsidR="00000000" w:rsidRPr="00E92A34" w:rsidP="00E92A34">
            <w:pPr>
              <w:pStyle w:val="ListBullet3"/>
            </w:pPr>
            <w:r w:rsidRPr="00E92A34">
              <w:t xml:space="preserve">the </w:t>
            </w:r>
            <w:r w:rsidRPr="00E92A34">
              <w:t>organisation's security plan</w:t>
            </w:r>
          </w:p>
          <w:p w:rsidR="00000000" w:rsidRPr="00E92A34" w:rsidP="00E92A34">
            <w:pPr>
              <w:pStyle w:val="ListBullet3"/>
            </w:pPr>
            <w:r w:rsidRPr="00E92A34">
              <w:t>the organisation's assets and security environment</w:t>
            </w:r>
          </w:p>
          <w:p w:rsidR="00000000" w:rsidRPr="00E92A34" w:rsidP="00E92A34">
            <w:pPr>
              <w:pStyle w:val="ListBullet3"/>
            </w:pPr>
            <w:r w:rsidRPr="00E92A34">
              <w:t>Australian standards, quality assurance and certification requirements</w:t>
            </w:r>
          </w:p>
          <w:p w:rsidR="00000000" w:rsidRPr="00E92A34" w:rsidP="00E92A34">
            <w:pPr>
              <w:pStyle w:val="ListBullet3"/>
            </w:pPr>
            <w:r w:rsidRPr="00E92A34">
              <w:t>AS/NZS ISO 31000:2009 Risk Management - Principles and Guidelines</w:t>
            </w:r>
          </w:p>
          <w:p w:rsidR="00000000" w:rsidRPr="00E92A34" w:rsidP="00E92A34">
            <w:pPr>
              <w:pStyle w:val="ListBullet3"/>
            </w:pPr>
            <w:r w:rsidRPr="00E92A34">
              <w:t>public sector legislation such as equal</w:t>
            </w:r>
            <w:r w:rsidRPr="00E92A34">
              <w:t xml:space="preserve"> employment opportunity, and equity and diversity principles applied in the context of government security management</w:t>
            </w:r>
          </w:p>
        </w:tc>
      </w:tr>
    </w:tbl>
    <w:p w:rsidR="00000000" w:rsidRPr="00E92A34" w:rsidP="00E92A34">
      <w:pPr>
        <w:pStyle w:val="BodyText"/>
      </w:pPr>
    </w:p>
    <w:p w:rsidR="00000000" w:rsidRPr="00E92A34" w:rsidP="00E92A34">
      <w:pPr>
        <w:pStyle w:val="AllowPageBreak"/>
      </w:pPr>
    </w:p>
    <w:p w:rsidR="00000000" w:rsidRPr="00E92A34" w:rsidP="00E92A34">
      <w:pPr>
        <w:pStyle w:val="Heading1"/>
      </w:pPr>
      <w:bookmarkStart w:id="10" w:name="O_499717"/>
      <w:bookmarkEnd w:id="10"/>
      <w:r w:rsidRPr="00E92A34">
        <w:t>Evidence Guide</w:t>
      </w:r>
    </w:p>
    <w:tbl>
      <w:tblPr>
        <w:tblW w:w="9322" w:type="dxa"/>
        <w:tblLayout w:type="fixed"/>
        <w:tblCellMar>
          <w:left w:w="62" w:type="dxa"/>
          <w:right w:w="62" w:type="dxa"/>
        </w:tblCellMar>
        <w:tblLook w:val="0000"/>
      </w:tblPr>
      <w:tblGrid>
        <w:gridCol w:w="2660"/>
        <w:gridCol w:w="6662"/>
      </w:tblGrid>
      <w:tr w:rsidTr="006238C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t>The Evidence Guide specifies the evidence r</w:t>
            </w:r>
            <w:r w:rsidRPr="00E92A34">
              <w:t>equired to demonstrate achievement in the unit of competency as a whole. It must be read in conjunction with the Unit descriptor, Performance Criteria, the Range Statement and the Assessment Guidelines for the Public Sector Training Package.</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E92A34" w:rsidP="00E92A34">
            <w:pPr>
              <w:pStyle w:val="BodyText"/>
            </w:pPr>
            <w:r w:rsidRPr="00E92A34">
              <w:rPr>
                <w:rStyle w:val="SpecialBold"/>
              </w:rPr>
              <w:t xml:space="preserve">Units to be </w:t>
            </w:r>
            <w:r w:rsidRPr="00E92A34">
              <w:rPr>
                <w:rStyle w:val="SpecialBold"/>
              </w:rPr>
              <w:t>assessed together</w:t>
            </w:r>
            <w:r w:rsidRPr="00E92A34">
              <w:t xml:space="preserve"> </w:t>
            </w:r>
          </w:p>
        </w:tc>
        <w:tc>
          <w:tcPr>
            <w:tcW w:w="6662" w:type="dxa"/>
            <w:tcBorders>
              <w:top w:val="nil"/>
              <w:left w:val="nil"/>
              <w:bottom w:val="nil"/>
              <w:right w:val="nil"/>
            </w:tcBorders>
            <w:tcMar>
              <w:top w:w="0" w:type="dxa"/>
              <w:left w:w="62" w:type="dxa"/>
              <w:bottom w:w="0" w:type="dxa"/>
              <w:right w:w="62" w:type="dxa"/>
            </w:tcMar>
          </w:tcPr>
          <w:p w:rsidR="00000000" w:rsidRPr="00E92A34" w:rsidP="00E92A34">
            <w:pPr>
              <w:pStyle w:val="ListBullet2"/>
            </w:pPr>
            <w:r w:rsidRPr="00E92A34">
              <w:rPr>
                <w:rStyle w:val="Emphasis"/>
              </w:rPr>
              <w:t>Pre</w:t>
            </w:r>
            <w:r w:rsidRPr="00E92A34">
              <w:t>-</w:t>
            </w:r>
            <w:r w:rsidRPr="00E92A34">
              <w:rPr>
                <w:rStyle w:val="Emphasis"/>
              </w:rPr>
              <w:t>requisite</w:t>
            </w:r>
            <w:r w:rsidRPr="00E92A34">
              <w:t xml:space="preserve"> units that must be achieved prior to this unit:</w:t>
            </w:r>
            <w:r w:rsidRPr="00E92A34">
              <w:rPr>
                <w:rStyle w:val="Emphasis"/>
              </w:rPr>
              <w:t>Nil</w:t>
            </w:r>
          </w:p>
          <w:p w:rsidR="00000000" w:rsidRPr="00E92A34" w:rsidP="00E92A34">
            <w:pPr>
              <w:pStyle w:val="ListBullet2"/>
            </w:pPr>
            <w:r w:rsidRPr="00E92A34">
              <w:rPr>
                <w:rStyle w:val="Emphasis"/>
              </w:rPr>
              <w:t>Co</w:t>
            </w:r>
            <w:r w:rsidRPr="00E92A34">
              <w:t>-</w:t>
            </w:r>
            <w:r w:rsidRPr="00E92A34">
              <w:rPr>
                <w:rStyle w:val="Emphasis"/>
              </w:rPr>
              <w:t>requisite</w:t>
            </w:r>
            <w:r w:rsidRPr="00E92A34">
              <w:t xml:space="preserve"> units that must be assessed with this unit:</w:t>
            </w:r>
            <w:r w:rsidRPr="00E92A34">
              <w:rPr>
                <w:rStyle w:val="Emphasis"/>
              </w:rPr>
              <w:t>Nil</w:t>
            </w:r>
          </w:p>
          <w:p w:rsidR="00000000" w:rsidRPr="00E92A34" w:rsidP="00E92A34">
            <w:pPr>
              <w:pStyle w:val="ListBullet2"/>
            </w:pPr>
            <w:r w:rsidRPr="00E92A34">
              <w:rPr>
                <w:rStyle w:val="Emphasis"/>
              </w:rPr>
              <w:t>Co</w:t>
            </w:r>
            <w:r w:rsidRPr="00E92A34">
              <w:t>-</w:t>
            </w:r>
            <w:r w:rsidRPr="00E92A34">
              <w:rPr>
                <w:rStyle w:val="Emphasis"/>
              </w:rPr>
              <w:t>assessed units</w:t>
            </w:r>
            <w:r w:rsidRPr="00E92A34">
              <w:t xml:space="preserve"> that may be assessed with this unit to increase the efficiency and realism of the assessment process include, but are not limited to:</w:t>
            </w:r>
          </w:p>
          <w:p w:rsidR="00000000" w:rsidRPr="00E92A34" w:rsidP="00E92A34">
            <w:pPr>
              <w:pStyle w:val="ListBullet3"/>
            </w:pPr>
            <w:r w:rsidRPr="00E92A34">
              <w:t>PSPETHC401A Uphold and support the values and principles of public service</w:t>
            </w:r>
          </w:p>
          <w:p w:rsidR="00000000" w:rsidRPr="00E92A34" w:rsidP="00E92A34">
            <w:pPr>
              <w:pStyle w:val="ListBullet3"/>
            </w:pPr>
            <w:r w:rsidRPr="00E92A34">
              <w:t xml:space="preserve">PSPGOV406B Gather and analyse information </w:t>
            </w:r>
          </w:p>
          <w:p w:rsidR="00000000" w:rsidRPr="00E92A34" w:rsidP="00E92A34">
            <w:pPr>
              <w:pStyle w:val="ListBullet3"/>
            </w:pPr>
            <w:r w:rsidRPr="00E92A34">
              <w:t>PS</w:t>
            </w:r>
            <w:r w:rsidRPr="00E92A34">
              <w:t>PGOV422A Apply government processes</w:t>
            </w:r>
          </w:p>
          <w:p w:rsidR="00000000" w:rsidRPr="00E92A34" w:rsidP="00E92A34">
            <w:pPr>
              <w:pStyle w:val="ListBullet3"/>
            </w:pPr>
            <w:r w:rsidRPr="00E92A34">
              <w:t>PSPLEGN401A Encourage compliance with legislation in the public sector</w:t>
            </w:r>
          </w:p>
          <w:p w:rsidR="00000000" w:rsidP="00E92A34">
            <w:pPr>
              <w:pStyle w:val="ListBullet3"/>
              <w:rPr>
                <w:lang w:val="en-NZ"/>
              </w:rPr>
            </w:pPr>
            <w:r w:rsidRPr="00E92A34">
              <w:t>PSPREG401C Exercise regulatory powers</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E92A34" w:rsidP="00E92A34">
            <w:pPr>
              <w:pStyle w:val="BodyText"/>
            </w:pPr>
            <w:r w:rsidRPr="00E92A34">
              <w:t>In addition to integrated demonstration of the elements and their related performance criteria, look for evidence that confirms:</w:t>
            </w:r>
          </w:p>
          <w:p w:rsidR="00000000" w:rsidRPr="00E92A34" w:rsidP="00E92A34">
            <w:pPr>
              <w:pStyle w:val="ListBullet2"/>
            </w:pPr>
            <w:r w:rsidRPr="00E92A34">
              <w:t xml:space="preserve">the knowledge requirements of this unit </w:t>
            </w:r>
          </w:p>
          <w:p w:rsidR="00000000" w:rsidRPr="00E92A34" w:rsidP="00E92A34">
            <w:pPr>
              <w:pStyle w:val="ListBullet2"/>
            </w:pPr>
            <w:r w:rsidRPr="00E92A34">
              <w:t>the skill requirements of this unit</w:t>
            </w:r>
          </w:p>
          <w:p w:rsidR="00000000" w:rsidRPr="00E92A34" w:rsidP="00E92A34">
            <w:pPr>
              <w:pStyle w:val="ListBullet2"/>
            </w:pPr>
            <w:r w:rsidRPr="00E92A34">
              <w:t>application of the Employability Skills as they r</w:t>
            </w:r>
            <w:r w:rsidRPr="00E92A34">
              <w:t>elate to this unit (see Employability Summaries in Qualifications Framework)</w:t>
            </w:r>
          </w:p>
          <w:p w:rsidR="00000000" w:rsidP="00E92A34">
            <w:pPr>
              <w:pStyle w:val="ListBullet2"/>
              <w:rPr>
                <w:lang w:val="en-NZ"/>
              </w:rPr>
            </w:pPr>
            <w:r w:rsidRPr="00E92A34">
              <w:t>implementation of security risk treatments in a range of (3 or more) contexts (or occasions, over time)</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E92A34" w:rsidP="00E92A34">
            <w:pPr>
              <w:pStyle w:val="BodyText"/>
            </w:pPr>
            <w:r w:rsidRPr="00E92A34">
              <w:t>These resources include:</w:t>
            </w:r>
          </w:p>
          <w:p w:rsidR="00000000" w:rsidRPr="00E92A34" w:rsidP="00E92A34">
            <w:pPr>
              <w:pStyle w:val="ListBullet2"/>
            </w:pPr>
            <w:r w:rsidRPr="00E92A34">
              <w:t>legis</w:t>
            </w:r>
            <w:r w:rsidRPr="00E92A34">
              <w:t>lation, policy, procedures and protocols relating to the implementation of security risk treatments</w:t>
            </w:r>
          </w:p>
          <w:p w:rsidR="00000000" w:rsidRPr="00E92A34" w:rsidP="00E92A34">
            <w:pPr>
              <w:pStyle w:val="ListBullet2"/>
            </w:pPr>
            <w:r w:rsidRPr="00E92A34">
              <w:t xml:space="preserve">organisational standards and documentation </w:t>
            </w:r>
          </w:p>
          <w:p w:rsidR="00000000" w:rsidP="00E92A34">
            <w:pPr>
              <w:pStyle w:val="ListBullet2"/>
              <w:rPr>
                <w:lang w:val="en-NZ"/>
              </w:rPr>
            </w:pPr>
            <w:r w:rsidRPr="00E92A34">
              <w:t>case studies and workplace scenarios to capture the range of situations likely to be encountered when implementi</w:t>
            </w:r>
            <w:r w:rsidRPr="00E92A34">
              <w:t>ng security risk treatments</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E92A34" w:rsidP="00E92A34">
            <w:pPr>
              <w:pStyle w:val="BodyText"/>
            </w:pPr>
            <w:r w:rsidRPr="00E92A34">
              <w:t xml:space="preserve">Valid assessment of this unit requires: </w:t>
            </w:r>
          </w:p>
          <w:p w:rsidR="00000000" w:rsidRPr="00E92A34" w:rsidP="00E92A34">
            <w:pPr>
              <w:pStyle w:val="ListBullet2"/>
            </w:pPr>
            <w:r w:rsidRPr="00E92A34">
              <w:t xml:space="preserve">a workplace environment or one that closely resembles normal work practice and replicates </w:t>
            </w:r>
            <w:r w:rsidRPr="00E92A34">
              <w:t>the range of conditions likely to be encountered when implementing security risk treatments, including coping with difficulties, irregularities and breakdowns in routine</w:t>
            </w:r>
          </w:p>
          <w:p w:rsidR="00000000" w:rsidRPr="00E92A34" w:rsidP="00E92A34">
            <w:pPr>
              <w:pStyle w:val="ListBullet2"/>
            </w:pPr>
            <w:r w:rsidRPr="00E92A34">
              <w:t>implementation of security risk treatments in a range of (3 or more) contexts (or occa</w:t>
            </w:r>
            <w:r w:rsidRPr="00E92A34">
              <w:t>sions, over time)</w:t>
            </w:r>
          </w:p>
          <w:p w:rsidR="00000000" w:rsidRPr="00E92A34" w:rsidP="00E92A34">
            <w:pPr>
              <w:pStyle w:val="BodyText"/>
            </w:pPr>
            <w:r w:rsidRPr="00E92A34">
              <w:t>Assessment methods should reflect workplace demands, such as literacy, and the needs of particular groups, such as:</w:t>
            </w:r>
          </w:p>
          <w:p w:rsidR="00000000" w:rsidRPr="00E92A34" w:rsidP="00E92A34">
            <w:pPr>
              <w:pStyle w:val="ListBullet2"/>
            </w:pPr>
            <w:r w:rsidRPr="00E92A34">
              <w:t>people with disabilities</w:t>
            </w:r>
          </w:p>
          <w:p w:rsidR="00000000" w:rsidRPr="00E92A34" w:rsidP="00E92A34">
            <w:pPr>
              <w:pStyle w:val="ListBullet2"/>
            </w:pPr>
            <w:r w:rsidRPr="00E92A34">
              <w:t>people from culturally and linguistically diverse backgrounds</w:t>
            </w:r>
          </w:p>
          <w:p w:rsidR="00000000" w:rsidRPr="00E92A34" w:rsidP="00E92A34">
            <w:pPr>
              <w:pStyle w:val="ListBullet2"/>
            </w:pPr>
            <w:r w:rsidRPr="00E92A34">
              <w:t>Aboriginal and Torres Strait Islan</w:t>
            </w:r>
            <w:r w:rsidRPr="00E92A34">
              <w:t>der people</w:t>
            </w:r>
          </w:p>
          <w:p w:rsidR="00000000" w:rsidRPr="00E92A34" w:rsidP="00E92A34">
            <w:pPr>
              <w:pStyle w:val="ListBullet2"/>
            </w:pPr>
            <w:r w:rsidRPr="00E92A34">
              <w:t>women</w:t>
            </w:r>
          </w:p>
          <w:p w:rsidR="00000000" w:rsidRPr="00E92A34" w:rsidP="00E92A34">
            <w:pPr>
              <w:pStyle w:val="ListBullet2"/>
            </w:pPr>
            <w:r w:rsidRPr="00E92A34">
              <w:t>young people</w:t>
            </w:r>
          </w:p>
          <w:p w:rsidR="00000000" w:rsidRPr="00E92A34" w:rsidP="00E92A34">
            <w:pPr>
              <w:pStyle w:val="ListBullet2"/>
            </w:pPr>
            <w:r w:rsidRPr="00E92A34">
              <w:t>older people</w:t>
            </w:r>
          </w:p>
          <w:p w:rsidR="00000000" w:rsidRPr="00E92A34" w:rsidP="00E92A34">
            <w:pPr>
              <w:pStyle w:val="ListBullet2"/>
            </w:pPr>
            <w:r w:rsidRPr="00E92A34">
              <w:t>people in rural and remote locations</w:t>
            </w:r>
          </w:p>
          <w:p w:rsidR="00000000" w:rsidRPr="00E92A34" w:rsidP="00E92A34">
            <w:pPr>
              <w:pStyle w:val="BodyText"/>
            </w:pPr>
            <w:r w:rsidRPr="00E92A34">
              <w:t xml:space="preserve">Assessment methods suitable for valid and reliable assessment of this competency may include, but are not limited to, a combination of 2 or more of: </w:t>
            </w:r>
          </w:p>
          <w:p w:rsidR="00000000" w:rsidRPr="00E92A34" w:rsidP="00E92A34">
            <w:pPr>
              <w:pStyle w:val="ListBullet2"/>
            </w:pPr>
            <w:r w:rsidRPr="00E92A34">
              <w:t>case studies</w:t>
            </w:r>
          </w:p>
          <w:p w:rsidR="00000000" w:rsidRPr="00E92A34" w:rsidP="00E92A34">
            <w:pPr>
              <w:pStyle w:val="ListBullet2"/>
            </w:pPr>
            <w:r w:rsidRPr="00E92A34">
              <w:t xml:space="preserve">portfolios </w:t>
            </w:r>
          </w:p>
          <w:p w:rsidR="00000000" w:rsidRPr="00E92A34" w:rsidP="00E92A34">
            <w:pPr>
              <w:pStyle w:val="ListBullet2"/>
            </w:pPr>
            <w:r w:rsidRPr="00E92A34">
              <w:t>questioning</w:t>
            </w:r>
          </w:p>
          <w:p w:rsidR="00000000" w:rsidRPr="00E92A34" w:rsidP="00E92A34">
            <w:pPr>
              <w:pStyle w:val="ListBullet2"/>
            </w:pPr>
            <w:r w:rsidRPr="00E92A34">
              <w:t>scenarios</w:t>
            </w:r>
          </w:p>
          <w:p w:rsidR="00000000" w:rsidP="00E92A34">
            <w:pPr>
              <w:pStyle w:val="ListBullet2"/>
              <w:rPr>
                <w:lang w:val="en-NZ"/>
              </w:rPr>
            </w:pPr>
            <w:r w:rsidRPr="00E92A34">
              <w:t>authenticated evidence from the workplace and/or training courses, such as a risk management plan</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E92A34" w:rsidP="00E92A34">
            <w:pPr>
              <w:pStyle w:val="BodyText"/>
            </w:pPr>
            <w:r w:rsidRPr="00E92A34">
              <w:t xml:space="preserve">Evidence must be gathered over time in a range of contexts to ensure the </w:t>
            </w:r>
            <w:r w:rsidRPr="00E92A34">
              <w:t>person can achieve the unit outcome and apply the competency in different situations or environments</w:t>
            </w:r>
          </w:p>
        </w:tc>
      </w:tr>
    </w:tbl>
    <w:p w:rsidR="00000000" w:rsidRPr="00E92A34" w:rsidP="00E92A34">
      <w:pPr>
        <w:pStyle w:val="BodyText"/>
      </w:pPr>
    </w:p>
    <w:p w:rsidR="00000000" w:rsidRPr="00E92A34" w:rsidP="00E92A34">
      <w:pPr>
        <w:pStyle w:val="AllowPageBreak"/>
      </w:pPr>
    </w:p>
    <w:p w:rsidR="00000000" w:rsidRPr="00E92A34" w:rsidP="00E92A34">
      <w:pPr>
        <w:pStyle w:val="Heading1"/>
      </w:pPr>
      <w:bookmarkStart w:id="11" w:name="O_499711"/>
      <w:bookmarkEnd w:id="11"/>
      <w:r w:rsidRPr="00E92A34">
        <w:t>Range Statement</w:t>
      </w:r>
    </w:p>
    <w:tbl>
      <w:tblPr>
        <w:tblW w:w="9322" w:type="dxa"/>
        <w:tblLayout w:type="fixed"/>
        <w:tblCellMar>
          <w:left w:w="62" w:type="dxa"/>
          <w:right w:w="62" w:type="dxa"/>
        </w:tblCellMar>
        <w:tblLook w:val="0000"/>
      </w:tblPr>
      <w:tblGrid>
        <w:gridCol w:w="2660"/>
        <w:gridCol w:w="6628"/>
        <w:gridCol w:w="34"/>
      </w:tblGrid>
      <w:tr w:rsidTr="006238C1">
        <w:tblPrEx>
          <w:tblW w:w="9322" w:type="dxa"/>
          <w:tblLayout w:type="fixed"/>
          <w:tblCellMar>
            <w:left w:w="62" w:type="dxa"/>
            <w:right w:w="62" w:type="dxa"/>
          </w:tblCellMar>
          <w:tblLook w:val="0000"/>
        </w:tblPrEx>
        <w:tc>
          <w:tcPr>
            <w:tcW w:w="9322" w:type="dxa"/>
            <w:gridSpan w:val="3"/>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t>The Range Statement provides information about the context in which the unit of competency is carried out. The variables</w:t>
            </w:r>
            <w:r w:rsidRPr="00E92A34">
              <w:t xml:space="preserve"> cater for differences between States and Territories and the Commonwealth, and between organisations and workplaces. They allow for different work requirements, work practices and knowledge. The Range Statement also provides a focus for assessment. It rel</w:t>
            </w:r>
            <w:r w:rsidRPr="00E92A34">
              <w:t xml:space="preserve">ates to the unit as a whole. Text in </w:t>
            </w:r>
            <w:r w:rsidRPr="00E92A34">
              <w:rPr>
                <w:rStyle w:val="BoldandItalics"/>
              </w:rPr>
              <w:t>bold italics</w:t>
            </w:r>
            <w:r w:rsidRPr="00E92A34">
              <w:t xml:space="preserve"> in the Performance Criteria is explained here.</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rPr>
                <w:rStyle w:val="BoldandItalics"/>
              </w:rPr>
              <w:t xml:space="preserve">Risk </w:t>
            </w:r>
            <w:r w:rsidRPr="00E92A34">
              <w:t>may be to:</w:t>
            </w:r>
          </w:p>
        </w:tc>
        <w:tc>
          <w:tcPr>
            <w:tcW w:w="6662" w:type="dxa"/>
            <w:gridSpan w:val="2"/>
            <w:tcBorders>
              <w:top w:val="nil"/>
              <w:left w:val="nil"/>
              <w:bottom w:val="nil"/>
              <w:right w:val="nil"/>
            </w:tcBorders>
            <w:tcMar>
              <w:top w:w="0" w:type="dxa"/>
              <w:left w:w="62" w:type="dxa"/>
              <w:bottom w:w="0" w:type="dxa"/>
              <w:right w:w="62" w:type="dxa"/>
            </w:tcMar>
          </w:tcPr>
          <w:p w:rsidR="00000000" w:rsidRPr="00E92A34" w:rsidP="00E92A34">
            <w:pPr>
              <w:pStyle w:val="ListBullet2"/>
            </w:pPr>
            <w:r w:rsidRPr="00E92A34">
              <w:t>personnel</w:t>
            </w:r>
          </w:p>
          <w:p w:rsidR="00000000" w:rsidRPr="00E92A34" w:rsidP="00E92A34">
            <w:pPr>
              <w:pStyle w:val="ListBullet2"/>
            </w:pPr>
            <w:r w:rsidRPr="00E92A34">
              <w:t>information</w:t>
            </w:r>
          </w:p>
          <w:p w:rsidR="00000000" w:rsidRPr="00E92A34" w:rsidP="00E92A34">
            <w:pPr>
              <w:pStyle w:val="ListBullet2"/>
            </w:pPr>
            <w:r w:rsidRPr="00E92A34">
              <w:t>property</w:t>
            </w:r>
          </w:p>
          <w:p w:rsidR="00000000" w:rsidP="00E92A34">
            <w:pPr>
              <w:pStyle w:val="ListBullet2"/>
              <w:rPr>
                <w:lang w:val="en-NZ"/>
              </w:rPr>
            </w:pPr>
            <w:r w:rsidRPr="00E92A34">
              <w:t>reputation</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rPr>
                <w:rStyle w:val="BoldandItalics"/>
              </w:rPr>
              <w:t>Acceptable risks</w:t>
            </w:r>
            <w:r w:rsidRPr="00E92A34">
              <w:t xml:space="preserve"> are:</w:t>
            </w:r>
          </w:p>
        </w:tc>
        <w:tc>
          <w:tcPr>
            <w:tcW w:w="6662" w:type="dxa"/>
            <w:gridSpan w:val="2"/>
            <w:tcBorders>
              <w:top w:val="nil"/>
              <w:left w:val="nil"/>
              <w:bottom w:val="nil"/>
              <w:right w:val="nil"/>
            </w:tcBorders>
            <w:tcMar>
              <w:top w:w="0" w:type="dxa"/>
              <w:left w:w="62" w:type="dxa"/>
              <w:bottom w:w="0" w:type="dxa"/>
              <w:right w:w="62" w:type="dxa"/>
            </w:tcMar>
          </w:tcPr>
          <w:p w:rsidR="00000000" w:rsidP="00E92A34">
            <w:pPr>
              <w:pStyle w:val="ListBullet2"/>
              <w:rPr>
                <w:lang w:val="en-NZ"/>
              </w:rPr>
            </w:pPr>
            <w:r w:rsidRPr="00E92A34">
              <w:t>thos</w:t>
            </w:r>
            <w:r w:rsidRPr="00E92A34">
              <w:t xml:space="preserve">e which an organisation has determined have the least potential for harm </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rPr>
                <w:rStyle w:val="BoldandItalics"/>
              </w:rPr>
              <w:t>Unacceptable risks</w:t>
            </w:r>
            <w:r w:rsidRPr="00E92A34">
              <w:t xml:space="preserve"> are:</w:t>
            </w:r>
          </w:p>
        </w:tc>
        <w:tc>
          <w:tcPr>
            <w:tcW w:w="6662" w:type="dxa"/>
            <w:gridSpan w:val="2"/>
            <w:tcBorders>
              <w:top w:val="nil"/>
              <w:left w:val="nil"/>
              <w:bottom w:val="nil"/>
              <w:right w:val="nil"/>
            </w:tcBorders>
            <w:tcMar>
              <w:top w:w="0" w:type="dxa"/>
              <w:left w:w="62" w:type="dxa"/>
              <w:bottom w:w="0" w:type="dxa"/>
              <w:right w:w="62" w:type="dxa"/>
            </w:tcMar>
          </w:tcPr>
          <w:p w:rsidR="00000000" w:rsidP="00E92A34">
            <w:pPr>
              <w:pStyle w:val="ListBullet2"/>
              <w:rPr>
                <w:lang w:val="en-NZ"/>
              </w:rPr>
            </w:pPr>
            <w:r w:rsidRPr="00E92A34">
              <w:t>those which an organisation has determined have the most potential for harm</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rPr>
                <w:rStyle w:val="BoldandItalics"/>
              </w:rPr>
              <w:t xml:space="preserve">Sources of security risk </w:t>
            </w:r>
            <w:r w:rsidRPr="00E92A34">
              <w:t>may include:</w:t>
            </w:r>
          </w:p>
        </w:tc>
        <w:tc>
          <w:tcPr>
            <w:tcW w:w="6662" w:type="dxa"/>
            <w:gridSpan w:val="2"/>
            <w:tcBorders>
              <w:top w:val="nil"/>
              <w:left w:val="nil"/>
              <w:bottom w:val="nil"/>
              <w:right w:val="nil"/>
            </w:tcBorders>
            <w:tcMar>
              <w:top w:w="0" w:type="dxa"/>
              <w:left w:w="62" w:type="dxa"/>
              <w:bottom w:w="0" w:type="dxa"/>
              <w:right w:w="62" w:type="dxa"/>
            </w:tcMar>
          </w:tcPr>
          <w:p w:rsidR="00000000" w:rsidRPr="00E92A34" w:rsidP="00E92A34">
            <w:pPr>
              <w:pStyle w:val="ListBullet2"/>
            </w:pPr>
            <w:r w:rsidRPr="00E92A34">
              <w:t>technical</w:t>
            </w:r>
          </w:p>
          <w:p w:rsidR="00000000" w:rsidRPr="00E92A34" w:rsidP="00E92A34">
            <w:pPr>
              <w:pStyle w:val="ListBullet2"/>
            </w:pPr>
            <w:r w:rsidRPr="00E92A34">
              <w:t>actual events</w:t>
            </w:r>
          </w:p>
          <w:p w:rsidR="00000000" w:rsidRPr="00E92A34" w:rsidP="00E92A34">
            <w:pPr>
              <w:pStyle w:val="ListBullet2"/>
            </w:pPr>
            <w:r w:rsidRPr="00E92A34">
              <w:t>political circum</w:t>
            </w:r>
            <w:r w:rsidRPr="00E92A34">
              <w:t>stances</w:t>
            </w:r>
          </w:p>
          <w:p w:rsidR="00000000" w:rsidRPr="00E92A34" w:rsidP="00E92A34">
            <w:pPr>
              <w:pStyle w:val="ListBullet2"/>
            </w:pPr>
            <w:r w:rsidRPr="00E92A34">
              <w:t>human behaviour</w:t>
            </w:r>
          </w:p>
          <w:p w:rsidR="00000000" w:rsidRPr="00E92A34" w:rsidP="00E92A34">
            <w:pPr>
              <w:pStyle w:val="ListBullet2"/>
            </w:pPr>
            <w:r w:rsidRPr="00E92A34">
              <w:t>environmental</w:t>
            </w:r>
          </w:p>
          <w:p w:rsidR="00000000" w:rsidRPr="00E92A34" w:rsidP="00E92A34">
            <w:pPr>
              <w:pStyle w:val="ListBullet2"/>
            </w:pPr>
            <w:r w:rsidRPr="00E92A34">
              <w:t xml:space="preserve">conflict </w:t>
            </w:r>
          </w:p>
          <w:p w:rsidR="00000000" w:rsidRPr="00E92A34" w:rsidP="00E92A34">
            <w:pPr>
              <w:pStyle w:val="ListBullet2"/>
            </w:pPr>
            <w:r w:rsidRPr="00E92A34">
              <w:t>terrorism</w:t>
            </w:r>
          </w:p>
          <w:p w:rsidR="00000000" w:rsidRPr="00E92A34" w:rsidP="00E92A34">
            <w:pPr>
              <w:pStyle w:val="ListBullet2"/>
            </w:pPr>
            <w:r w:rsidRPr="00E92A34">
              <w:t>internal</w:t>
            </w:r>
          </w:p>
          <w:p w:rsidR="00000000" w:rsidRPr="00E92A34" w:rsidP="00E92A34">
            <w:pPr>
              <w:pStyle w:val="ListBullet2"/>
            </w:pPr>
            <w:r w:rsidRPr="00E92A34">
              <w:t>external</w:t>
            </w:r>
          </w:p>
          <w:p w:rsidR="00000000" w:rsidRPr="00E92A34" w:rsidP="00E92A34">
            <w:pPr>
              <w:pStyle w:val="ListBullet2"/>
            </w:pPr>
            <w:r w:rsidRPr="00E92A34">
              <w:t>local</w:t>
            </w:r>
          </w:p>
          <w:p w:rsidR="00000000" w:rsidRPr="00E92A34" w:rsidP="00E92A34">
            <w:pPr>
              <w:pStyle w:val="ListBullet2"/>
            </w:pPr>
            <w:r w:rsidRPr="00E92A34">
              <w:t>national</w:t>
            </w:r>
          </w:p>
          <w:p w:rsidR="00000000" w:rsidP="00E92A34">
            <w:pPr>
              <w:pStyle w:val="ListBullet2"/>
              <w:rPr>
                <w:lang w:val="en-NZ"/>
              </w:rPr>
            </w:pPr>
            <w:r w:rsidRPr="00E92A34">
              <w:t>international</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rPr>
                <w:rStyle w:val="BoldandItalics"/>
              </w:rPr>
              <w:t>Level of risk</w:t>
            </w:r>
            <w:r w:rsidRPr="00E92A34">
              <w:t xml:space="preserve"> may be:</w:t>
            </w:r>
          </w:p>
        </w:tc>
        <w:tc>
          <w:tcPr>
            <w:tcW w:w="6662" w:type="dxa"/>
            <w:gridSpan w:val="2"/>
            <w:tcBorders>
              <w:top w:val="nil"/>
              <w:left w:val="nil"/>
              <w:bottom w:val="nil"/>
              <w:right w:val="nil"/>
            </w:tcBorders>
            <w:tcMar>
              <w:top w:w="0" w:type="dxa"/>
              <w:left w:w="62" w:type="dxa"/>
              <w:bottom w:w="0" w:type="dxa"/>
              <w:right w:w="62" w:type="dxa"/>
            </w:tcMar>
          </w:tcPr>
          <w:p w:rsidR="00000000" w:rsidRPr="00E92A34" w:rsidP="00E92A34">
            <w:pPr>
              <w:pStyle w:val="ListBullet2"/>
            </w:pPr>
            <w:r w:rsidRPr="00E92A34">
              <w:t>severe</w:t>
            </w:r>
          </w:p>
          <w:p w:rsidR="00000000" w:rsidRPr="00E92A34" w:rsidP="00E92A34">
            <w:pPr>
              <w:pStyle w:val="ListBullet2"/>
            </w:pPr>
            <w:r w:rsidRPr="00E92A34">
              <w:t>high</w:t>
            </w:r>
          </w:p>
          <w:p w:rsidR="00000000" w:rsidRPr="00E92A34" w:rsidP="00E92A34">
            <w:pPr>
              <w:pStyle w:val="ListBullet2"/>
            </w:pPr>
            <w:r w:rsidRPr="00E92A34">
              <w:t>major</w:t>
            </w:r>
          </w:p>
          <w:p w:rsidR="00000000" w:rsidRPr="00E92A34" w:rsidP="00E92A34">
            <w:pPr>
              <w:pStyle w:val="ListBullet2"/>
            </w:pPr>
            <w:r w:rsidRPr="00E92A34">
              <w:t>significant</w:t>
            </w:r>
          </w:p>
          <w:p w:rsidR="00000000" w:rsidRPr="00E92A34" w:rsidP="00E92A34">
            <w:pPr>
              <w:pStyle w:val="ListBullet2"/>
            </w:pPr>
            <w:r w:rsidRPr="00E92A34">
              <w:t>moderate</w:t>
            </w:r>
          </w:p>
          <w:p w:rsidR="00000000" w:rsidRPr="00E92A34" w:rsidP="00E92A34">
            <w:pPr>
              <w:pStyle w:val="ListBullet2"/>
            </w:pPr>
            <w:r w:rsidRPr="00E92A34">
              <w:t>low</w:t>
            </w:r>
          </w:p>
          <w:p w:rsidR="00000000" w:rsidP="00E92A34">
            <w:pPr>
              <w:pStyle w:val="ListBullet2"/>
              <w:rPr>
                <w:lang w:val="en-NZ"/>
              </w:rPr>
            </w:pPr>
            <w:r w:rsidRPr="00E92A34">
              <w:t>trivial</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rPr>
                <w:rStyle w:val="BoldandItalics"/>
              </w:rPr>
              <w:t>Treatment options</w:t>
            </w:r>
            <w:r w:rsidRPr="00E92A34">
              <w:t xml:space="preserve"> may include:</w:t>
            </w:r>
          </w:p>
        </w:tc>
        <w:tc>
          <w:tcPr>
            <w:tcW w:w="6662" w:type="dxa"/>
            <w:gridSpan w:val="2"/>
            <w:tcBorders>
              <w:top w:val="nil"/>
              <w:left w:val="nil"/>
              <w:bottom w:val="nil"/>
              <w:right w:val="nil"/>
            </w:tcBorders>
            <w:tcMar>
              <w:top w:w="0" w:type="dxa"/>
              <w:left w:w="62" w:type="dxa"/>
              <w:bottom w:w="0" w:type="dxa"/>
              <w:right w:w="62" w:type="dxa"/>
            </w:tcMar>
          </w:tcPr>
          <w:p w:rsidR="00000000" w:rsidRPr="00E92A34" w:rsidP="00E92A34">
            <w:pPr>
              <w:pStyle w:val="ListBullet2"/>
            </w:pPr>
            <w:r w:rsidRPr="00E92A34">
              <w:t>addition of security measures</w:t>
            </w:r>
          </w:p>
          <w:p w:rsidR="00000000" w:rsidRPr="00E92A34" w:rsidP="00E92A34">
            <w:pPr>
              <w:pStyle w:val="ListBullet2"/>
            </w:pPr>
            <w:r w:rsidRPr="00E92A34">
              <w:t>reduction of security measures</w:t>
            </w:r>
          </w:p>
          <w:p w:rsidR="00000000" w:rsidRPr="00E92A34" w:rsidP="00E92A34">
            <w:pPr>
              <w:pStyle w:val="ListBullet2"/>
            </w:pPr>
            <w:r w:rsidRPr="00E92A34">
              <w:t>avoiding the risk through change of practice</w:t>
            </w:r>
          </w:p>
          <w:p w:rsidR="00000000" w:rsidRPr="00E92A34" w:rsidP="00E92A34">
            <w:pPr>
              <w:pStyle w:val="ListBullet2"/>
            </w:pPr>
            <w:r w:rsidRPr="00E92A34">
              <w:t>acceptance of residual risk</w:t>
            </w:r>
          </w:p>
          <w:p w:rsidR="00000000" w:rsidRPr="00E92A34" w:rsidP="00E92A34">
            <w:pPr>
              <w:pStyle w:val="ListBullet2"/>
            </w:pPr>
            <w:r w:rsidRPr="00E92A34">
              <w:t>minimisation of harm through response mechanisms</w:t>
            </w:r>
          </w:p>
          <w:p w:rsidR="00000000" w:rsidP="00E92A34">
            <w:pPr>
              <w:pStyle w:val="ListBullet2"/>
              <w:rPr>
                <w:lang w:val="en-NZ"/>
              </w:rPr>
            </w:pPr>
            <w:r w:rsidRPr="00E92A34">
              <w:t>accepting the risk</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rPr>
                <w:rStyle w:val="BoldandItalics"/>
              </w:rPr>
              <w:t xml:space="preserve">Likelihood </w:t>
            </w:r>
            <w:r w:rsidRPr="00E92A34">
              <w:t>of risk may be determined through analysis of:</w:t>
            </w:r>
          </w:p>
        </w:tc>
        <w:tc>
          <w:tcPr>
            <w:tcW w:w="6662" w:type="dxa"/>
            <w:gridSpan w:val="2"/>
            <w:tcBorders>
              <w:top w:val="nil"/>
              <w:left w:val="nil"/>
              <w:bottom w:val="nil"/>
              <w:right w:val="nil"/>
            </w:tcBorders>
            <w:tcMar>
              <w:top w:w="0" w:type="dxa"/>
              <w:left w:w="62" w:type="dxa"/>
              <w:bottom w:w="0" w:type="dxa"/>
              <w:right w:w="62" w:type="dxa"/>
            </w:tcMar>
          </w:tcPr>
          <w:p w:rsidR="00000000" w:rsidRPr="00E92A34" w:rsidP="00E92A34">
            <w:pPr>
              <w:pStyle w:val="ListBullet2"/>
            </w:pPr>
            <w:r w:rsidRPr="00E92A34">
              <w:t>current controls to deter, detect or prevent harm</w:t>
            </w:r>
          </w:p>
          <w:p w:rsidR="00000000" w:rsidRPr="00E92A34" w:rsidP="00E92A34">
            <w:pPr>
              <w:pStyle w:val="ListBullet2"/>
            </w:pPr>
            <w:r w:rsidRPr="00E92A34">
              <w:t>effectiveness of current controls</w:t>
            </w:r>
          </w:p>
          <w:p w:rsidR="00000000" w:rsidRPr="00E92A34" w:rsidP="00E92A34">
            <w:pPr>
              <w:pStyle w:val="ListBullet2"/>
            </w:pPr>
            <w:r w:rsidRPr="00E92A34">
              <w:t>level of exposure</w:t>
            </w:r>
          </w:p>
          <w:p w:rsidR="00000000" w:rsidRPr="00E92A34" w:rsidP="00E92A34">
            <w:pPr>
              <w:pStyle w:val="ListBullet2"/>
            </w:pPr>
            <w:r w:rsidRPr="00E92A34">
              <w:t>threat assessment</w:t>
            </w:r>
          </w:p>
          <w:p w:rsidR="00000000" w:rsidRPr="00E92A34" w:rsidP="00E92A34">
            <w:pPr>
              <w:pStyle w:val="ListBullet2"/>
            </w:pPr>
            <w:r w:rsidRPr="00E92A34">
              <w:t>determination of threat source/s</w:t>
            </w:r>
          </w:p>
          <w:p w:rsidR="00000000" w:rsidP="00E92A34">
            <w:pPr>
              <w:pStyle w:val="ListBullet2"/>
              <w:rPr>
                <w:lang w:val="en-NZ"/>
              </w:rPr>
            </w:pPr>
            <w:r w:rsidRPr="00E92A34">
              <w:t>competence (capability and intent) of threat source/s</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rPr>
                <w:rStyle w:val="BoldandItalics"/>
              </w:rPr>
              <w:t xml:space="preserve">Consequences </w:t>
            </w:r>
            <w:r w:rsidRPr="00E92A34">
              <w:t>may include:</w:t>
            </w:r>
          </w:p>
        </w:tc>
        <w:tc>
          <w:tcPr>
            <w:tcW w:w="6662" w:type="dxa"/>
            <w:gridSpan w:val="2"/>
            <w:tcBorders>
              <w:top w:val="nil"/>
              <w:left w:val="nil"/>
              <w:bottom w:val="nil"/>
              <w:right w:val="nil"/>
            </w:tcBorders>
            <w:tcMar>
              <w:top w:w="0" w:type="dxa"/>
              <w:left w:w="62" w:type="dxa"/>
              <w:bottom w:w="0" w:type="dxa"/>
              <w:right w:w="62" w:type="dxa"/>
            </w:tcMar>
          </w:tcPr>
          <w:p w:rsidR="00000000" w:rsidRPr="00E92A34" w:rsidP="00E92A34">
            <w:pPr>
              <w:pStyle w:val="ListBullet2"/>
            </w:pPr>
            <w:r w:rsidRPr="00E92A34">
              <w:t>what constitutes harm</w:t>
            </w:r>
          </w:p>
          <w:p w:rsidR="00000000" w:rsidRPr="00E92A34" w:rsidP="00E92A34">
            <w:pPr>
              <w:pStyle w:val="ListBullet2"/>
            </w:pPr>
            <w:r w:rsidRPr="00E92A34">
              <w:t>degree of harm</w:t>
            </w:r>
          </w:p>
          <w:p w:rsidR="00000000" w:rsidRPr="00E92A34" w:rsidP="00E92A34">
            <w:pPr>
              <w:pStyle w:val="ListBullet2"/>
            </w:pPr>
            <w:r w:rsidRPr="00E92A34">
              <w:t>who would be affected and how</w:t>
            </w:r>
          </w:p>
          <w:p w:rsidR="00000000" w:rsidRPr="00E92A34" w:rsidP="00E92A34">
            <w:pPr>
              <w:pStyle w:val="ListBullet2"/>
            </w:pPr>
            <w:r w:rsidRPr="00E92A34">
              <w:t>how much disruption would occur</w:t>
            </w:r>
          </w:p>
          <w:p w:rsidR="00000000" w:rsidRPr="00E92A34" w:rsidP="00E92A34">
            <w:pPr>
              <w:pStyle w:val="ListBullet2"/>
            </w:pPr>
            <w:r w:rsidRPr="00E92A34">
              <w:t>levels that are:</w:t>
            </w:r>
          </w:p>
          <w:p w:rsidR="00000000" w:rsidRPr="00E92A34" w:rsidP="00E92A34">
            <w:pPr>
              <w:pStyle w:val="ListBullet3"/>
            </w:pPr>
            <w:r w:rsidRPr="00E92A34">
              <w:t>extreme</w:t>
            </w:r>
          </w:p>
          <w:p w:rsidR="00000000" w:rsidRPr="00E92A34" w:rsidP="00E92A34">
            <w:pPr>
              <w:pStyle w:val="ListBullet3"/>
            </w:pPr>
            <w:r w:rsidRPr="00E92A34">
              <w:t>very high</w:t>
            </w:r>
          </w:p>
          <w:p w:rsidR="00000000" w:rsidRPr="00E92A34" w:rsidP="00E92A34">
            <w:pPr>
              <w:pStyle w:val="ListBullet3"/>
            </w:pPr>
            <w:r w:rsidRPr="00E92A34">
              <w:t>medium</w:t>
            </w:r>
          </w:p>
          <w:p w:rsidR="00000000" w:rsidRPr="00E92A34" w:rsidP="00E92A34">
            <w:pPr>
              <w:pStyle w:val="ListBullet3"/>
            </w:pPr>
            <w:r w:rsidRPr="00E92A34">
              <w:t>low</w:t>
            </w:r>
          </w:p>
          <w:p w:rsidR="00000000" w:rsidP="00E92A34">
            <w:pPr>
              <w:pStyle w:val="ListBullet3"/>
              <w:rPr>
                <w:lang w:val="en-NZ"/>
              </w:rPr>
            </w:pPr>
            <w:r w:rsidRPr="00E92A34">
              <w:t>negligible</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rPr>
                <w:rStyle w:val="BoldandItalics"/>
              </w:rPr>
              <w:t>Continuity plans</w:t>
            </w:r>
            <w:r w:rsidRPr="00E92A34">
              <w:t>:</w:t>
            </w:r>
          </w:p>
        </w:tc>
        <w:tc>
          <w:tcPr>
            <w:tcW w:w="6662" w:type="dxa"/>
            <w:gridSpan w:val="2"/>
            <w:tcBorders>
              <w:top w:val="nil"/>
              <w:left w:val="nil"/>
              <w:bottom w:val="nil"/>
              <w:right w:val="nil"/>
            </w:tcBorders>
            <w:tcMar>
              <w:top w:w="0" w:type="dxa"/>
              <w:left w:w="62" w:type="dxa"/>
              <w:bottom w:w="0" w:type="dxa"/>
              <w:right w:w="62" w:type="dxa"/>
            </w:tcMar>
          </w:tcPr>
          <w:p w:rsidR="00000000" w:rsidRPr="00E92A34" w:rsidP="00E92A34">
            <w:pPr>
              <w:pStyle w:val="ListBullet2"/>
            </w:pPr>
            <w:r w:rsidRPr="00E92A34">
              <w:t>may lessen the adverse consequences of risk</w:t>
            </w:r>
          </w:p>
          <w:p w:rsidR="00000000" w:rsidP="00E92A34">
            <w:pPr>
              <w:pStyle w:val="ListBullet2"/>
              <w:rPr>
                <w:lang w:val="en-NZ"/>
              </w:rPr>
            </w:pPr>
            <w:r w:rsidRPr="00E92A34">
              <w:t>provide a set of planned procedures that enable organisations to continue or recover services to the government and the public with minimal disruption over a given period, irrespective of the source of the disruption</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rPr>
                <w:rStyle w:val="BoldandItalics"/>
              </w:rPr>
              <w:t xml:space="preserve">Treatment plans </w:t>
            </w:r>
            <w:r w:rsidRPr="00E92A34">
              <w:t>may include:</w:t>
            </w:r>
          </w:p>
        </w:tc>
        <w:tc>
          <w:tcPr>
            <w:tcW w:w="6662" w:type="dxa"/>
            <w:gridSpan w:val="2"/>
            <w:tcBorders>
              <w:top w:val="nil"/>
              <w:left w:val="nil"/>
              <w:bottom w:val="nil"/>
              <w:right w:val="nil"/>
            </w:tcBorders>
            <w:tcMar>
              <w:top w:w="0" w:type="dxa"/>
              <w:left w:w="62" w:type="dxa"/>
              <w:bottom w:w="0" w:type="dxa"/>
              <w:right w:w="62" w:type="dxa"/>
            </w:tcMar>
          </w:tcPr>
          <w:p w:rsidR="00000000" w:rsidRPr="00E92A34" w:rsidP="00E92A34">
            <w:pPr>
              <w:pStyle w:val="ListBullet2"/>
            </w:pPr>
            <w:r w:rsidRPr="00E92A34">
              <w:t>responsi</w:t>
            </w:r>
            <w:r w:rsidRPr="00E92A34">
              <w:t>bilities</w:t>
            </w:r>
          </w:p>
          <w:p w:rsidR="00000000" w:rsidRPr="00E92A34" w:rsidP="00E92A34">
            <w:pPr>
              <w:pStyle w:val="ListBullet2"/>
            </w:pPr>
            <w:r w:rsidRPr="00E92A34">
              <w:t>schedules</w:t>
            </w:r>
          </w:p>
          <w:p w:rsidR="00000000" w:rsidRPr="00E92A34" w:rsidP="00E92A34">
            <w:pPr>
              <w:pStyle w:val="ListBullet2"/>
            </w:pPr>
            <w:r w:rsidRPr="00E92A34">
              <w:t>expected outcomes</w:t>
            </w:r>
          </w:p>
          <w:p w:rsidR="00000000" w:rsidRPr="00E92A34" w:rsidP="00E92A34">
            <w:pPr>
              <w:pStyle w:val="ListBullet2"/>
            </w:pPr>
            <w:r w:rsidRPr="00E92A34">
              <w:t>budget information</w:t>
            </w:r>
          </w:p>
          <w:p w:rsidR="00000000" w:rsidRPr="00E92A34" w:rsidP="00E92A34">
            <w:pPr>
              <w:pStyle w:val="ListBullet2"/>
            </w:pPr>
            <w:r w:rsidRPr="00E92A34">
              <w:t>performance measures</w:t>
            </w:r>
          </w:p>
          <w:p w:rsidR="00000000" w:rsidP="00E92A34">
            <w:pPr>
              <w:pStyle w:val="ListBullet2"/>
              <w:rPr>
                <w:lang w:val="en-NZ"/>
              </w:rPr>
            </w:pPr>
            <w:r w:rsidRPr="00E92A34">
              <w:t>monitoring process</w:t>
            </w:r>
          </w:p>
        </w:tc>
      </w:tr>
      <w:tr w:rsidTr="006238C1">
        <w:tblPrEx>
          <w:tblW w:w="9322" w:type="dxa"/>
          <w:tblLayout w:type="fixed"/>
          <w:tblCellMar>
            <w:left w:w="62" w:type="dxa"/>
            <w:right w:w="62" w:type="dxa"/>
          </w:tblCellMar>
          <w:tblLook w:val="0000"/>
        </w:tblPrEx>
        <w:trPr>
          <w:gridAfter w:val="1"/>
          <w:wAfter w:w="34" w:type="dxa"/>
        </w:trPr>
        <w:tc>
          <w:tcPr>
            <w:tcW w:w="2660" w:type="dxa"/>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rPr>
                <w:rStyle w:val="BoldandItalics"/>
              </w:rPr>
              <w:t xml:space="preserve">Countermeasures </w:t>
            </w:r>
            <w:r w:rsidRPr="00E92A34">
              <w:t>may include:</w:t>
            </w:r>
          </w:p>
        </w:tc>
        <w:tc>
          <w:tcPr>
            <w:tcW w:w="6628" w:type="dxa"/>
            <w:tcBorders>
              <w:top w:val="nil"/>
              <w:left w:val="nil"/>
              <w:bottom w:val="nil"/>
              <w:right w:val="nil"/>
            </w:tcBorders>
            <w:tcMar>
              <w:top w:w="0" w:type="dxa"/>
              <w:left w:w="62" w:type="dxa"/>
              <w:bottom w:w="0" w:type="dxa"/>
              <w:right w:w="62" w:type="dxa"/>
            </w:tcMar>
          </w:tcPr>
          <w:p w:rsidR="00000000" w:rsidRPr="00E92A34" w:rsidP="00E92A34">
            <w:pPr>
              <w:pStyle w:val="ListBullet2"/>
            </w:pPr>
            <w:r w:rsidRPr="00E92A34">
              <w:t>revision of agency security plan</w:t>
            </w:r>
          </w:p>
          <w:p w:rsidR="00000000" w:rsidRPr="00E92A34" w:rsidP="00E92A34">
            <w:pPr>
              <w:pStyle w:val="ListBullet2"/>
            </w:pPr>
            <w:r w:rsidRPr="00E92A34">
              <w:t>upgrade of existing security</w:t>
            </w:r>
          </w:p>
          <w:p w:rsidR="00000000" w:rsidRPr="00E92A34" w:rsidP="00E92A34">
            <w:pPr>
              <w:pStyle w:val="ListBullet2"/>
            </w:pPr>
            <w:r w:rsidRPr="00E92A34">
              <w:t>installation of new security measures</w:t>
            </w:r>
          </w:p>
          <w:p w:rsidR="00000000" w:rsidRPr="00E92A34" w:rsidP="00E92A34">
            <w:pPr>
              <w:pStyle w:val="ListBullet2"/>
            </w:pPr>
            <w:r w:rsidRPr="00E92A34">
              <w:t>technical controls</w:t>
            </w:r>
          </w:p>
          <w:p w:rsidR="00000000" w:rsidRPr="00E92A34" w:rsidP="00E92A34">
            <w:pPr>
              <w:pStyle w:val="ListBullet2"/>
            </w:pPr>
            <w:r w:rsidRPr="00E92A34">
              <w:t>training</w:t>
            </w:r>
          </w:p>
          <w:p w:rsidR="00000000" w:rsidRPr="00E92A34" w:rsidP="00E92A34">
            <w:pPr>
              <w:pStyle w:val="ListBullet2"/>
            </w:pPr>
            <w:r w:rsidRPr="00E92A34">
              <w:t>personnel-oriented</w:t>
            </w:r>
          </w:p>
          <w:p w:rsidR="00000000" w:rsidRPr="00E92A34" w:rsidP="00E92A34">
            <w:pPr>
              <w:pStyle w:val="ListBullet2"/>
            </w:pPr>
            <w:r w:rsidRPr="00E92A34">
              <w:t>information-oriented</w:t>
            </w:r>
          </w:p>
          <w:p w:rsidR="00000000" w:rsidRPr="00E92A34" w:rsidP="00E92A34">
            <w:pPr>
              <w:pStyle w:val="ListBullet2"/>
            </w:pPr>
            <w:r w:rsidRPr="00E92A34">
              <w:t>property-oriented</w:t>
            </w:r>
          </w:p>
          <w:p w:rsidR="00000000" w:rsidP="00E92A34">
            <w:pPr>
              <w:pStyle w:val="ListBullet2"/>
              <w:rPr>
                <w:lang w:val="en-NZ"/>
              </w:rPr>
            </w:pPr>
            <w:r w:rsidRPr="00E92A34">
              <w:t>reputation-oriented</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rPr>
                <w:rStyle w:val="BoldandItalics"/>
              </w:rPr>
              <w:t>Legal requirements, government and organisational policy</w:t>
            </w:r>
            <w:r w:rsidRPr="00E92A34">
              <w:t xml:space="preserve"> may include:</w:t>
            </w:r>
          </w:p>
        </w:tc>
        <w:tc>
          <w:tcPr>
            <w:tcW w:w="6662" w:type="dxa"/>
            <w:gridSpan w:val="2"/>
            <w:tcBorders>
              <w:top w:val="nil"/>
              <w:left w:val="nil"/>
              <w:bottom w:val="nil"/>
              <w:right w:val="nil"/>
            </w:tcBorders>
            <w:tcMar>
              <w:top w:w="0" w:type="dxa"/>
              <w:left w:w="62" w:type="dxa"/>
              <w:bottom w:w="0" w:type="dxa"/>
              <w:right w:w="62" w:type="dxa"/>
            </w:tcMar>
          </w:tcPr>
          <w:p w:rsidR="00000000" w:rsidRPr="00E92A34" w:rsidP="00E92A34">
            <w:pPr>
              <w:pStyle w:val="ListBullet2"/>
            </w:pPr>
            <w:r w:rsidRPr="00E92A34">
              <w:t>Commonwealth and State/Territory legislation including equal employment opportunity, occupational health a</w:t>
            </w:r>
            <w:r w:rsidRPr="00E92A34">
              <w:t>nd safety, privacy and anti-discrimination law</w:t>
            </w:r>
          </w:p>
          <w:p w:rsidR="00000000" w:rsidRPr="00E92A34" w:rsidP="00E92A34">
            <w:pPr>
              <w:pStyle w:val="ListBullet2"/>
            </w:pPr>
            <w:r w:rsidRPr="00E92A34">
              <w:t>access and equity</w:t>
            </w:r>
          </w:p>
          <w:p w:rsidR="00000000" w:rsidRPr="00E92A34" w:rsidP="00E92A34">
            <w:pPr>
              <w:pStyle w:val="ListBullet2"/>
            </w:pPr>
            <w:r w:rsidRPr="00E92A34">
              <w:t>ethics and accountability</w:t>
            </w:r>
          </w:p>
          <w:p w:rsidR="00000000" w:rsidRPr="00E92A34" w:rsidP="00E92A34">
            <w:pPr>
              <w:pStyle w:val="ListBullet2"/>
            </w:pPr>
            <w:r w:rsidRPr="00E92A34">
              <w:t>national and international codes of practice and standards</w:t>
            </w:r>
          </w:p>
          <w:p w:rsidR="00000000" w:rsidRPr="00E92A34" w:rsidP="00E92A34">
            <w:pPr>
              <w:pStyle w:val="ListBullet2"/>
            </w:pPr>
            <w:r w:rsidRPr="00E92A34">
              <w:t>the organisation's policies and practices</w:t>
            </w:r>
          </w:p>
          <w:p w:rsidR="00000000" w:rsidRPr="00E92A34" w:rsidP="00E92A34">
            <w:pPr>
              <w:pStyle w:val="ListBullet2"/>
            </w:pPr>
            <w:r w:rsidRPr="00E92A34">
              <w:t>government policy</w:t>
            </w:r>
          </w:p>
          <w:p w:rsidR="00000000" w:rsidRPr="00E92A34" w:rsidP="00E92A34">
            <w:pPr>
              <w:pStyle w:val="ListBullet2"/>
            </w:pPr>
            <w:r w:rsidRPr="00E92A34">
              <w:t>codes of conduct/codes of ethics</w:t>
            </w:r>
          </w:p>
          <w:p w:rsidR="00000000" w:rsidRPr="00E92A34" w:rsidP="00E92A34">
            <w:pPr>
              <w:pStyle w:val="ListBullet2"/>
            </w:pPr>
            <w:r w:rsidRPr="00E92A34">
              <w:t>Australian Government Information Security Manual (ISM)</w:t>
            </w:r>
          </w:p>
          <w:p w:rsidR="00000000" w:rsidRPr="00E92A34" w:rsidP="00E92A34">
            <w:pPr>
              <w:pStyle w:val="ListBullet2"/>
            </w:pPr>
            <w:r w:rsidRPr="00E92A34">
              <w:t>Protective Security Policy Framework</w:t>
            </w:r>
          </w:p>
          <w:p w:rsidR="00000000" w:rsidP="00E92A34">
            <w:pPr>
              <w:pStyle w:val="ListBullet2"/>
              <w:rPr>
                <w:lang w:val="en-NZ"/>
              </w:rPr>
            </w:pPr>
            <w:r w:rsidRPr="00E92A34">
              <w:t>AS/NZS ISO 31000:2009 Risk management - Principles and Guidelines</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rPr>
                <w:rStyle w:val="BoldandItalics"/>
              </w:rPr>
              <w:t xml:space="preserve">Strategies </w:t>
            </w:r>
            <w:r w:rsidRPr="00E92A34">
              <w:t>may include:</w:t>
            </w:r>
          </w:p>
        </w:tc>
        <w:tc>
          <w:tcPr>
            <w:tcW w:w="6662" w:type="dxa"/>
            <w:gridSpan w:val="2"/>
            <w:tcBorders>
              <w:top w:val="nil"/>
              <w:left w:val="nil"/>
              <w:bottom w:val="nil"/>
              <w:right w:val="nil"/>
            </w:tcBorders>
            <w:tcMar>
              <w:top w:w="0" w:type="dxa"/>
              <w:left w:w="62" w:type="dxa"/>
              <w:bottom w:w="0" w:type="dxa"/>
              <w:right w:w="62" w:type="dxa"/>
            </w:tcMar>
          </w:tcPr>
          <w:p w:rsidR="00000000" w:rsidRPr="00E92A34" w:rsidP="00E92A34">
            <w:pPr>
              <w:pStyle w:val="ListBullet2"/>
            </w:pPr>
            <w:r w:rsidRPr="00E92A34">
              <w:t>audits</w:t>
            </w:r>
          </w:p>
          <w:p w:rsidR="00000000" w:rsidRPr="00E92A34" w:rsidP="00E92A34">
            <w:pPr>
              <w:pStyle w:val="ListBullet2"/>
            </w:pPr>
            <w:r w:rsidRPr="00E92A34">
              <w:t>incident reporting mechanisms</w:t>
            </w:r>
          </w:p>
          <w:p w:rsidR="00000000" w:rsidRPr="00E92A34" w:rsidP="00E92A34">
            <w:pPr>
              <w:pStyle w:val="ListBullet2"/>
            </w:pPr>
            <w:r w:rsidRPr="00E92A34">
              <w:t>technical controls</w:t>
            </w:r>
          </w:p>
          <w:p w:rsidR="00000000" w:rsidRPr="00E92A34" w:rsidP="00E92A34">
            <w:pPr>
              <w:pStyle w:val="ListBullet2"/>
            </w:pPr>
            <w:r w:rsidRPr="00E92A34">
              <w:t>systems</w:t>
            </w:r>
          </w:p>
          <w:p w:rsidR="00000000" w:rsidRPr="00E92A34" w:rsidP="00E92A34">
            <w:pPr>
              <w:pStyle w:val="ListBullet2"/>
            </w:pPr>
            <w:r w:rsidRPr="00E92A34">
              <w:t>rosters</w:t>
            </w:r>
          </w:p>
          <w:p w:rsidR="00000000" w:rsidRPr="00E92A34" w:rsidP="00E92A34">
            <w:pPr>
              <w:pStyle w:val="ListBullet2"/>
            </w:pPr>
            <w:r w:rsidRPr="00E92A34">
              <w:t>access controls</w:t>
            </w:r>
          </w:p>
          <w:p w:rsidR="00000000" w:rsidP="00E92A34">
            <w:pPr>
              <w:pStyle w:val="ListBullet2"/>
              <w:rPr>
                <w:lang w:val="en-NZ"/>
              </w:rPr>
            </w:pPr>
            <w:r w:rsidRPr="00E92A34">
              <w:t>training</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rPr>
                <w:rStyle w:val="BoldandItalics"/>
              </w:rPr>
              <w:t xml:space="preserve">Monitoring </w:t>
            </w:r>
            <w:r w:rsidRPr="00E92A34">
              <w:t>may include:</w:t>
            </w:r>
          </w:p>
        </w:tc>
        <w:tc>
          <w:tcPr>
            <w:tcW w:w="6662" w:type="dxa"/>
            <w:gridSpan w:val="2"/>
            <w:tcBorders>
              <w:top w:val="nil"/>
              <w:left w:val="nil"/>
              <w:bottom w:val="nil"/>
              <w:right w:val="nil"/>
            </w:tcBorders>
            <w:tcMar>
              <w:top w:w="0" w:type="dxa"/>
              <w:left w:w="62" w:type="dxa"/>
              <w:bottom w:w="0" w:type="dxa"/>
              <w:right w:w="62" w:type="dxa"/>
            </w:tcMar>
          </w:tcPr>
          <w:p w:rsidR="00000000" w:rsidRPr="00E92A34" w:rsidP="00E92A34">
            <w:pPr>
              <w:pStyle w:val="ListBullet2"/>
            </w:pPr>
            <w:r w:rsidRPr="00E92A34">
              <w:t>regular checking</w:t>
            </w:r>
          </w:p>
          <w:p w:rsidR="00000000" w:rsidRPr="00E92A34" w:rsidP="00E92A34">
            <w:pPr>
              <w:pStyle w:val="ListBullet2"/>
            </w:pPr>
            <w:r w:rsidRPr="00E92A34">
              <w:t>critical observation</w:t>
            </w:r>
          </w:p>
          <w:p w:rsidR="00000000" w:rsidRPr="00E92A34" w:rsidP="00E92A34">
            <w:pPr>
              <w:pStyle w:val="ListBullet2"/>
            </w:pPr>
            <w:r w:rsidRPr="00E92A34">
              <w:t>regular recording</w:t>
            </w:r>
          </w:p>
          <w:p w:rsidR="00000000" w:rsidRPr="00E92A34" w:rsidP="00E92A34">
            <w:pPr>
              <w:pStyle w:val="ListBullet2"/>
            </w:pPr>
            <w:r w:rsidRPr="00E92A34">
              <w:t>information, such as threat assessments, from senior management</w:t>
            </w:r>
          </w:p>
          <w:p w:rsidR="00000000" w:rsidRPr="00E92A34" w:rsidP="00E92A34">
            <w:pPr>
              <w:pStyle w:val="ListBullet2"/>
            </w:pPr>
            <w:r w:rsidRPr="00E92A34">
              <w:t>reports from business units on current security measures</w:t>
            </w:r>
          </w:p>
          <w:p w:rsidR="00000000" w:rsidRPr="00E92A34" w:rsidP="00E92A34">
            <w:pPr>
              <w:pStyle w:val="ListBullet2"/>
            </w:pPr>
            <w:r w:rsidRPr="00E92A34">
              <w:t>identification of changes over time such as:</w:t>
            </w:r>
          </w:p>
          <w:p w:rsidR="00000000" w:rsidRPr="00E92A34" w:rsidP="00E92A34">
            <w:pPr>
              <w:pStyle w:val="ListBullet3"/>
            </w:pPr>
            <w:r w:rsidRPr="00E92A34">
              <w:t>notification of major changes to business or corporate goals or plans</w:t>
            </w:r>
          </w:p>
          <w:p w:rsidR="00000000" w:rsidP="00E92A34">
            <w:pPr>
              <w:pStyle w:val="ListBullet3"/>
              <w:rPr>
                <w:lang w:val="en-NZ"/>
              </w:rPr>
            </w:pPr>
            <w:r w:rsidRPr="00E92A34">
              <w:t>notification of key projects</w:t>
            </w:r>
          </w:p>
        </w:tc>
      </w:tr>
      <w:tr w:rsidTr="006238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A34">
            <w:pPr>
              <w:pStyle w:val="BodyText"/>
              <w:rPr>
                <w:lang w:val="en-NZ"/>
              </w:rPr>
            </w:pPr>
            <w:r w:rsidRPr="00E92A34">
              <w:rPr>
                <w:rStyle w:val="BoldandItalics"/>
              </w:rPr>
              <w:t xml:space="preserve">Stakeholders </w:t>
            </w:r>
            <w:r w:rsidRPr="00E92A34">
              <w:t>may include:</w:t>
            </w:r>
          </w:p>
        </w:tc>
        <w:tc>
          <w:tcPr>
            <w:tcW w:w="6662" w:type="dxa"/>
            <w:gridSpan w:val="2"/>
            <w:tcBorders>
              <w:top w:val="nil"/>
              <w:left w:val="nil"/>
              <w:bottom w:val="nil"/>
              <w:right w:val="nil"/>
            </w:tcBorders>
            <w:tcMar>
              <w:top w:w="0" w:type="dxa"/>
              <w:left w:w="62" w:type="dxa"/>
              <w:bottom w:w="0" w:type="dxa"/>
              <w:right w:w="62" w:type="dxa"/>
            </w:tcMar>
          </w:tcPr>
          <w:p w:rsidR="00000000" w:rsidRPr="00E92A34" w:rsidP="00E92A34">
            <w:pPr>
              <w:pStyle w:val="ListBullet2"/>
            </w:pPr>
            <w:r w:rsidRPr="00E92A34">
              <w:t>supervisors</w:t>
            </w:r>
          </w:p>
          <w:p w:rsidR="00000000" w:rsidRPr="00E92A34" w:rsidP="00E92A34">
            <w:pPr>
              <w:pStyle w:val="ListBullet2"/>
            </w:pPr>
            <w:r w:rsidRPr="00E92A34">
              <w:t>managers</w:t>
            </w:r>
          </w:p>
          <w:p w:rsidR="00000000" w:rsidRPr="00E92A34" w:rsidP="00E92A34">
            <w:pPr>
              <w:pStyle w:val="ListBullet2"/>
            </w:pPr>
            <w:r w:rsidRPr="00E92A34">
              <w:t>other areas within the organisation</w:t>
            </w:r>
          </w:p>
          <w:p w:rsidR="00000000" w:rsidRPr="00E92A34" w:rsidP="00E92A34">
            <w:pPr>
              <w:pStyle w:val="ListBullet2"/>
            </w:pPr>
            <w:r w:rsidRPr="00E92A34">
              <w:t>other organisations</w:t>
            </w:r>
          </w:p>
          <w:p w:rsidR="00000000" w:rsidRPr="00E92A34" w:rsidP="00E92A34">
            <w:pPr>
              <w:pStyle w:val="ListBullet2"/>
            </w:pPr>
            <w:r w:rsidRPr="00E92A34">
              <w:t>government</w:t>
            </w:r>
          </w:p>
          <w:p w:rsidR="00000000" w:rsidRPr="00E92A34" w:rsidP="00E92A34">
            <w:pPr>
              <w:pStyle w:val="ListBullet2"/>
            </w:pPr>
            <w:r w:rsidRPr="00E92A34">
              <w:t>third parties</w:t>
            </w:r>
          </w:p>
        </w:tc>
      </w:tr>
    </w:tbl>
    <w:p w:rsidR="006238C1" w:rsidP="00E92A34">
      <w:pPr>
        <w:pStyle w:val="BodyText"/>
      </w:pPr>
    </w:p>
    <w:p w:rsidR="006238C1" w:rsidP="00E92A34">
      <w:pPr>
        <w:pStyle w:val="BodyText"/>
      </w:pPr>
    </w:p>
    <w:p w:rsidR="00000000" w:rsidRPr="00E92A34" w:rsidP="00E92A34">
      <w:pPr>
        <w:pStyle w:val="Heading1"/>
      </w:pPr>
      <w:bookmarkStart w:id="12" w:name="O_499712"/>
      <w:bookmarkEnd w:id="12"/>
      <w:r w:rsidRPr="00E92A34">
        <w:t>Unit Sector(s)</w:t>
      </w:r>
    </w:p>
    <w:p w:rsidR="00000000" w:rsidRPr="00E92A34" w:rsidP="00E92A34">
      <w:pPr>
        <w:pStyle w:val="BodyText"/>
      </w:pPr>
      <w:r w:rsidRPr="00E92A34">
        <w:t>Not applicable.</w:t>
      </w:r>
    </w:p>
    <w:p w:rsidR="00000000" w:rsidRPr="00E92A34" w:rsidP="00E92A34">
      <w:pPr>
        <w:pStyle w:val="AllowPageBreak"/>
      </w:pPr>
    </w:p>
    <w:p w:rsidR="00000000" w:rsidRPr="00E92A34" w:rsidP="00E92A34">
      <w:pPr>
        <w:pStyle w:val="Heading1"/>
      </w:pPr>
      <w:bookmarkStart w:id="13" w:name="O_499723"/>
      <w:bookmarkEnd w:id="13"/>
      <w:r w:rsidRPr="00E92A34">
        <w:t>Competency field</w:t>
      </w:r>
    </w:p>
    <w:p w:rsidR="00000000" w:rsidRPr="00E92A34" w:rsidP="00E92A34">
      <w:pPr>
        <w:pStyle w:val="BodyText"/>
      </w:pPr>
      <w:r w:rsidRPr="00E92A34">
        <w:t>Government Security Management.</w:t>
      </w:r>
    </w:p>
    <w:p w:rsidR="00000000" w:rsidRPr="00E92A34" w:rsidP="00E92A34"/>
    <w:sectPr w:rsidSect="00E92A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A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38C1" w:rsidP="006238C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A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C1" w:rsidP="00E92A3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238C1" w:rsidP="00E92A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238C1" w:rsidP="00E92A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A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A34" w:rsidRPr="006238C1" w:rsidP="006238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A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C1" w:rsidRPr="002D2AF8" w:rsidP="00E92A34">
    <w:pPr>
      <w:pStyle w:val="Header"/>
      <w:framePr w:wrap="around"/>
    </w:pPr>
    <w:r>
      <w:fldChar w:fldCharType="begin"/>
    </w:r>
    <w:r>
      <w:instrText xml:space="preserve"> TITLE   \* MERGEFORMAT </w:instrText>
    </w:r>
    <w:r>
      <w:fldChar w:fldCharType="separate"/>
    </w:r>
    <w:r>
      <w:t>PSPSEC402A Implement security risk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6238C1" w:rsidP="00E92A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8650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A9C435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A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2A34"/>
    <w:pPr>
      <w:spacing w:before="360" w:after="60"/>
      <w:outlineLvl w:val="0"/>
    </w:pPr>
    <w:rPr>
      <w:sz w:val="32"/>
    </w:rPr>
  </w:style>
  <w:style w:type="paragraph" w:styleId="Heading2">
    <w:name w:val="heading 2"/>
    <w:basedOn w:val="HeadingBase"/>
    <w:next w:val="BodyText"/>
    <w:link w:val="Heading2Char"/>
    <w:qFormat/>
    <w:rsid w:val="00E92A34"/>
    <w:pPr>
      <w:keepLines/>
      <w:spacing w:before="240" w:after="120"/>
      <w:outlineLvl w:val="1"/>
    </w:pPr>
    <w:rPr>
      <w:sz w:val="28"/>
      <w:szCs w:val="40"/>
    </w:rPr>
  </w:style>
  <w:style w:type="paragraph" w:styleId="Heading3">
    <w:name w:val="heading 3"/>
    <w:basedOn w:val="HeadingBase"/>
    <w:next w:val="BodyText"/>
    <w:link w:val="Heading3Char"/>
    <w:qFormat/>
    <w:rsid w:val="00E92A34"/>
    <w:pPr>
      <w:spacing w:before="180" w:after="120"/>
      <w:outlineLvl w:val="2"/>
    </w:pPr>
    <w:rPr>
      <w:spacing w:val="-10"/>
      <w:kern w:val="32"/>
    </w:rPr>
  </w:style>
  <w:style w:type="paragraph" w:styleId="Heading4">
    <w:name w:val="heading 4"/>
    <w:basedOn w:val="HeadingBase"/>
    <w:next w:val="BodyText"/>
    <w:link w:val="Heading4Char"/>
    <w:qFormat/>
    <w:rsid w:val="00E92A34"/>
    <w:pPr>
      <w:spacing w:before="160" w:after="120"/>
      <w:outlineLvl w:val="3"/>
    </w:pPr>
    <w:rPr>
      <w:sz w:val="22"/>
    </w:rPr>
  </w:style>
  <w:style w:type="paragraph" w:styleId="Heading5">
    <w:name w:val="heading 5"/>
    <w:basedOn w:val="HeadingBase"/>
    <w:next w:val="Normal"/>
    <w:link w:val="Heading5Char"/>
    <w:qFormat/>
    <w:rsid w:val="00E92A34"/>
    <w:pPr>
      <w:spacing w:before="80"/>
      <w:outlineLvl w:val="4"/>
    </w:pPr>
    <w:rPr>
      <w:color w:val="918585"/>
      <w:sz w:val="20"/>
    </w:rPr>
  </w:style>
  <w:style w:type="paragraph" w:styleId="Heading6">
    <w:name w:val="heading 6"/>
    <w:basedOn w:val="HeadingBase"/>
    <w:next w:val="Normal"/>
    <w:link w:val="Heading6Char"/>
    <w:qFormat/>
    <w:rsid w:val="00E92A34"/>
    <w:pPr>
      <w:spacing w:before="60"/>
      <w:outlineLvl w:val="5"/>
    </w:pPr>
    <w:rPr>
      <w:color w:val="918585"/>
      <w:sz w:val="20"/>
    </w:rPr>
  </w:style>
  <w:style w:type="paragraph" w:styleId="Heading7">
    <w:name w:val="heading 7"/>
    <w:basedOn w:val="Normal"/>
    <w:next w:val="Normal"/>
    <w:link w:val="Heading7Char"/>
    <w:qFormat/>
    <w:rsid w:val="00E92A34"/>
    <w:pPr>
      <w:ind w:left="720"/>
      <w:outlineLvl w:val="6"/>
    </w:pPr>
    <w:rPr>
      <w:i/>
    </w:rPr>
  </w:style>
  <w:style w:type="paragraph" w:styleId="Heading8">
    <w:name w:val="heading 8"/>
    <w:basedOn w:val="Normal"/>
    <w:next w:val="Normal"/>
    <w:link w:val="Heading8Char"/>
    <w:qFormat/>
    <w:rsid w:val="00E92A34"/>
    <w:pPr>
      <w:ind w:left="720"/>
      <w:outlineLvl w:val="7"/>
    </w:pPr>
    <w:rPr>
      <w:i/>
    </w:rPr>
  </w:style>
  <w:style w:type="paragraph" w:styleId="Heading9">
    <w:name w:val="heading 9"/>
    <w:basedOn w:val="Normal"/>
    <w:next w:val="Normal"/>
    <w:link w:val="Heading9Char"/>
    <w:qFormat/>
    <w:rsid w:val="00E92A34"/>
    <w:pPr>
      <w:ind w:left="720"/>
      <w:outlineLvl w:val="8"/>
    </w:pPr>
    <w:rPr>
      <w:i/>
    </w:rPr>
  </w:style>
  <w:style w:type="character" w:default="1" w:styleId="DefaultParagraphFont">
    <w:name w:val="Default Paragraph Font"/>
    <w:uiPriority w:val="1"/>
    <w:unhideWhenUsed/>
    <w:rsid w:val="00E92A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A34"/>
  </w:style>
  <w:style w:type="character" w:customStyle="1" w:styleId="Heading1Char">
    <w:name w:val="Heading 1 Char"/>
    <w:basedOn w:val="DefaultParagraphFont"/>
    <w:link w:val="Heading1"/>
    <w:rsid w:val="00E92A34"/>
    <w:rPr>
      <w:rFonts w:ascii="Times New Roman" w:eastAsia="Times New Roman" w:hAnsi="Times New Roman" w:cs="Times New Roman"/>
      <w:b/>
      <w:sz w:val="32"/>
      <w:szCs w:val="20"/>
      <w:lang w:eastAsia="en-US"/>
    </w:rPr>
  </w:style>
  <w:style w:type="paragraph" w:styleId="BodyText">
    <w:name w:val="Body Text"/>
    <w:basedOn w:val="Normal"/>
    <w:link w:val="BodyTextChar"/>
    <w:rsid w:val="00E92A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2A34"/>
    <w:rPr>
      <w:rFonts w:ascii="Times New Roman" w:eastAsia="Times New Roman" w:hAnsi="Times New Roman" w:cs="Times New Roman"/>
      <w:sz w:val="24"/>
      <w:lang w:eastAsia="en-US"/>
    </w:rPr>
  </w:style>
  <w:style w:type="paragraph" w:styleId="Footer">
    <w:name w:val="footer"/>
    <w:basedOn w:val="Normal"/>
    <w:link w:val="FooterChar"/>
    <w:rsid w:val="00E92A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A34"/>
    <w:rPr>
      <w:rFonts w:ascii="Times New Roman" w:eastAsia="Times New Roman" w:hAnsi="Times New Roman" w:cs="Times New Roman"/>
      <w:sz w:val="16"/>
      <w:lang w:eastAsia="en-US"/>
    </w:rPr>
  </w:style>
  <w:style w:type="paragraph" w:styleId="List">
    <w:name w:val="List"/>
    <w:basedOn w:val="BodyText"/>
    <w:next w:val="BodyText"/>
    <w:rsid w:val="00E92A34"/>
    <w:pPr>
      <w:tabs>
        <w:tab w:val="left" w:pos="340"/>
      </w:tabs>
      <w:spacing w:before="60" w:after="60"/>
      <w:ind w:left="340" w:hanging="340"/>
    </w:pPr>
  </w:style>
  <w:style w:type="character" w:customStyle="1" w:styleId="SpecialBold">
    <w:name w:val="Special Bold"/>
    <w:basedOn w:val="DefaultParagraphFont"/>
    <w:rsid w:val="00E92A34"/>
    <w:rPr>
      <w:b/>
      <w:spacing w:val="0"/>
    </w:rPr>
  </w:style>
  <w:style w:type="paragraph" w:styleId="ListBullet2">
    <w:name w:val="List Bullet 2"/>
    <w:basedOn w:val="List2"/>
    <w:rsid w:val="00E92A34"/>
    <w:pPr>
      <w:numPr>
        <w:numId w:val="14"/>
      </w:numPr>
      <w:tabs>
        <w:tab w:val="clear" w:pos="680"/>
      </w:tabs>
    </w:pPr>
  </w:style>
  <w:style w:type="character" w:styleId="Emphasis">
    <w:name w:val="Emphasis"/>
    <w:basedOn w:val="DefaultParagraphFont"/>
    <w:qFormat/>
    <w:rsid w:val="00E92A34"/>
    <w:rPr>
      <w:i/>
    </w:rPr>
  </w:style>
  <w:style w:type="paragraph" w:customStyle="1" w:styleId="SuperHeading">
    <w:name w:val="SuperHeading"/>
    <w:basedOn w:val="Normal"/>
    <w:rsid w:val="00E92A34"/>
    <w:pPr>
      <w:spacing w:before="240" w:after="120"/>
      <w:outlineLvl w:val="0"/>
    </w:pPr>
    <w:rPr>
      <w:rFonts w:ascii="Times New Roman" w:hAnsi="Times New Roman"/>
      <w:b/>
      <w:sz w:val="28"/>
    </w:rPr>
  </w:style>
  <w:style w:type="paragraph" w:customStyle="1" w:styleId="AllowPageBreak">
    <w:name w:val="AllowPageBreak"/>
    <w:rsid w:val="00E92A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92A34"/>
    <w:pPr>
      <w:numPr>
        <w:numId w:val="2"/>
      </w:numPr>
      <w:tabs>
        <w:tab w:val="clear" w:pos="1021"/>
      </w:tabs>
      <w:ind w:left="1037" w:hanging="357"/>
    </w:pPr>
  </w:style>
  <w:style w:type="character" w:customStyle="1" w:styleId="BoldandItalics">
    <w:name w:val="Bold and Italics"/>
    <w:qFormat/>
    <w:rsid w:val="00E92A34"/>
    <w:rPr>
      <w:b/>
      <w:i/>
      <w:u w:val="none"/>
    </w:rPr>
  </w:style>
  <w:style w:type="character" w:customStyle="1" w:styleId="Heading2Char">
    <w:name w:val="Heading 2 Char"/>
    <w:basedOn w:val="DefaultParagraphFont"/>
    <w:link w:val="Heading2"/>
    <w:rsid w:val="00E92A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A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A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A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A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A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2A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2A34"/>
    <w:rPr>
      <w:rFonts w:ascii="Courier New" w:eastAsia="Times New Roman" w:hAnsi="Courier New" w:cs="Times New Roman"/>
      <w:i/>
      <w:szCs w:val="20"/>
      <w:lang w:eastAsia="en-US"/>
    </w:rPr>
  </w:style>
  <w:style w:type="paragraph" w:customStyle="1" w:styleId="HeadingBase">
    <w:name w:val="Heading Base"/>
    <w:rsid w:val="00E92A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A34"/>
    <w:pPr>
      <w:tabs>
        <w:tab w:val="right" w:leader="dot" w:pos="9072"/>
      </w:tabs>
      <w:ind w:left="567"/>
    </w:pPr>
    <w:rPr>
      <w:szCs w:val="22"/>
    </w:rPr>
  </w:style>
  <w:style w:type="paragraph" w:customStyle="1" w:styleId="TOCBase">
    <w:name w:val="TOC Base"/>
    <w:rsid w:val="00E92A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A34"/>
    <w:pPr>
      <w:tabs>
        <w:tab w:val="right" w:leader="dot" w:pos="9072"/>
      </w:tabs>
      <w:spacing w:before="40" w:after="40"/>
      <w:ind w:left="284"/>
    </w:pPr>
    <w:rPr>
      <w:rFonts w:ascii="Times New Roman" w:hAnsi="Times New Roman"/>
    </w:rPr>
  </w:style>
  <w:style w:type="paragraph" w:styleId="TOC1">
    <w:name w:val="toc 1"/>
    <w:basedOn w:val="TOCBase"/>
    <w:next w:val="Normal"/>
    <w:rsid w:val="00E92A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2A34"/>
    <w:pPr>
      <w:spacing w:before="5040"/>
      <w:jc w:val="center"/>
    </w:pPr>
    <w:rPr>
      <w:sz w:val="48"/>
      <w:szCs w:val="72"/>
      <w:lang w:val="en-US"/>
    </w:rPr>
  </w:style>
  <w:style w:type="character" w:customStyle="1" w:styleId="TitleChar">
    <w:name w:val="Title Char"/>
    <w:basedOn w:val="DefaultParagraphFont"/>
    <w:link w:val="Title"/>
    <w:rsid w:val="00E92A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A34"/>
    <w:pPr>
      <w:tabs>
        <w:tab w:val="left" w:pos="3600"/>
        <w:tab w:val="left" w:pos="3958"/>
      </w:tabs>
    </w:pPr>
  </w:style>
  <w:style w:type="paragraph" w:styleId="ListBullet">
    <w:name w:val="List Bullet"/>
    <w:basedOn w:val="List"/>
    <w:rsid w:val="00E92A34"/>
    <w:pPr>
      <w:numPr>
        <w:numId w:val="13"/>
      </w:numPr>
      <w:tabs>
        <w:tab w:val="clear" w:pos="340"/>
      </w:tabs>
      <w:spacing w:before="40" w:after="40"/>
    </w:pPr>
  </w:style>
  <w:style w:type="paragraph" w:customStyle="1" w:styleId="Note">
    <w:name w:val="Note"/>
    <w:basedOn w:val="BodyText"/>
    <w:rsid w:val="00E92A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2A34"/>
    <w:pPr>
      <w:framePr w:wrap="auto" w:hAnchor="text" w:y="6049"/>
    </w:pPr>
    <w:rPr>
      <w:color w:val="000000"/>
      <w:sz w:val="40"/>
    </w:rPr>
  </w:style>
  <w:style w:type="paragraph" w:customStyle="1" w:styleId="TOCTitle">
    <w:name w:val="TOCTitle"/>
    <w:basedOn w:val="Heading1"/>
    <w:rsid w:val="00E92A34"/>
    <w:pPr>
      <w:spacing w:after="240"/>
      <w:jc w:val="center"/>
      <w:outlineLvl w:val="9"/>
    </w:pPr>
    <w:rPr>
      <w:caps/>
    </w:rPr>
  </w:style>
  <w:style w:type="paragraph" w:customStyle="1" w:styleId="Version">
    <w:name w:val="Version"/>
    <w:rsid w:val="00E92A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2A34"/>
    <w:pPr>
      <w:keepNext w:val="0"/>
      <w:tabs>
        <w:tab w:val="right" w:pos="4176"/>
      </w:tabs>
      <w:ind w:left="198" w:hanging="198"/>
    </w:pPr>
    <w:rPr>
      <w:rFonts w:ascii="Garamond" w:hAnsi="Garamond"/>
    </w:rPr>
  </w:style>
  <w:style w:type="paragraph" w:styleId="IndexHeading">
    <w:name w:val="index heading"/>
    <w:basedOn w:val="Normal"/>
    <w:next w:val="Index1"/>
    <w:semiHidden/>
    <w:rsid w:val="00E92A34"/>
    <w:pPr>
      <w:spacing w:before="120" w:after="120"/>
    </w:pPr>
    <w:rPr>
      <w:rFonts w:ascii="Arial" w:hAnsi="Arial"/>
      <w:b/>
      <w:color w:val="918585"/>
      <w:sz w:val="24"/>
    </w:rPr>
  </w:style>
  <w:style w:type="paragraph" w:styleId="Header">
    <w:name w:val="header"/>
    <w:basedOn w:val="Normal"/>
    <w:link w:val="HeaderChar"/>
    <w:rsid w:val="00E92A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A34"/>
    <w:rPr>
      <w:rFonts w:ascii="Times New Roman" w:eastAsia="Times New Roman" w:hAnsi="Times New Roman" w:cs="Times New Roman"/>
      <w:sz w:val="16"/>
      <w:szCs w:val="20"/>
      <w:lang w:val="en-GB" w:eastAsia="en-US"/>
    </w:rPr>
  </w:style>
  <w:style w:type="paragraph" w:customStyle="1" w:styleId="Chapter">
    <w:name w:val="Chapter"/>
    <w:basedOn w:val="Normal"/>
    <w:rsid w:val="00E92A34"/>
    <w:pPr>
      <w:spacing w:before="240"/>
    </w:pPr>
    <w:rPr>
      <w:rFonts w:ascii="Times New Roman" w:hAnsi="Times New Roman"/>
      <w:smallCaps/>
      <w:spacing w:val="80"/>
      <w:sz w:val="28"/>
    </w:rPr>
  </w:style>
  <w:style w:type="paragraph" w:customStyle="1" w:styleId="InChapter">
    <w:name w:val="InChapter"/>
    <w:basedOn w:val="Heading3"/>
    <w:rsid w:val="00E92A34"/>
    <w:pPr>
      <w:spacing w:after="240"/>
      <w:outlineLvl w:val="9"/>
    </w:pPr>
    <w:rPr>
      <w:noProof/>
    </w:rPr>
  </w:style>
  <w:style w:type="paragraph" w:styleId="Index2">
    <w:name w:val="index 2"/>
    <w:basedOn w:val="Normal"/>
    <w:next w:val="Normal"/>
    <w:semiHidden/>
    <w:rsid w:val="00E92A34"/>
    <w:pPr>
      <w:tabs>
        <w:tab w:val="right" w:pos="4176"/>
      </w:tabs>
      <w:ind w:left="568" w:hanging="284"/>
    </w:pPr>
    <w:rPr>
      <w:rFonts w:ascii="Garamond" w:hAnsi="Garamond"/>
    </w:rPr>
  </w:style>
  <w:style w:type="paragraph" w:customStyle="1" w:styleId="Byline">
    <w:name w:val="Byline"/>
    <w:rsid w:val="00E92A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A34"/>
    <w:pPr>
      <w:tabs>
        <w:tab w:val="clear" w:pos="3600"/>
        <w:tab w:val="clear" w:pos="3958"/>
      </w:tabs>
      <w:jc w:val="right"/>
    </w:pPr>
  </w:style>
  <w:style w:type="paragraph" w:styleId="Caption">
    <w:name w:val="caption"/>
    <w:basedOn w:val="BodyText"/>
    <w:next w:val="Normal"/>
    <w:qFormat/>
    <w:rsid w:val="00E92A34"/>
    <w:pPr>
      <w:framePr w:w="2268" w:hSpace="181" w:vSpace="181" w:wrap="around" w:vAnchor="text" w:hAnchor="page" w:x="1135" w:y="285" w:anchorLock="1"/>
    </w:pPr>
    <w:rPr>
      <w:i/>
    </w:rPr>
  </w:style>
  <w:style w:type="paragraph" w:customStyle="1" w:styleId="MiniTOCTitle">
    <w:name w:val="MiniTOCTitle"/>
    <w:basedOn w:val="Heading4"/>
    <w:rsid w:val="00E92A34"/>
    <w:pPr>
      <w:spacing w:before="240"/>
      <w:outlineLvl w:val="9"/>
    </w:pPr>
    <w:rPr>
      <w:noProof/>
      <w:sz w:val="24"/>
    </w:rPr>
  </w:style>
  <w:style w:type="paragraph" w:customStyle="1" w:styleId="MiniTOCItem">
    <w:name w:val="MiniTOCItem"/>
    <w:basedOn w:val="ListBullet"/>
    <w:rsid w:val="00E92A34"/>
    <w:pPr>
      <w:numPr>
        <w:numId w:val="0"/>
      </w:numPr>
      <w:tabs>
        <w:tab w:val="right" w:leader="dot" w:pos="6521"/>
      </w:tabs>
      <w:spacing w:before="0" w:after="0"/>
    </w:pPr>
  </w:style>
  <w:style w:type="paragraph" w:customStyle="1" w:styleId="TOFTitle">
    <w:name w:val="TOFTitle"/>
    <w:basedOn w:val="TOCTitle"/>
    <w:rsid w:val="00E92A34"/>
  </w:style>
  <w:style w:type="paragraph" w:styleId="TableofFigures">
    <w:name w:val="table of figures"/>
    <w:basedOn w:val="Normal"/>
    <w:next w:val="Normal"/>
    <w:semiHidden/>
    <w:rsid w:val="00E92A34"/>
    <w:pPr>
      <w:tabs>
        <w:tab w:val="right" w:leader="dot" w:pos="9072"/>
      </w:tabs>
      <w:ind w:left="970" w:hanging="403"/>
    </w:pPr>
    <w:rPr>
      <w:rFonts w:ascii="Times New Roman" w:hAnsi="Times New Roman"/>
      <w:b/>
    </w:rPr>
  </w:style>
  <w:style w:type="paragraph" w:styleId="ListNumber">
    <w:name w:val="List Number"/>
    <w:basedOn w:val="List"/>
    <w:rsid w:val="00E92A34"/>
    <w:pPr>
      <w:numPr>
        <w:numId w:val="11"/>
      </w:numPr>
    </w:pPr>
  </w:style>
  <w:style w:type="character" w:customStyle="1" w:styleId="WingdingSymbols">
    <w:name w:val="Wingding Symbols"/>
    <w:rsid w:val="00E92A34"/>
    <w:rPr>
      <w:rFonts w:ascii="Wingdings" w:hAnsi="Wingdings"/>
    </w:rPr>
  </w:style>
  <w:style w:type="paragraph" w:customStyle="1" w:styleId="TableHeading">
    <w:name w:val="Table Heading"/>
    <w:basedOn w:val="HeadingBase"/>
    <w:rsid w:val="00E92A34"/>
    <w:pPr>
      <w:keepLines/>
      <w:pBdr>
        <w:bottom w:val="single" w:sz="6" w:space="1" w:color="918585"/>
      </w:pBdr>
      <w:spacing w:before="240"/>
    </w:pPr>
  </w:style>
  <w:style w:type="character" w:customStyle="1" w:styleId="HotSpot">
    <w:name w:val="HotSpot"/>
    <w:rsid w:val="00E92A34"/>
    <w:rPr>
      <w:color w:val="0033CC"/>
      <w:u w:val="none"/>
    </w:rPr>
  </w:style>
  <w:style w:type="paragraph" w:customStyle="1" w:styleId="BodyTextRight">
    <w:name w:val="Body Text Right"/>
    <w:basedOn w:val="BodyText"/>
    <w:rsid w:val="00E92A34"/>
    <w:pPr>
      <w:spacing w:before="0" w:after="0"/>
      <w:jc w:val="right"/>
    </w:pPr>
  </w:style>
  <w:style w:type="paragraph" w:styleId="Index3">
    <w:name w:val="index 3"/>
    <w:basedOn w:val="ListNumber2"/>
    <w:next w:val="Normal"/>
    <w:semiHidden/>
    <w:rsid w:val="00E92A34"/>
    <w:pPr>
      <w:numPr>
        <w:numId w:val="0"/>
      </w:numPr>
      <w:tabs>
        <w:tab w:val="right" w:leader="dot" w:pos="4176"/>
      </w:tabs>
    </w:pPr>
  </w:style>
  <w:style w:type="paragraph" w:styleId="ListNumber2">
    <w:name w:val="List Number 2"/>
    <w:basedOn w:val="List2"/>
    <w:rsid w:val="00E92A34"/>
    <w:pPr>
      <w:numPr>
        <w:numId w:val="10"/>
      </w:numPr>
      <w:tabs>
        <w:tab w:val="clear" w:pos="1060"/>
      </w:tabs>
    </w:pPr>
  </w:style>
  <w:style w:type="paragraph" w:customStyle="1" w:styleId="MarginNote">
    <w:name w:val="Margin Note"/>
    <w:basedOn w:val="BodyText"/>
    <w:rsid w:val="00E92A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A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A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2A34"/>
    <w:rPr>
      <w:sz w:val="32"/>
    </w:rPr>
  </w:style>
  <w:style w:type="paragraph" w:customStyle="1" w:styleId="HeadingProcedure">
    <w:name w:val="Heading Procedure"/>
    <w:basedOn w:val="HeadingBase"/>
    <w:next w:val="Normal"/>
    <w:rsid w:val="00E92A34"/>
    <w:pPr>
      <w:tabs>
        <w:tab w:val="left" w:pos="0"/>
      </w:tabs>
      <w:spacing w:before="120" w:after="60"/>
    </w:pPr>
    <w:rPr>
      <w:i/>
      <w:color w:val="918585"/>
      <w:sz w:val="22"/>
    </w:rPr>
  </w:style>
  <w:style w:type="paragraph" w:customStyle="1" w:styleId="TableBodyText">
    <w:name w:val="Table Body Text"/>
    <w:basedOn w:val="BodyText"/>
    <w:rsid w:val="00E92A34"/>
    <w:pPr>
      <w:spacing w:before="60" w:after="60"/>
    </w:pPr>
  </w:style>
  <w:style w:type="paragraph" w:styleId="ListContinue">
    <w:name w:val="List Continue"/>
    <w:basedOn w:val="List"/>
    <w:rsid w:val="00E92A34"/>
    <w:pPr>
      <w:ind w:firstLine="0"/>
    </w:pPr>
  </w:style>
  <w:style w:type="paragraph" w:customStyle="1" w:styleId="ListNote">
    <w:name w:val="List Note"/>
    <w:basedOn w:val="List"/>
    <w:rsid w:val="00E92A34"/>
    <w:pPr>
      <w:pBdr>
        <w:top w:val="single" w:sz="6" w:space="2" w:color="918585"/>
        <w:bottom w:val="single" w:sz="6" w:space="2" w:color="918585"/>
      </w:pBdr>
      <w:tabs>
        <w:tab w:val="left" w:pos="1021"/>
      </w:tabs>
      <w:ind w:firstLine="0"/>
    </w:pPr>
  </w:style>
  <w:style w:type="paragraph" w:customStyle="1" w:styleId="Warning">
    <w:name w:val="Warning"/>
    <w:basedOn w:val="BodyText"/>
    <w:rsid w:val="00E92A34"/>
    <w:pPr>
      <w:shd w:val="clear" w:color="auto" w:fill="D9D9D9"/>
      <w:tabs>
        <w:tab w:val="left" w:pos="992"/>
      </w:tabs>
      <w:ind w:left="119" w:right="119"/>
    </w:pPr>
    <w:rPr>
      <w:sz w:val="20"/>
    </w:rPr>
  </w:style>
  <w:style w:type="paragraph" w:customStyle="1" w:styleId="MarginIcons">
    <w:name w:val="Margin Icons"/>
    <w:basedOn w:val="BodyText"/>
    <w:rsid w:val="00E92A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A34"/>
    <w:rPr>
      <w:rFonts w:ascii="Courier New" w:hAnsi="Courier New"/>
    </w:rPr>
  </w:style>
  <w:style w:type="paragraph" w:customStyle="1" w:styleId="NoteBullet">
    <w:name w:val="Note Bullet"/>
    <w:basedOn w:val="Note"/>
    <w:rsid w:val="00E92A34"/>
    <w:pPr>
      <w:tabs>
        <w:tab w:val="clear" w:pos="680"/>
      </w:tabs>
      <w:spacing w:before="60" w:after="60"/>
    </w:pPr>
  </w:style>
  <w:style w:type="paragraph" w:customStyle="1" w:styleId="SubHeading2">
    <w:name w:val="SubHeading2"/>
    <w:basedOn w:val="HeadingBase"/>
    <w:rsid w:val="00E92A34"/>
    <w:pPr>
      <w:spacing w:before="240" w:after="60"/>
    </w:pPr>
    <w:rPr>
      <w:sz w:val="20"/>
    </w:rPr>
  </w:style>
  <w:style w:type="paragraph" w:customStyle="1" w:styleId="SubHeading1">
    <w:name w:val="SubHeading1"/>
    <w:basedOn w:val="HeadingBase"/>
    <w:rsid w:val="00E92A34"/>
    <w:pPr>
      <w:spacing w:before="240" w:after="60"/>
    </w:pPr>
    <w:rPr>
      <w:color w:val="918585"/>
      <w:sz w:val="22"/>
    </w:rPr>
  </w:style>
  <w:style w:type="paragraph" w:customStyle="1" w:styleId="SideHeading">
    <w:name w:val="Side Heading"/>
    <w:basedOn w:val="HeadingBase"/>
    <w:rsid w:val="00E92A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A34"/>
    <w:pPr>
      <w:numPr>
        <w:numId w:val="12"/>
      </w:numPr>
    </w:pPr>
  </w:style>
  <w:style w:type="paragraph" w:styleId="PlainText">
    <w:name w:val="Plain Text"/>
    <w:basedOn w:val="Normal"/>
    <w:link w:val="PlainTextChar"/>
    <w:rsid w:val="00E92A34"/>
    <w:rPr>
      <w:sz w:val="20"/>
    </w:rPr>
  </w:style>
  <w:style w:type="character" w:customStyle="1" w:styleId="PlainTextChar">
    <w:name w:val="Plain Text Char"/>
    <w:basedOn w:val="DefaultParagraphFont"/>
    <w:link w:val="PlainText"/>
    <w:rsid w:val="00E92A34"/>
    <w:rPr>
      <w:rFonts w:ascii="Courier New" w:eastAsia="Times New Roman" w:hAnsi="Courier New" w:cs="Times New Roman"/>
      <w:sz w:val="20"/>
      <w:szCs w:val="20"/>
      <w:lang w:eastAsia="en-US"/>
    </w:rPr>
  </w:style>
  <w:style w:type="character" w:customStyle="1" w:styleId="MenuOption">
    <w:name w:val="Menu Option"/>
    <w:basedOn w:val="DefaultParagraphFont"/>
    <w:rsid w:val="00E92A34"/>
    <w:rPr>
      <w:b/>
      <w:smallCaps/>
    </w:rPr>
  </w:style>
  <w:style w:type="paragraph" w:customStyle="1" w:styleId="TableListNumber">
    <w:name w:val="Table List Number"/>
    <w:basedOn w:val="ListNumber"/>
    <w:rsid w:val="00E92A34"/>
    <w:pPr>
      <w:numPr>
        <w:numId w:val="0"/>
      </w:numPr>
    </w:pPr>
  </w:style>
  <w:style w:type="paragraph" w:styleId="TOC4">
    <w:name w:val="toc 4"/>
    <w:basedOn w:val="TOCBase"/>
    <w:next w:val="Normal"/>
    <w:semiHidden/>
    <w:rsid w:val="00E92A34"/>
    <w:pPr>
      <w:tabs>
        <w:tab w:val="right" w:leader="dot" w:pos="9071"/>
      </w:tabs>
      <w:ind w:left="1701"/>
    </w:pPr>
  </w:style>
  <w:style w:type="paragraph" w:customStyle="1" w:styleId="ListAlpha">
    <w:name w:val="List Alpha"/>
    <w:basedOn w:val="List"/>
    <w:rsid w:val="00E92A34"/>
    <w:pPr>
      <w:numPr>
        <w:numId w:val="9"/>
      </w:numPr>
    </w:pPr>
  </w:style>
  <w:style w:type="paragraph" w:customStyle="1" w:styleId="ListAlpha2">
    <w:name w:val="List Alpha 2"/>
    <w:basedOn w:val="List2"/>
    <w:rsid w:val="00E92A34"/>
    <w:pPr>
      <w:numPr>
        <w:numId w:val="8"/>
      </w:numPr>
    </w:pPr>
  </w:style>
  <w:style w:type="paragraph" w:styleId="List2">
    <w:name w:val="List 2"/>
    <w:basedOn w:val="BodyText"/>
    <w:rsid w:val="00E92A34"/>
    <w:pPr>
      <w:tabs>
        <w:tab w:val="left" w:pos="680"/>
      </w:tabs>
      <w:spacing w:before="60" w:after="60"/>
      <w:ind w:left="680" w:hanging="340"/>
    </w:pPr>
  </w:style>
  <w:style w:type="paragraph" w:styleId="List3">
    <w:name w:val="List 3"/>
    <w:basedOn w:val="BodyText"/>
    <w:rsid w:val="00E92A34"/>
    <w:pPr>
      <w:tabs>
        <w:tab w:val="left" w:pos="1021"/>
      </w:tabs>
      <w:spacing w:before="60" w:after="60"/>
      <w:ind w:left="1020" w:hanging="340"/>
    </w:pPr>
  </w:style>
  <w:style w:type="paragraph" w:styleId="List4">
    <w:name w:val="List 4"/>
    <w:basedOn w:val="BodyText"/>
    <w:rsid w:val="00E92A34"/>
    <w:pPr>
      <w:tabs>
        <w:tab w:val="left" w:pos="1361"/>
      </w:tabs>
      <w:spacing w:before="60" w:after="60"/>
      <w:ind w:left="1361" w:hanging="340"/>
    </w:pPr>
  </w:style>
  <w:style w:type="paragraph" w:styleId="List5">
    <w:name w:val="List 5"/>
    <w:basedOn w:val="BodyText"/>
    <w:rsid w:val="00E92A34"/>
    <w:pPr>
      <w:tabs>
        <w:tab w:val="left" w:pos="1701"/>
      </w:tabs>
      <w:spacing w:before="60" w:after="60"/>
      <w:ind w:left="1701" w:hanging="340"/>
    </w:pPr>
  </w:style>
  <w:style w:type="paragraph" w:styleId="ListBullet4">
    <w:name w:val="List Bullet 4"/>
    <w:basedOn w:val="List4"/>
    <w:rsid w:val="00E92A34"/>
    <w:pPr>
      <w:numPr>
        <w:numId w:val="3"/>
      </w:numPr>
    </w:pPr>
  </w:style>
  <w:style w:type="paragraph" w:styleId="ListBullet5">
    <w:name w:val="List Bullet 5"/>
    <w:basedOn w:val="List5"/>
    <w:rsid w:val="00E92A34"/>
    <w:pPr>
      <w:numPr>
        <w:numId w:val="4"/>
      </w:numPr>
    </w:pPr>
  </w:style>
  <w:style w:type="paragraph" w:styleId="ListContinue2">
    <w:name w:val="List Continue 2"/>
    <w:basedOn w:val="List2"/>
    <w:rsid w:val="00E92A34"/>
    <w:pPr>
      <w:ind w:firstLine="0"/>
    </w:pPr>
  </w:style>
  <w:style w:type="paragraph" w:styleId="ListContinue3">
    <w:name w:val="List Continue 3"/>
    <w:basedOn w:val="List3"/>
    <w:rsid w:val="00E92A34"/>
    <w:pPr>
      <w:ind w:left="1021" w:firstLine="0"/>
    </w:pPr>
  </w:style>
  <w:style w:type="paragraph" w:styleId="ListContinue4">
    <w:name w:val="List Continue 4"/>
    <w:basedOn w:val="List4"/>
    <w:rsid w:val="00E92A34"/>
    <w:pPr>
      <w:ind w:firstLine="0"/>
    </w:pPr>
  </w:style>
  <w:style w:type="paragraph" w:styleId="ListContinue5">
    <w:name w:val="List Continue 5"/>
    <w:basedOn w:val="List5"/>
    <w:rsid w:val="00E92A34"/>
    <w:pPr>
      <w:ind w:firstLine="0"/>
    </w:pPr>
  </w:style>
  <w:style w:type="paragraph" w:styleId="ListNumber3">
    <w:name w:val="List Number 3"/>
    <w:basedOn w:val="List3"/>
    <w:rsid w:val="00E92A34"/>
    <w:pPr>
      <w:numPr>
        <w:numId w:val="5"/>
      </w:numPr>
    </w:pPr>
  </w:style>
  <w:style w:type="paragraph" w:styleId="ListNumber4">
    <w:name w:val="List Number 4"/>
    <w:basedOn w:val="List4"/>
    <w:rsid w:val="00E92A34"/>
    <w:pPr>
      <w:numPr>
        <w:numId w:val="6"/>
      </w:numPr>
    </w:pPr>
  </w:style>
  <w:style w:type="paragraph" w:styleId="ListNumber5">
    <w:name w:val="List Number 5"/>
    <w:basedOn w:val="List5"/>
    <w:rsid w:val="00E92A34"/>
    <w:pPr>
      <w:numPr>
        <w:numId w:val="7"/>
      </w:numPr>
    </w:pPr>
  </w:style>
  <w:style w:type="paragraph" w:styleId="BlockText">
    <w:name w:val="Block Text"/>
    <w:basedOn w:val="Normal"/>
    <w:rsid w:val="00E92A34"/>
    <w:pPr>
      <w:spacing w:after="120"/>
      <w:ind w:left="1440" w:right="1440"/>
    </w:pPr>
  </w:style>
  <w:style w:type="character" w:customStyle="1" w:styleId="Subscript">
    <w:name w:val="Subscript"/>
    <w:basedOn w:val="DefaultParagraphFont"/>
    <w:rsid w:val="00E92A34"/>
    <w:rPr>
      <w:sz w:val="16"/>
      <w:vertAlign w:val="subscript"/>
    </w:rPr>
  </w:style>
  <w:style w:type="character" w:customStyle="1" w:styleId="Superscript">
    <w:name w:val="Superscript"/>
    <w:basedOn w:val="DefaultParagraphFont"/>
    <w:rsid w:val="00E92A34"/>
    <w:rPr>
      <w:sz w:val="16"/>
      <w:vertAlign w:val="superscript"/>
    </w:rPr>
  </w:style>
  <w:style w:type="character" w:customStyle="1" w:styleId="Symbols">
    <w:name w:val="Symbols"/>
    <w:basedOn w:val="DefaultParagraphFont"/>
    <w:rsid w:val="00E92A34"/>
    <w:rPr>
      <w:rFonts w:ascii="Symbol" w:hAnsi="Symbol"/>
    </w:rPr>
  </w:style>
  <w:style w:type="character" w:customStyle="1" w:styleId="MenuOptions">
    <w:name w:val="Menu Options"/>
    <w:basedOn w:val="DefaultParagraphFont"/>
    <w:rsid w:val="00E92A34"/>
    <w:rPr>
      <w:rFonts w:ascii="Arial Narrow" w:hAnsi="Arial Narrow"/>
      <w:smallCaps/>
    </w:rPr>
  </w:style>
  <w:style w:type="character" w:customStyle="1" w:styleId="Buttons">
    <w:name w:val="Buttons"/>
    <w:basedOn w:val="DefaultParagraphFont"/>
    <w:rsid w:val="00E92A34"/>
    <w:rPr>
      <w:b/>
    </w:rPr>
  </w:style>
  <w:style w:type="character" w:customStyle="1" w:styleId="Underlined">
    <w:name w:val="Underlined"/>
    <w:basedOn w:val="DefaultParagraphFont"/>
    <w:rsid w:val="00E92A34"/>
    <w:rPr>
      <w:u w:val="single"/>
    </w:rPr>
  </w:style>
  <w:style w:type="paragraph" w:customStyle="1" w:styleId="TableBodyTextRight">
    <w:name w:val="Table Body Text Right"/>
    <w:basedOn w:val="TableBodyText"/>
    <w:rsid w:val="00E92A34"/>
    <w:pPr>
      <w:widowControl w:val="0"/>
      <w:autoSpaceDE w:val="0"/>
      <w:autoSpaceDN w:val="0"/>
      <w:adjustRightInd w:val="0"/>
      <w:jc w:val="right"/>
    </w:pPr>
    <w:rPr>
      <w:rFonts w:cs="Arial"/>
      <w:szCs w:val="18"/>
    </w:rPr>
  </w:style>
  <w:style w:type="paragraph" w:customStyle="1" w:styleId="CopyrightText">
    <w:name w:val="Copyright Text"/>
    <w:basedOn w:val="BodyText"/>
    <w:rsid w:val="00E92A34"/>
    <w:rPr>
      <w:sz w:val="18"/>
    </w:rPr>
  </w:style>
  <w:style w:type="paragraph" w:customStyle="1" w:styleId="BodySmallRight">
    <w:name w:val="Body Small Right"/>
    <w:basedOn w:val="BodyTextRight"/>
    <w:rsid w:val="00E92A34"/>
    <w:rPr>
      <w:sz w:val="18"/>
      <w:szCs w:val="18"/>
    </w:rPr>
  </w:style>
  <w:style w:type="paragraph" w:customStyle="1" w:styleId="MarginEdition">
    <w:name w:val="Margin Edition"/>
    <w:basedOn w:val="MarginNote"/>
    <w:rsid w:val="00E92A34"/>
    <w:pPr>
      <w:spacing w:before="0" w:after="0"/>
    </w:pPr>
    <w:rPr>
      <w:rFonts w:ascii="Times New Roman" w:hAnsi="Times New Roman"/>
      <w:color w:val="999999"/>
    </w:rPr>
  </w:style>
  <w:style w:type="paragraph" w:customStyle="1" w:styleId="Spacer">
    <w:name w:val="Spacer"/>
    <w:basedOn w:val="Normal"/>
    <w:rsid w:val="00E92A34"/>
    <w:rPr>
      <w:sz w:val="2"/>
      <w:szCs w:val="2"/>
    </w:rPr>
  </w:style>
  <w:style w:type="character" w:customStyle="1" w:styleId="Small">
    <w:name w:val="Small"/>
    <w:basedOn w:val="DefaultParagraphFont"/>
    <w:rsid w:val="00E92A34"/>
    <w:rPr>
      <w:sz w:val="16"/>
    </w:rPr>
  </w:style>
  <w:style w:type="paragraph" w:customStyle="1" w:styleId="WideTable">
    <w:name w:val="Wide Table"/>
    <w:basedOn w:val="Normal"/>
    <w:rsid w:val="00E92A34"/>
    <w:pPr>
      <w:ind w:left="-1418"/>
    </w:pPr>
    <w:rPr>
      <w:sz w:val="2"/>
      <w:szCs w:val="2"/>
    </w:rPr>
  </w:style>
  <w:style w:type="character" w:styleId="PageNumber">
    <w:name w:val="page number"/>
    <w:basedOn w:val="DefaultParagraphFont"/>
    <w:rsid w:val="00E92A34"/>
  </w:style>
  <w:style w:type="paragraph" w:styleId="Quote">
    <w:name w:val="Quote"/>
    <w:basedOn w:val="Heading1"/>
    <w:link w:val="QuoteChar"/>
    <w:qFormat/>
    <w:rsid w:val="00E92A34"/>
    <w:rPr>
      <w:b w:val="0"/>
      <w:sz w:val="72"/>
      <w:szCs w:val="72"/>
      <w:lang w:val="en-NZ"/>
    </w:rPr>
  </w:style>
  <w:style w:type="character" w:customStyle="1" w:styleId="QuoteChar">
    <w:name w:val="Quote Char"/>
    <w:basedOn w:val="DefaultParagraphFont"/>
    <w:link w:val="Quote"/>
    <w:rsid w:val="00E92A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A34"/>
    <w:pPr>
      <w:pageBreakBefore/>
    </w:pPr>
  </w:style>
  <w:style w:type="paragraph" w:customStyle="1" w:styleId="Border">
    <w:name w:val="Border"/>
    <w:basedOn w:val="Normal"/>
    <w:qFormat/>
    <w:rsid w:val="00E92A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A34"/>
    <w:rPr>
      <w:b/>
      <w:bCs/>
      <w:i/>
      <w:iCs/>
      <w:color w:val="auto"/>
    </w:rPr>
  </w:style>
  <w:style w:type="paragraph" w:styleId="IntenseQuote">
    <w:name w:val="Intense Quote"/>
    <w:basedOn w:val="Normal"/>
    <w:next w:val="Normal"/>
    <w:link w:val="IntenseQuoteChar"/>
    <w:uiPriority w:val="30"/>
    <w:qFormat/>
    <w:rsid w:val="00E92A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A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2A34"/>
    <w:rPr>
      <w:smallCaps/>
      <w:color w:val="auto"/>
      <w:u w:val="single"/>
    </w:rPr>
  </w:style>
  <w:style w:type="character" w:styleId="IntenseReference">
    <w:name w:val="Intense Reference"/>
    <w:basedOn w:val="DefaultParagraphFont"/>
    <w:uiPriority w:val="32"/>
    <w:qFormat/>
    <w:rsid w:val="00E92A34"/>
    <w:rPr>
      <w:b/>
      <w:bCs/>
      <w:smallCaps/>
      <w:color w:val="auto"/>
      <w:spacing w:val="5"/>
      <w:u w:val="single"/>
    </w:rPr>
  </w:style>
  <w:style w:type="paragraph" w:customStyle="1" w:styleId="2ColumnHeading">
    <w:name w:val="2Column Heading"/>
    <w:basedOn w:val="BodyText"/>
    <w:qFormat/>
    <w:rsid w:val="00E92A34"/>
    <w:pPr>
      <w:spacing w:after="60"/>
      <w:ind w:left="-2268"/>
    </w:pPr>
    <w:rPr>
      <w:b/>
    </w:rPr>
  </w:style>
  <w:style w:type="paragraph" w:customStyle="1" w:styleId="Heading1TOC">
    <w:name w:val="Heading1 TOC"/>
    <w:basedOn w:val="Normal"/>
    <w:qFormat/>
    <w:rsid w:val="00E92A34"/>
    <w:pPr>
      <w:spacing w:before="240" w:after="120"/>
    </w:pPr>
    <w:rPr>
      <w:rFonts w:ascii="Times New Roman" w:hAnsi="Times New Roman"/>
      <w:b/>
      <w:sz w:val="32"/>
    </w:rPr>
  </w:style>
  <w:style w:type="paragraph" w:customStyle="1" w:styleId="Heading2TOC">
    <w:name w:val="Heading2 TOC"/>
    <w:basedOn w:val="Normal"/>
    <w:qFormat/>
    <w:rsid w:val="00E92A34"/>
    <w:pPr>
      <w:spacing w:before="240" w:after="60"/>
    </w:pPr>
    <w:rPr>
      <w:rFonts w:ascii="Times New Roman" w:hAnsi="Times New Roman"/>
      <w:b/>
      <w:sz w:val="28"/>
    </w:rPr>
  </w:style>
  <w:style w:type="character" w:customStyle="1" w:styleId="Underline">
    <w:name w:val="Underline"/>
    <w:basedOn w:val="DefaultParagraphFont"/>
    <w:qFormat/>
    <w:rsid w:val="00E92A34"/>
    <w:rPr>
      <w:u w:val="single"/>
    </w:rPr>
  </w:style>
  <w:style w:type="paragraph" w:styleId="BalloonText">
    <w:name w:val="Balloon Text"/>
    <w:basedOn w:val="Normal"/>
    <w:link w:val="BalloonTextChar"/>
    <w:rsid w:val="00E92A34"/>
    <w:rPr>
      <w:rFonts w:ascii="Tahoma" w:hAnsi="Tahoma" w:cs="Tahoma"/>
      <w:sz w:val="16"/>
      <w:szCs w:val="16"/>
    </w:rPr>
  </w:style>
  <w:style w:type="character" w:customStyle="1" w:styleId="BalloonTextChar">
    <w:name w:val="Balloon Text Char"/>
    <w:basedOn w:val="DefaultParagraphFont"/>
    <w:link w:val="BalloonText"/>
    <w:rsid w:val="00E92A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2A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2A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2A34"/>
    <w:rPr>
      <w:b/>
      <w:color w:val="660033"/>
      <w:spacing w:val="0"/>
    </w:rPr>
  </w:style>
  <w:style w:type="paragraph" w:customStyle="1" w:styleId="Nameditemlist">
    <w:name w:val="Named item list"/>
    <w:basedOn w:val="BodyText"/>
    <w:qFormat/>
    <w:rsid w:val="00E92A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1663</Words>
  <Characters>10763</Characters>
  <Application>Microsoft Office Word</Application>
  <DocSecurity>0</DocSecurity>
  <Lines>375</Lines>
  <Paragraphs>245</Paragraphs>
  <ScaleCrop>false</ScaleCrop>
  <Company>Author-it Software Corporation Ltd.</Company>
  <LinksUpToDate>false</LinksUpToDate>
  <CharactersWithSpaces>12341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PSPSEC402A Implement security risk treatments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2012-11-01T17:15:00Z</dcterms:created>
  <dcterms:modified xsi:type="dcterms:W3CDTF">2012-11-01T17:15:00Z</dcterms:modified>
</cp:coreProperties>
</file>