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EDE" w:rsidP="00B56EDE">
      <w:pPr>
        <w:pStyle w:val="Title"/>
      </w:pPr>
      <w:bookmarkStart w:id="0" w:name="_GoBack"/>
      <w:bookmarkEnd w:id="0"/>
      <w:r>
        <w:fldChar w:fldCharType="begin"/>
      </w:r>
      <w:r>
        <w:instrText xml:space="preserve"> TITLE   \* MERGEFORMAT </w:instrText>
      </w:r>
      <w:r>
        <w:fldChar w:fldCharType="separate"/>
      </w:r>
      <w:r>
        <w:t>PSPSCI601A Manage the provision of high-level scientific technical support</w:t>
      </w:r>
      <w:r>
        <w:fldChar w:fldCharType="end"/>
      </w:r>
    </w:p>
    <w:p w:rsidR="00B56EDE" w:rsidP="00B56EDE">
      <w:pPr>
        <w:pStyle w:val="Version"/>
        <w:sectPr w:rsidSect="003B12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3B12E4" w:rsidP="003B12E4">
      <w:pPr>
        <w:pStyle w:val="SuperHeading"/>
      </w:pPr>
      <w:r w:rsidRPr="003B12E4">
        <w:t>PSPSCI601A Manage the provision of high-level scientific technical support</w:t>
      </w:r>
    </w:p>
    <w:p w:rsidR="00000000" w:rsidRPr="003B12E4" w:rsidP="003B12E4">
      <w:pPr>
        <w:pStyle w:val="SuperHeading"/>
      </w:pPr>
    </w:p>
    <w:p w:rsidR="00000000" w:rsidRPr="003B12E4" w:rsidP="003B12E4">
      <w:pPr>
        <w:pStyle w:val="Heading1"/>
      </w:pPr>
      <w:bookmarkStart w:id="1" w:name="O_499532"/>
      <w:bookmarkEnd w:id="1"/>
      <w:r w:rsidRPr="003B12E4">
        <w:t>Modification History</w:t>
      </w:r>
    </w:p>
    <w:tbl>
      <w:tblPr>
        <w:tblW w:w="0" w:type="auto"/>
        <w:tblLayout w:type="fixed"/>
        <w:tblCellMar>
          <w:left w:w="62" w:type="dxa"/>
          <w:right w:w="62" w:type="dxa"/>
        </w:tblCellMar>
        <w:tblLook w:val="0000"/>
      </w:tblPr>
      <w:tblGrid>
        <w:gridCol w:w="3052"/>
        <w:gridCol w:w="3052"/>
        <w:gridCol w:w="3052"/>
      </w:tblGrid>
      <w:tr w:rsidTr="00B56ED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2E4" w:rsidP="003B12E4">
            <w:pPr>
              <w:pStyle w:val="BodyText"/>
            </w:pPr>
            <w:r w:rsidRPr="003B12E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2E4" w:rsidP="003B12E4">
            <w:pPr>
              <w:pStyle w:val="BodyText"/>
            </w:pPr>
            <w:r w:rsidRPr="003B12E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E4">
            <w:pPr>
              <w:pStyle w:val="BodyText"/>
              <w:rPr>
                <w:lang w:val="en-NZ"/>
              </w:rPr>
            </w:pPr>
            <w:r w:rsidRPr="003B12E4">
              <w:rPr>
                <w:rStyle w:val="SpecialBold"/>
              </w:rPr>
              <w:t>Comments</w:t>
            </w:r>
          </w:p>
        </w:tc>
      </w:tr>
      <w:tr w:rsidTr="00B56ED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E4">
            <w:pPr>
              <w:pStyle w:val="BodyText"/>
              <w:rPr>
                <w:lang w:val="en-NZ"/>
              </w:rPr>
            </w:pPr>
            <w:r w:rsidRPr="003B12E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E4">
            <w:pPr>
              <w:pStyle w:val="BodyText"/>
              <w:rPr>
                <w:lang w:val="en-NZ"/>
              </w:rPr>
            </w:pPr>
            <w:r w:rsidRPr="003B12E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E4">
            <w:pPr>
              <w:pStyle w:val="BodyText"/>
              <w:rPr>
                <w:lang w:val="en-NZ"/>
              </w:rPr>
            </w:pPr>
            <w:r w:rsidRPr="003B12E4">
              <w:t>Unit descripto</w:t>
            </w:r>
            <w:r w:rsidRPr="003B12E4">
              <w:t xml:space="preserve">r edited. </w:t>
            </w:r>
          </w:p>
        </w:tc>
      </w:tr>
      <w:tr w:rsidTr="00B56ED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E4">
            <w:pPr>
              <w:pStyle w:val="BodyText"/>
              <w:rPr>
                <w:lang w:val="en-NZ"/>
              </w:rPr>
            </w:pPr>
            <w:r w:rsidRPr="003B12E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E4">
            <w:pPr>
              <w:pStyle w:val="BodyText"/>
              <w:rPr>
                <w:lang w:val="en-NZ"/>
              </w:rPr>
            </w:pPr>
            <w:r w:rsidRPr="003B12E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E4">
            <w:pPr>
              <w:pStyle w:val="BodyText"/>
              <w:rPr>
                <w:lang w:val="en-NZ"/>
              </w:rPr>
            </w:pPr>
            <w:r w:rsidRPr="003B12E4">
              <w:t>Layout adjusted. No changes to content.</w:t>
            </w:r>
          </w:p>
        </w:tc>
      </w:tr>
      <w:tr w:rsidTr="00B56ED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E4">
            <w:pPr>
              <w:pStyle w:val="BodyText"/>
              <w:rPr>
                <w:lang w:val="en-NZ"/>
              </w:rPr>
            </w:pPr>
            <w:r w:rsidRPr="003B12E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E4">
            <w:pPr>
              <w:pStyle w:val="BodyText"/>
              <w:rPr>
                <w:lang w:val="en-NZ"/>
              </w:rPr>
            </w:pPr>
            <w:r w:rsidRPr="003B12E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2E4" w:rsidP="003B12E4">
            <w:pPr>
              <w:pStyle w:val="BodyText"/>
            </w:pPr>
            <w:r w:rsidRPr="003B12E4">
              <w:t>Primary release.</w:t>
            </w:r>
          </w:p>
        </w:tc>
      </w:tr>
    </w:tbl>
    <w:p w:rsidR="00B56EDE" w:rsidP="003B12E4">
      <w:pPr>
        <w:pStyle w:val="BodyText"/>
      </w:pPr>
    </w:p>
    <w:p w:rsidR="00B56EDE" w:rsidP="003B12E4">
      <w:pPr>
        <w:pStyle w:val="BodyText"/>
      </w:pPr>
    </w:p>
    <w:p w:rsidR="00000000" w:rsidRPr="003B12E4" w:rsidP="003B12E4">
      <w:pPr>
        <w:pStyle w:val="Heading1"/>
      </w:pPr>
      <w:bookmarkStart w:id="2" w:name="O_499539"/>
      <w:bookmarkEnd w:id="2"/>
      <w:r w:rsidRPr="003B12E4">
        <w:t>Unit Descriptor</w:t>
      </w:r>
    </w:p>
    <w:p w:rsidR="00000000" w:rsidRPr="003B12E4" w:rsidP="003B12E4">
      <w:pPr>
        <w:pStyle w:val="BodyText"/>
      </w:pPr>
      <w:r w:rsidRPr="003B12E4">
        <w:t>This unit covers the provision of high-level technical support within a broad area of expertise</w:t>
      </w:r>
      <w:r w:rsidRPr="003B12E4">
        <w:t xml:space="preserve"> at an experienced, self-directed level with responsibility for experimental, survey, sampling and/or analytical functions. It includes determining and managing high-level technical duties, managing the collection and recording of information, and analysin</w:t>
      </w:r>
      <w:r w:rsidRPr="003B12E4">
        <w:t>g and reporting data.</w:t>
      </w:r>
    </w:p>
    <w:p w:rsidR="00000000" w:rsidRPr="003B12E4" w:rsidP="003B12E4">
      <w:pPr>
        <w:pStyle w:val="BodyText"/>
      </w:pPr>
      <w:r w:rsidRPr="003B12E4">
        <w:t xml:space="preserve">In practice, management of high-level scientific technical support overlaps with other generalist or specialist work activities such as acting ethically, applying government systems, providing leadership, managing resources, managing </w:t>
      </w:r>
      <w:r w:rsidRPr="003B12E4">
        <w:t>risk, managing workplace safety.</w:t>
      </w:r>
    </w:p>
    <w:p w:rsidR="00000000" w:rsidRPr="003B12E4" w:rsidP="003B12E4">
      <w:pPr>
        <w:pStyle w:val="BodyText"/>
      </w:pPr>
      <w:r w:rsidRPr="003B12E4">
        <w:t>No licensing, legislative, regulatory or certification requirements apply to this unit at the time of endorsement.</w:t>
      </w:r>
    </w:p>
    <w:p w:rsidR="00000000" w:rsidRPr="003B12E4" w:rsidP="003B12E4">
      <w:pPr>
        <w:pStyle w:val="AllowPageBreak"/>
      </w:pPr>
    </w:p>
    <w:p w:rsidR="00000000" w:rsidRPr="003B12E4" w:rsidP="003B12E4">
      <w:pPr>
        <w:pStyle w:val="Heading1"/>
      </w:pPr>
      <w:bookmarkStart w:id="3" w:name="O_499544"/>
      <w:bookmarkEnd w:id="3"/>
      <w:r w:rsidRPr="003B12E4">
        <w:t>Application of the Unit</w:t>
      </w:r>
    </w:p>
    <w:p w:rsidR="00000000" w:rsidRPr="003B12E4" w:rsidP="003B12E4">
      <w:pPr>
        <w:pStyle w:val="BodyText"/>
      </w:pPr>
      <w:r w:rsidRPr="003B12E4">
        <w:t>Not applicable.</w:t>
      </w:r>
    </w:p>
    <w:p w:rsidR="00000000" w:rsidRPr="003B12E4" w:rsidP="003B12E4">
      <w:pPr>
        <w:pStyle w:val="AllowPageBreak"/>
      </w:pPr>
    </w:p>
    <w:p w:rsidR="00000000" w:rsidRPr="003B12E4" w:rsidP="003B12E4">
      <w:pPr>
        <w:pStyle w:val="Heading1"/>
      </w:pPr>
      <w:bookmarkStart w:id="4" w:name="O_499538"/>
      <w:bookmarkEnd w:id="4"/>
      <w:r w:rsidRPr="003B12E4">
        <w:t>Licensing/Regulatory Information</w:t>
      </w:r>
    </w:p>
    <w:p w:rsidR="00000000" w:rsidRPr="003B12E4" w:rsidP="003B12E4">
      <w:pPr>
        <w:pStyle w:val="BodyText"/>
      </w:pPr>
      <w:r w:rsidRPr="003B12E4">
        <w:t>Not applicable.</w:t>
      </w:r>
    </w:p>
    <w:p w:rsidR="00000000" w:rsidRPr="003B12E4" w:rsidP="003B12E4">
      <w:pPr>
        <w:pStyle w:val="AllowPageBreak"/>
      </w:pPr>
    </w:p>
    <w:p w:rsidR="00000000" w:rsidRPr="003B12E4" w:rsidP="003B12E4">
      <w:pPr>
        <w:pStyle w:val="Heading1"/>
      </w:pPr>
      <w:bookmarkStart w:id="5" w:name="O_499531"/>
      <w:bookmarkEnd w:id="5"/>
      <w:r w:rsidRPr="003B12E4">
        <w:t>Pre-Requisites</w:t>
      </w:r>
    </w:p>
    <w:p w:rsidR="00000000" w:rsidRPr="003B12E4" w:rsidP="003B12E4">
      <w:pPr>
        <w:pStyle w:val="BodyText"/>
      </w:pPr>
      <w:r w:rsidRPr="003B12E4">
        <w:t>Not applicable.</w:t>
      </w:r>
    </w:p>
    <w:p w:rsidR="00000000" w:rsidRPr="003B12E4" w:rsidP="003B12E4">
      <w:pPr>
        <w:pStyle w:val="AllowPageBreak"/>
      </w:pPr>
    </w:p>
    <w:p w:rsidR="00000000" w:rsidRPr="003B12E4" w:rsidP="003B12E4">
      <w:pPr>
        <w:pStyle w:val="Heading1"/>
      </w:pPr>
      <w:bookmarkStart w:id="6" w:name="O_499540"/>
      <w:bookmarkEnd w:id="6"/>
      <w:r w:rsidRPr="003B12E4">
        <w:t>Employability Skills Information</w:t>
      </w:r>
    </w:p>
    <w:p w:rsidR="00000000" w:rsidRPr="003B12E4" w:rsidP="003B12E4">
      <w:pPr>
        <w:pStyle w:val="BodyText"/>
      </w:pPr>
      <w:r w:rsidRPr="003B12E4">
        <w:t>This unit contains employability skills.</w:t>
      </w:r>
    </w:p>
    <w:p w:rsidR="00000000" w:rsidRPr="003B12E4" w:rsidP="003B12E4">
      <w:pPr>
        <w:pStyle w:val="AllowPageBreak"/>
      </w:pPr>
    </w:p>
    <w:p w:rsidR="00000000" w:rsidRPr="003B12E4" w:rsidP="003B12E4">
      <w:pPr>
        <w:pStyle w:val="Heading1"/>
      </w:pPr>
      <w:bookmarkStart w:id="7" w:name="O_499541"/>
      <w:bookmarkEnd w:id="7"/>
      <w:r w:rsidRPr="003B12E4">
        <w:t>Elements and Performance Criteria Pre-Content</w:t>
      </w:r>
    </w:p>
    <w:tbl>
      <w:tblPr>
        <w:tblW w:w="9322" w:type="dxa"/>
        <w:tblLayout w:type="fixed"/>
        <w:tblCellMar>
          <w:left w:w="62" w:type="dxa"/>
          <w:right w:w="62" w:type="dxa"/>
        </w:tblCellMar>
        <w:tblLook w:val="0000"/>
      </w:tblPr>
      <w:tblGrid>
        <w:gridCol w:w="2660"/>
        <w:gridCol w:w="6662"/>
      </w:tblGrid>
      <w:tr w:rsidTr="00B56ED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B12E4">
            <w:pPr>
              <w:pStyle w:val="BodyText"/>
              <w:rPr>
                <w:lang w:val="en-NZ"/>
              </w:rPr>
            </w:pPr>
            <w:r w:rsidRPr="003B12E4">
              <w:t>Elements are the essential outcomes of</w:t>
            </w:r>
            <w:r w:rsidRPr="003B12E4">
              <w:t xml:space="preserve"> the unit of competency.</w:t>
            </w:r>
          </w:p>
        </w:tc>
        <w:tc>
          <w:tcPr>
            <w:tcW w:w="6662" w:type="dxa"/>
            <w:tcBorders>
              <w:top w:val="nil"/>
              <w:left w:val="nil"/>
              <w:bottom w:val="nil"/>
              <w:right w:val="nil"/>
            </w:tcBorders>
            <w:tcMar>
              <w:top w:w="0" w:type="dxa"/>
              <w:left w:w="62" w:type="dxa"/>
              <w:bottom w:w="0" w:type="dxa"/>
              <w:right w:w="62" w:type="dxa"/>
            </w:tcMar>
          </w:tcPr>
          <w:p w:rsidR="00000000" w:rsidRPr="003B12E4" w:rsidP="003B12E4">
            <w:pPr>
              <w:pStyle w:val="BodyText"/>
            </w:pPr>
            <w:r w:rsidRPr="003B12E4">
              <w:t>Together, performance criteria specify the requirements for competent performance. Text in</w:t>
            </w:r>
            <w:r w:rsidRPr="003B12E4">
              <w:rPr>
                <w:rStyle w:val="BoldandItalics"/>
              </w:rPr>
              <w:t xml:space="preserve"> bold italics </w:t>
            </w:r>
            <w:r w:rsidRPr="003B12E4">
              <w:t xml:space="preserve"> is explained in the Range Statement following.</w:t>
            </w:r>
          </w:p>
        </w:tc>
      </w:tr>
    </w:tbl>
    <w:p w:rsidR="00000000" w:rsidRPr="003B12E4" w:rsidP="003B12E4">
      <w:pPr>
        <w:pStyle w:val="BodyText"/>
      </w:pPr>
    </w:p>
    <w:p w:rsidR="00000000" w:rsidRPr="003B12E4" w:rsidP="003B12E4">
      <w:pPr>
        <w:pStyle w:val="AllowPageBreak"/>
      </w:pPr>
    </w:p>
    <w:p w:rsidR="00000000" w:rsidRPr="003B12E4" w:rsidP="003B12E4">
      <w:pPr>
        <w:pStyle w:val="Heading1"/>
      </w:pPr>
      <w:bookmarkStart w:id="8" w:name="O_499542"/>
      <w:bookmarkEnd w:id="8"/>
      <w:r w:rsidRPr="003B12E4">
        <w:t>Elements and Performance Criteria</w:t>
      </w:r>
    </w:p>
    <w:tbl>
      <w:tblPr>
        <w:tblW w:w="9322" w:type="dxa"/>
        <w:tblLayout w:type="fixed"/>
        <w:tblCellMar>
          <w:left w:w="62" w:type="dxa"/>
          <w:right w:w="62" w:type="dxa"/>
        </w:tblCellMar>
        <w:tblLook w:val="0000"/>
      </w:tblPr>
      <w:tblGrid>
        <w:gridCol w:w="2660"/>
        <w:gridCol w:w="6662"/>
      </w:tblGrid>
      <w:tr w:rsidTr="00B56EDE">
        <w:tblPrEx>
          <w:tblW w:w="9322" w:type="dxa"/>
          <w:tblLayout w:type="fixed"/>
          <w:tblCellMar>
            <w:left w:w="62" w:type="dxa"/>
            <w:right w:w="62" w:type="dxa"/>
          </w:tblCellMar>
          <w:tblLook w:val="0000"/>
        </w:tblPrEx>
        <w:trPr>
          <w:trHeight w:val="496"/>
          <w:tblHeader/>
        </w:trPr>
        <w:tc>
          <w:tcPr>
            <w:tcW w:w="2660" w:type="dxa"/>
            <w:tcBorders>
              <w:top w:val="nil"/>
              <w:left w:val="nil"/>
              <w:bottom w:val="nil"/>
              <w:right w:val="nil"/>
            </w:tcBorders>
            <w:tcMar>
              <w:top w:w="0" w:type="dxa"/>
              <w:left w:w="62" w:type="dxa"/>
              <w:bottom w:w="0" w:type="dxa"/>
              <w:right w:w="62" w:type="dxa"/>
            </w:tcMar>
          </w:tcPr>
          <w:p w:rsidR="00000000" w:rsidRPr="003B12E4" w:rsidP="003B12E4">
            <w:pPr>
              <w:pStyle w:val="BodyText"/>
            </w:pPr>
            <w:r w:rsidRPr="003B12E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B12E4">
            <w:pPr>
              <w:pStyle w:val="BodyText"/>
              <w:rPr>
                <w:lang w:val="en-NZ"/>
              </w:rPr>
            </w:pPr>
            <w:r w:rsidRPr="003B12E4">
              <w:rPr>
                <w:rStyle w:val="SpecialBold"/>
              </w:rPr>
              <w:t>PERFORMANCE CRITERIA</w:t>
            </w:r>
          </w:p>
        </w:tc>
      </w:tr>
      <w:tr w:rsidTr="00B56ED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B12E4">
            <w:pPr>
              <w:pStyle w:val="List"/>
              <w:rPr>
                <w:lang w:val="en-NZ"/>
              </w:rPr>
            </w:pPr>
            <w:r w:rsidRPr="003B12E4">
              <w:rPr>
                <w:rStyle w:val="SpecialBold"/>
              </w:rPr>
              <w:t>1</w:t>
            </w:r>
            <w:r w:rsidRPr="003B12E4">
              <w:t>.</w:t>
            </w:r>
            <w:r w:rsidRPr="003B12E4">
              <w:tab/>
            </w:r>
            <w:r w:rsidRPr="003B12E4">
              <w:rPr>
                <w:rStyle w:val="SpecialBold"/>
              </w:rPr>
              <w:t>Determine and manage high-level technical duties</w:t>
            </w:r>
          </w:p>
        </w:tc>
        <w:tc>
          <w:tcPr>
            <w:tcW w:w="6662" w:type="dxa"/>
            <w:tcBorders>
              <w:top w:val="nil"/>
              <w:left w:val="nil"/>
              <w:bottom w:val="nil"/>
              <w:right w:val="nil"/>
            </w:tcBorders>
            <w:tcMar>
              <w:top w:w="0" w:type="dxa"/>
              <w:left w:w="62" w:type="dxa"/>
              <w:bottom w:w="0" w:type="dxa"/>
              <w:right w:w="62" w:type="dxa"/>
            </w:tcMar>
          </w:tcPr>
          <w:p w:rsidR="00000000" w:rsidRPr="003B12E4" w:rsidP="003B12E4">
            <w:pPr>
              <w:pStyle w:val="List"/>
            </w:pPr>
            <w:r w:rsidRPr="003B12E4">
              <w:t>1.1</w:t>
            </w:r>
            <w:r w:rsidRPr="003B12E4">
              <w:tab/>
              <w:t xml:space="preserve">Outputs are determined within a broad area of technical expertise and </w:t>
            </w:r>
            <w:r w:rsidRPr="003B12E4">
              <w:rPr>
                <w:rStyle w:val="BoldandItalics"/>
              </w:rPr>
              <w:t xml:space="preserve">technical duties </w:t>
            </w:r>
            <w:r w:rsidRPr="003B12E4">
              <w:t>and responsibilities are determined in accordance with organisational requirements.</w:t>
            </w:r>
          </w:p>
          <w:p w:rsidR="00000000" w:rsidRPr="003B12E4" w:rsidP="003B12E4">
            <w:pPr>
              <w:pStyle w:val="List"/>
            </w:pPr>
            <w:r w:rsidRPr="003B12E4">
              <w:t>1.2</w:t>
            </w:r>
            <w:r w:rsidRPr="003B12E4">
              <w:tab/>
            </w:r>
            <w:r w:rsidRPr="003B12E4">
              <w:rPr>
                <w:rStyle w:val="BoldandItalics"/>
              </w:rPr>
              <w:t>Processes</w:t>
            </w:r>
            <w:r w:rsidRPr="003B12E4">
              <w:t xml:space="preserve">, </w:t>
            </w:r>
            <w:r w:rsidRPr="003B12E4">
              <w:rPr>
                <w:rStyle w:val="BoldandItalics"/>
              </w:rPr>
              <w:t>resources</w:t>
            </w:r>
            <w:r w:rsidRPr="003B12E4">
              <w:t xml:space="preserve">, timelines and </w:t>
            </w:r>
            <w:r w:rsidRPr="003B12E4">
              <w:rPr>
                <w:rStyle w:val="BoldandItalics"/>
              </w:rPr>
              <w:t xml:space="preserve">equipment </w:t>
            </w:r>
            <w:r w:rsidRPr="003B12E4">
              <w:t>requirements are determined and technical duties are organised and managed in accordance with organisational and task requirements.</w:t>
            </w:r>
          </w:p>
          <w:p w:rsidR="00000000" w:rsidRPr="003B12E4" w:rsidP="003B12E4">
            <w:pPr>
              <w:pStyle w:val="List"/>
            </w:pPr>
            <w:r w:rsidRPr="003B12E4">
              <w:t>1.3</w:t>
            </w:r>
            <w:r w:rsidRPr="003B12E4">
              <w:tab/>
              <w:t xml:space="preserve">Risk management strategies, occupational health and safety, environmental </w:t>
            </w:r>
            <w:r w:rsidRPr="003B12E4">
              <w:t xml:space="preserve">and </w:t>
            </w:r>
            <w:r w:rsidRPr="003B12E4">
              <w:rPr>
                <w:rStyle w:val="BoldandItalics"/>
              </w:rPr>
              <w:t>other legislative requirements</w:t>
            </w:r>
            <w:r w:rsidRPr="003B12E4">
              <w:t xml:space="preserve"> are determined and explained to other staff as necessary, in a manner suited to their needs and levels of understanding and experience.</w:t>
            </w:r>
          </w:p>
          <w:p w:rsidR="00000000" w:rsidP="003B12E4">
            <w:pPr>
              <w:pStyle w:val="List"/>
              <w:rPr>
                <w:lang w:val="en-NZ"/>
              </w:rPr>
            </w:pPr>
            <w:r w:rsidRPr="003B12E4">
              <w:t>1.4</w:t>
            </w:r>
            <w:r w:rsidRPr="003B12E4">
              <w:tab/>
              <w:t>The organisation and preparation of resources and equipment are managed in accord</w:t>
            </w:r>
            <w:r w:rsidRPr="003B12E4">
              <w:t>ance with organisational and task requirements.</w:t>
            </w:r>
          </w:p>
        </w:tc>
      </w:tr>
      <w:tr w:rsidTr="00B56ED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B12E4">
            <w:pPr>
              <w:pStyle w:val="List"/>
              <w:rPr>
                <w:lang w:val="en-NZ"/>
              </w:rPr>
            </w:pPr>
            <w:r w:rsidRPr="003B12E4">
              <w:rPr>
                <w:rStyle w:val="SpecialBold"/>
              </w:rPr>
              <w:t>2</w:t>
            </w:r>
            <w:r w:rsidRPr="003B12E4">
              <w:t>.</w:t>
            </w:r>
            <w:r w:rsidRPr="003B12E4">
              <w:tab/>
            </w:r>
            <w:r w:rsidRPr="003B12E4">
              <w:rPr>
                <w:rStyle w:val="SpecialBold"/>
              </w:rPr>
              <w:t>Manage the collection and recording of information</w:t>
            </w:r>
          </w:p>
        </w:tc>
        <w:tc>
          <w:tcPr>
            <w:tcW w:w="6662" w:type="dxa"/>
            <w:tcBorders>
              <w:top w:val="nil"/>
              <w:left w:val="nil"/>
              <w:bottom w:val="nil"/>
              <w:right w:val="nil"/>
            </w:tcBorders>
            <w:tcMar>
              <w:top w:w="0" w:type="dxa"/>
              <w:left w:w="62" w:type="dxa"/>
              <w:bottom w:w="0" w:type="dxa"/>
              <w:right w:w="62" w:type="dxa"/>
            </w:tcMar>
          </w:tcPr>
          <w:p w:rsidR="00000000" w:rsidRPr="003B12E4" w:rsidP="003B12E4">
            <w:pPr>
              <w:pStyle w:val="List"/>
            </w:pPr>
            <w:r w:rsidRPr="003B12E4">
              <w:t>2.1</w:t>
            </w:r>
            <w:r w:rsidRPr="003B12E4">
              <w:tab/>
              <w:t xml:space="preserve">Technical leadership is provided and </w:t>
            </w:r>
            <w:r w:rsidRPr="003B12E4">
              <w:rPr>
                <w:rStyle w:val="BoldandItalics"/>
              </w:rPr>
              <w:t xml:space="preserve">individuals </w:t>
            </w:r>
            <w:r w:rsidRPr="003B12E4">
              <w:t>are influenced to meet required outputs in accordance with organisational requirements.</w:t>
            </w:r>
          </w:p>
          <w:p w:rsidR="00000000" w:rsidRPr="003B12E4" w:rsidP="003B12E4">
            <w:pPr>
              <w:pStyle w:val="List"/>
            </w:pPr>
            <w:r w:rsidRPr="003B12E4">
              <w:t>2.2</w:t>
            </w:r>
            <w:r w:rsidRPr="003B12E4">
              <w:tab/>
              <w:t>Technica</w:t>
            </w:r>
            <w:r w:rsidRPr="003B12E4">
              <w:t>l and management duties are carried out independently in accordance with organisational requirements.</w:t>
            </w:r>
          </w:p>
          <w:p w:rsidR="00000000" w:rsidRPr="003B12E4" w:rsidP="003B12E4">
            <w:pPr>
              <w:pStyle w:val="List"/>
            </w:pPr>
            <w:r w:rsidRPr="003B12E4">
              <w:t>2.3</w:t>
            </w:r>
            <w:r w:rsidRPr="003B12E4">
              <w:tab/>
              <w:t>Collection and recording of information are managed in accordance with identified processes and timelines.</w:t>
            </w:r>
          </w:p>
          <w:p w:rsidR="00000000" w:rsidRPr="003B12E4" w:rsidP="003B12E4">
            <w:pPr>
              <w:pStyle w:val="List"/>
            </w:pPr>
            <w:r w:rsidRPr="003B12E4">
              <w:t>2.4</w:t>
            </w:r>
            <w:r w:rsidRPr="003B12E4">
              <w:tab/>
              <w:t>Information is monitored and contingenc</w:t>
            </w:r>
            <w:r w:rsidRPr="003B12E4">
              <w:t>ies are dealt with in accordance with organisational and task requirements.</w:t>
            </w:r>
          </w:p>
          <w:p w:rsidR="00000000" w:rsidRPr="003B12E4" w:rsidP="003B12E4">
            <w:pPr>
              <w:pStyle w:val="List"/>
            </w:pPr>
            <w:r w:rsidRPr="003B12E4">
              <w:t>2.5</w:t>
            </w:r>
            <w:r w:rsidRPr="003B12E4">
              <w:tab/>
              <w:t>The use and maintenance of resources and equipment are managed in accordance with organisational and task requirements.</w:t>
            </w:r>
          </w:p>
          <w:p w:rsidR="00000000" w:rsidP="003B12E4">
            <w:pPr>
              <w:pStyle w:val="List"/>
              <w:rPr>
                <w:lang w:val="en-NZ"/>
              </w:rPr>
            </w:pPr>
            <w:r w:rsidRPr="003B12E4">
              <w:t>2.6</w:t>
            </w:r>
            <w:r w:rsidRPr="003B12E4">
              <w:tab/>
              <w:t xml:space="preserve">Risk management strategies, occupational health and </w:t>
            </w:r>
            <w:r w:rsidRPr="003B12E4">
              <w:t>safety, environmental and other legislative requirements are enforced in accordance with organisational requirements.</w:t>
            </w:r>
          </w:p>
        </w:tc>
      </w:tr>
      <w:tr w:rsidTr="00B56ED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B12E4">
            <w:pPr>
              <w:pStyle w:val="List"/>
              <w:rPr>
                <w:lang w:val="en-NZ"/>
              </w:rPr>
            </w:pPr>
            <w:r w:rsidRPr="003B12E4">
              <w:rPr>
                <w:rStyle w:val="SpecialBold"/>
              </w:rPr>
              <w:t>3</w:t>
            </w:r>
            <w:r w:rsidRPr="003B12E4">
              <w:t>.</w:t>
            </w:r>
            <w:r w:rsidRPr="003B12E4">
              <w:tab/>
            </w:r>
            <w:r w:rsidRPr="003B12E4">
              <w:rPr>
                <w:rStyle w:val="SpecialBold"/>
              </w:rPr>
              <w:t>Analyse and report data</w:t>
            </w:r>
          </w:p>
        </w:tc>
        <w:tc>
          <w:tcPr>
            <w:tcW w:w="6662" w:type="dxa"/>
            <w:tcBorders>
              <w:top w:val="nil"/>
              <w:left w:val="nil"/>
              <w:bottom w:val="nil"/>
              <w:right w:val="nil"/>
            </w:tcBorders>
            <w:tcMar>
              <w:top w:w="0" w:type="dxa"/>
              <w:left w:w="62" w:type="dxa"/>
              <w:bottom w:w="0" w:type="dxa"/>
              <w:right w:w="62" w:type="dxa"/>
            </w:tcMar>
          </w:tcPr>
          <w:p w:rsidR="00000000" w:rsidRPr="003B12E4" w:rsidP="003B12E4">
            <w:pPr>
              <w:pStyle w:val="List"/>
            </w:pPr>
            <w:r w:rsidRPr="003B12E4">
              <w:t>3.1</w:t>
            </w:r>
            <w:r w:rsidRPr="003B12E4">
              <w:tab/>
              <w:t>Data input and records maintenance are monitored in accordance with organisational requirements.</w:t>
            </w:r>
          </w:p>
          <w:p w:rsidR="00000000" w:rsidRPr="003B12E4" w:rsidP="003B12E4">
            <w:pPr>
              <w:pStyle w:val="List"/>
            </w:pPr>
            <w:r w:rsidRPr="003B12E4">
              <w:t>3.2</w:t>
            </w:r>
            <w:r w:rsidRPr="003B12E4">
              <w:tab/>
            </w:r>
            <w:r w:rsidRPr="003B12E4">
              <w:t xml:space="preserve">Data is analysed and </w:t>
            </w:r>
            <w:r w:rsidRPr="003B12E4">
              <w:rPr>
                <w:rStyle w:val="BoldandItalics"/>
              </w:rPr>
              <w:t xml:space="preserve">irregularities </w:t>
            </w:r>
            <w:r w:rsidRPr="003B12E4">
              <w:t>are dealt with in accordance with organisational and task requirements.</w:t>
            </w:r>
          </w:p>
          <w:p w:rsidR="00000000" w:rsidRPr="003B12E4" w:rsidP="003B12E4">
            <w:pPr>
              <w:pStyle w:val="List"/>
            </w:pPr>
            <w:r w:rsidRPr="003B12E4">
              <w:t>3.3</w:t>
            </w:r>
            <w:r w:rsidRPr="003B12E4">
              <w:tab/>
              <w:t xml:space="preserve">Technical reports and </w:t>
            </w:r>
            <w:r w:rsidRPr="003B12E4">
              <w:rPr>
                <w:rStyle w:val="BoldandItalics"/>
              </w:rPr>
              <w:t xml:space="preserve">high-level correspondence </w:t>
            </w:r>
            <w:r w:rsidRPr="003B12E4">
              <w:t>are prepared and presented in accordance with organisational and task requirements.</w:t>
            </w:r>
          </w:p>
        </w:tc>
      </w:tr>
    </w:tbl>
    <w:p w:rsidR="00000000" w:rsidRPr="003B12E4" w:rsidP="003B12E4">
      <w:pPr>
        <w:pStyle w:val="BodyText"/>
      </w:pPr>
    </w:p>
    <w:p w:rsidR="00000000" w:rsidRPr="003B12E4" w:rsidP="003B12E4">
      <w:pPr>
        <w:pStyle w:val="AllowPageBreak"/>
      </w:pPr>
    </w:p>
    <w:p w:rsidR="00000000" w:rsidRPr="003B12E4" w:rsidP="003B12E4">
      <w:pPr>
        <w:pStyle w:val="Heading1"/>
      </w:pPr>
      <w:bookmarkStart w:id="9" w:name="O_499535"/>
      <w:bookmarkEnd w:id="9"/>
      <w:r w:rsidRPr="003B12E4">
        <w:t>Required Skills and Knowledge</w:t>
      </w:r>
    </w:p>
    <w:tbl>
      <w:tblPr>
        <w:tblW w:w="0" w:type="auto"/>
        <w:tblLayout w:type="fixed"/>
        <w:tblCellMar>
          <w:left w:w="62" w:type="dxa"/>
          <w:right w:w="62" w:type="dxa"/>
        </w:tblCellMar>
        <w:tblLook w:val="0000"/>
      </w:tblPr>
      <w:tblGrid>
        <w:gridCol w:w="8553"/>
      </w:tblGrid>
      <w:tr w:rsidTr="00B56EDE">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3B12E4">
            <w:pPr>
              <w:pStyle w:val="BodyText"/>
              <w:rPr>
                <w:lang w:val="en-NZ"/>
              </w:rPr>
            </w:pPr>
            <w:r w:rsidRPr="003B12E4">
              <w:t>This section describes the essential skills and knowledge and their level, required for this unit.</w:t>
            </w:r>
          </w:p>
        </w:tc>
      </w:tr>
      <w:tr w:rsidTr="00B56EDE">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3B12E4" w:rsidP="003B12E4">
            <w:pPr>
              <w:pStyle w:val="BodyText"/>
            </w:pPr>
            <w:r w:rsidRPr="003B12E4">
              <w:rPr>
                <w:rStyle w:val="SpecialBold"/>
              </w:rPr>
              <w:t>Skill requirements</w:t>
            </w:r>
          </w:p>
          <w:p w:rsidR="00000000" w:rsidRPr="003B12E4" w:rsidP="003B12E4">
            <w:pPr>
              <w:pStyle w:val="BodyText"/>
            </w:pPr>
            <w:r w:rsidRPr="003B12E4">
              <w:t>Look for evidence that confirms skills in:</w:t>
            </w:r>
          </w:p>
          <w:p w:rsidR="00000000" w:rsidRPr="003B12E4" w:rsidP="003B12E4">
            <w:pPr>
              <w:pStyle w:val="ListBullet2"/>
            </w:pPr>
            <w:r w:rsidRPr="003B12E4">
              <w:t>technical leadership to influence others to meet require</w:t>
            </w:r>
            <w:r w:rsidRPr="003B12E4">
              <w:t xml:space="preserve">d outputs </w:t>
            </w:r>
          </w:p>
          <w:p w:rsidR="00000000" w:rsidRPr="003B12E4" w:rsidP="003B12E4">
            <w:pPr>
              <w:pStyle w:val="ListBullet2"/>
            </w:pPr>
            <w:r w:rsidRPr="003B12E4">
              <w:t xml:space="preserve">using a range of communication styles to suit different audiences and purposes </w:t>
            </w:r>
          </w:p>
          <w:p w:rsidR="00000000" w:rsidRPr="003B12E4" w:rsidP="003B12E4">
            <w:pPr>
              <w:pStyle w:val="ListBullet2"/>
            </w:pPr>
            <w:r w:rsidRPr="003B12E4">
              <w:t>responding to diversity, including gender and disability</w:t>
            </w:r>
          </w:p>
          <w:p w:rsidR="00000000" w:rsidRPr="003B12E4" w:rsidP="003B12E4">
            <w:pPr>
              <w:pStyle w:val="ListBullet2"/>
            </w:pPr>
            <w:r w:rsidRPr="003B12E4">
              <w:t>reading formal documents such as legislation and instructions and applying them in the workplace</w:t>
            </w:r>
          </w:p>
          <w:p w:rsidR="00000000" w:rsidRPr="003B12E4" w:rsidP="003B12E4">
            <w:pPr>
              <w:pStyle w:val="ListBullet2"/>
            </w:pPr>
            <w:r w:rsidRPr="003B12E4">
              <w:t xml:space="preserve">analysing/manipulating mathematical data and problem solving </w:t>
            </w:r>
          </w:p>
          <w:p w:rsidR="00000000" w:rsidRPr="003B12E4" w:rsidP="003B12E4">
            <w:pPr>
              <w:pStyle w:val="ListBullet2"/>
            </w:pPr>
            <w:r w:rsidRPr="003B12E4">
              <w:t>using technology for word processing and data management</w:t>
            </w:r>
          </w:p>
          <w:p w:rsidR="00000000" w:rsidRPr="003B12E4" w:rsidP="003B12E4">
            <w:pPr>
              <w:pStyle w:val="ListBullet2"/>
            </w:pPr>
            <w:r w:rsidRPr="003B12E4">
              <w:t>writing technical reports and ministerial correspondence requiring precision of expression</w:t>
            </w:r>
          </w:p>
          <w:p w:rsidR="00000000" w:rsidRPr="003B12E4" w:rsidP="003B12E4">
            <w:pPr>
              <w:pStyle w:val="ListBullet2"/>
            </w:pPr>
            <w:r w:rsidRPr="003B12E4">
              <w:t>operating machinery and experimental equipment</w:t>
            </w:r>
          </w:p>
          <w:p w:rsidR="00000000" w:rsidP="003B12E4">
            <w:pPr>
              <w:pStyle w:val="ListBullet2"/>
              <w:rPr>
                <w:lang w:val="en-NZ"/>
              </w:rPr>
            </w:pPr>
            <w:r w:rsidRPr="003B12E4">
              <w:t>applying occupational health and safety and environmental requirements related to working in a scientific/technological research environment</w:t>
            </w:r>
          </w:p>
        </w:tc>
      </w:tr>
      <w:tr w:rsidTr="00B56EDE">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3B12E4" w:rsidP="003B12E4">
            <w:pPr>
              <w:pStyle w:val="BodyText"/>
            </w:pPr>
            <w:r w:rsidRPr="003B12E4">
              <w:rPr>
                <w:rStyle w:val="SpecialBold"/>
              </w:rPr>
              <w:t>Knowledge requirements</w:t>
            </w:r>
          </w:p>
          <w:p w:rsidR="00000000" w:rsidRPr="003B12E4" w:rsidP="003B12E4">
            <w:pPr>
              <w:pStyle w:val="BodyText"/>
            </w:pPr>
            <w:r w:rsidRPr="003B12E4">
              <w:t>Look for evidence that confirms knowledge and understanding of:</w:t>
            </w:r>
          </w:p>
          <w:p w:rsidR="00000000" w:rsidRPr="003B12E4" w:rsidP="003B12E4">
            <w:pPr>
              <w:pStyle w:val="ListBullet2"/>
            </w:pPr>
            <w:r w:rsidRPr="003B12E4">
              <w:t>experimental procedures a</w:t>
            </w:r>
            <w:r w:rsidRPr="003B12E4">
              <w:t>nd scientific methods</w:t>
            </w:r>
          </w:p>
          <w:p w:rsidR="00000000" w:rsidRPr="003B12E4" w:rsidP="003B12E4">
            <w:pPr>
              <w:pStyle w:val="ListBullet2"/>
            </w:pPr>
            <w:r w:rsidRPr="003B12E4">
              <w:t>analytical techniques/statistical analysis</w:t>
            </w:r>
          </w:p>
          <w:p w:rsidR="00000000" w:rsidRPr="003B12E4" w:rsidP="003B12E4">
            <w:pPr>
              <w:pStyle w:val="ListBullet2"/>
            </w:pPr>
            <w:r w:rsidRPr="003B12E4">
              <w:t>the scientific area (broad understanding)</w:t>
            </w:r>
          </w:p>
          <w:p w:rsidR="00000000" w:rsidRPr="003B12E4" w:rsidP="003B12E4">
            <w:pPr>
              <w:pStyle w:val="ListBullet2"/>
            </w:pPr>
            <w:r w:rsidRPr="003B12E4">
              <w:t>legislation, public sector standards and organisational code of practice as they relate to work in a scientific research/technical environment</w:t>
            </w:r>
          </w:p>
          <w:p w:rsidR="00000000" w:rsidRPr="003B12E4" w:rsidP="003B12E4">
            <w:pPr>
              <w:pStyle w:val="ListBullet2"/>
            </w:pPr>
            <w:r w:rsidRPr="003B12E4">
              <w:t>standard operating procedures and/or work instructions</w:t>
            </w:r>
          </w:p>
          <w:p w:rsidR="00000000" w:rsidRPr="003B12E4" w:rsidP="003B12E4">
            <w:pPr>
              <w:pStyle w:val="ListBullet2"/>
            </w:pPr>
            <w:r w:rsidRPr="003B12E4">
              <w:t>leadership of others in a scientific/technical environment</w:t>
            </w:r>
          </w:p>
          <w:p w:rsidR="00000000" w:rsidRPr="003B12E4" w:rsidP="003B12E4">
            <w:pPr>
              <w:pStyle w:val="ListBullet2"/>
            </w:pPr>
            <w:r w:rsidRPr="003B12E4">
              <w:t>occupational health and safety, environmental protection and other public sector legislation</w:t>
            </w:r>
          </w:p>
          <w:p w:rsidR="00000000" w:rsidRPr="003B12E4" w:rsidP="003B12E4">
            <w:pPr>
              <w:pStyle w:val="ListBullet2"/>
            </w:pPr>
            <w:r w:rsidRPr="003B12E4">
              <w:t>technical support work relevant to specialist are</w:t>
            </w:r>
            <w:r w:rsidRPr="003B12E4">
              <w:t>a (extensive knowledge)</w:t>
            </w:r>
          </w:p>
        </w:tc>
      </w:tr>
    </w:tbl>
    <w:p w:rsidR="00000000" w:rsidRPr="003B12E4" w:rsidP="003B12E4">
      <w:pPr>
        <w:pStyle w:val="BodyText"/>
      </w:pPr>
    </w:p>
    <w:p w:rsidR="00000000" w:rsidRPr="003B12E4" w:rsidP="003B12E4">
      <w:pPr>
        <w:pStyle w:val="AllowPageBreak"/>
      </w:pPr>
    </w:p>
    <w:p w:rsidR="00000000" w:rsidRPr="003B12E4" w:rsidP="003B12E4">
      <w:pPr>
        <w:pStyle w:val="Heading1"/>
      </w:pPr>
      <w:bookmarkStart w:id="10" w:name="O_499536"/>
      <w:bookmarkEnd w:id="10"/>
      <w:r w:rsidRPr="003B12E4">
        <w:t>Evidence Guide</w:t>
      </w:r>
    </w:p>
    <w:tbl>
      <w:tblPr>
        <w:tblW w:w="9322" w:type="dxa"/>
        <w:tblLayout w:type="fixed"/>
        <w:tblCellMar>
          <w:left w:w="62" w:type="dxa"/>
          <w:right w:w="62" w:type="dxa"/>
        </w:tblCellMar>
        <w:tblLook w:val="0000"/>
      </w:tblPr>
      <w:tblGrid>
        <w:gridCol w:w="2660"/>
        <w:gridCol w:w="6662"/>
      </w:tblGrid>
      <w:tr w:rsidTr="00B56EDE">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3B12E4">
            <w:pPr>
              <w:pStyle w:val="BodyText"/>
              <w:rPr>
                <w:lang w:val="en-NZ"/>
              </w:rPr>
            </w:pPr>
            <w:r w:rsidRPr="003B12E4">
              <w:t>The Evidence Guide specifies the evidence required to demonstrate achievement in the unit of competency as a whole. It must be read in conjunction with the Unit descriptor, Performance Criteria, the</w:t>
            </w:r>
            <w:r w:rsidRPr="003B12E4">
              <w:t xml:space="preserve"> Range Statement and the Assessment Guidelines for the Public Sector Training Package.</w:t>
            </w:r>
          </w:p>
        </w:tc>
      </w:tr>
      <w:tr w:rsidTr="00B56ED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3B12E4" w:rsidP="003B12E4">
            <w:pPr>
              <w:pStyle w:val="BodyText"/>
            </w:pPr>
            <w:r w:rsidRPr="003B12E4">
              <w:rPr>
                <w:rStyle w:val="SpecialBold"/>
              </w:rPr>
              <w:t>Units to be assessed together</w:t>
            </w:r>
            <w:r w:rsidRPr="003B12E4">
              <w:t xml:space="preserve"> </w:t>
            </w:r>
          </w:p>
        </w:tc>
        <w:tc>
          <w:tcPr>
            <w:tcW w:w="6662" w:type="dxa"/>
            <w:tcBorders>
              <w:top w:val="nil"/>
              <w:left w:val="nil"/>
              <w:bottom w:val="nil"/>
              <w:right w:val="nil"/>
            </w:tcBorders>
            <w:tcMar>
              <w:top w:w="0" w:type="dxa"/>
              <w:left w:w="62" w:type="dxa"/>
              <w:bottom w:w="0" w:type="dxa"/>
              <w:right w:w="62" w:type="dxa"/>
            </w:tcMar>
          </w:tcPr>
          <w:p w:rsidR="00000000" w:rsidRPr="003B12E4" w:rsidP="003B12E4">
            <w:pPr>
              <w:pStyle w:val="ListBullet2"/>
            </w:pPr>
            <w:r w:rsidRPr="003B12E4">
              <w:rPr>
                <w:rStyle w:val="Emphasis"/>
              </w:rPr>
              <w:t>Pre</w:t>
            </w:r>
            <w:r w:rsidRPr="003B12E4">
              <w:t>-</w:t>
            </w:r>
            <w:r w:rsidRPr="003B12E4">
              <w:rPr>
                <w:rStyle w:val="Emphasis"/>
              </w:rPr>
              <w:t>requisite</w:t>
            </w:r>
            <w:r w:rsidRPr="003B12E4">
              <w:t xml:space="preserve"> units that must be achieved prior to this unit:</w:t>
            </w:r>
            <w:r w:rsidRPr="003B12E4">
              <w:rPr>
                <w:rStyle w:val="Emphasis"/>
              </w:rPr>
              <w:t>Nil</w:t>
            </w:r>
          </w:p>
          <w:p w:rsidR="00000000" w:rsidRPr="003B12E4" w:rsidP="003B12E4">
            <w:pPr>
              <w:pStyle w:val="ListBullet2"/>
            </w:pPr>
            <w:r w:rsidRPr="003B12E4">
              <w:rPr>
                <w:rStyle w:val="Emphasis"/>
              </w:rPr>
              <w:t>Co</w:t>
            </w:r>
            <w:r w:rsidRPr="003B12E4">
              <w:t>-</w:t>
            </w:r>
            <w:r w:rsidRPr="003B12E4">
              <w:rPr>
                <w:rStyle w:val="Emphasis"/>
              </w:rPr>
              <w:t>requisite</w:t>
            </w:r>
            <w:r w:rsidRPr="003B12E4">
              <w:t xml:space="preserve"> units that must be assessed with this unit:</w:t>
            </w:r>
            <w:r w:rsidRPr="003B12E4">
              <w:rPr>
                <w:rStyle w:val="Emphasis"/>
              </w:rPr>
              <w:t>Nil</w:t>
            </w:r>
          </w:p>
          <w:p w:rsidR="00000000" w:rsidRPr="003B12E4" w:rsidP="003B12E4">
            <w:pPr>
              <w:pStyle w:val="ListBullet2"/>
            </w:pPr>
            <w:r w:rsidRPr="003B12E4">
              <w:rPr>
                <w:rStyle w:val="Emphasis"/>
              </w:rPr>
              <w:t>Co</w:t>
            </w:r>
            <w:r w:rsidRPr="003B12E4">
              <w:t>-</w:t>
            </w:r>
            <w:r w:rsidRPr="003B12E4">
              <w:rPr>
                <w:rStyle w:val="Emphasis"/>
              </w:rPr>
              <w:t>assessed units</w:t>
            </w:r>
            <w:r w:rsidRPr="003B12E4">
              <w:t xml:space="preserve"> that may be assessed with this unit to increase the efficiency and realism of the assessment process include, but are not limited to:</w:t>
            </w:r>
          </w:p>
          <w:p w:rsidR="00000000" w:rsidRPr="003B12E4" w:rsidP="003B12E4">
            <w:pPr>
              <w:pStyle w:val="ListBullet3"/>
            </w:pPr>
            <w:r w:rsidRPr="003B12E4">
              <w:t>PSPETHC601B Maintain and enhance confidence in public service</w:t>
            </w:r>
          </w:p>
          <w:p w:rsidR="00000000" w:rsidRPr="003B12E4" w:rsidP="003B12E4">
            <w:pPr>
              <w:pStyle w:val="ListBullet3"/>
            </w:pPr>
            <w:r w:rsidRPr="003B12E4">
              <w:t>PSPGOV601B Apply government systems</w:t>
            </w:r>
          </w:p>
          <w:p w:rsidR="00000000" w:rsidRPr="003B12E4" w:rsidP="003B12E4">
            <w:pPr>
              <w:pStyle w:val="ListBullet3"/>
            </w:pPr>
            <w:r w:rsidRPr="003B12E4">
              <w:t>PSPLEGN601B Manage compliance with legislation in the public sector</w:t>
            </w:r>
          </w:p>
          <w:p w:rsidR="00000000" w:rsidRPr="003B12E4" w:rsidP="003B12E4">
            <w:pPr>
              <w:pStyle w:val="ListBullet3"/>
            </w:pPr>
            <w:r w:rsidRPr="003B12E4">
              <w:t>PSPMNGT602B Manage resources</w:t>
            </w:r>
          </w:p>
          <w:p w:rsidR="00000000" w:rsidRPr="003B12E4" w:rsidP="003B12E4">
            <w:pPr>
              <w:pStyle w:val="ListBullet3"/>
            </w:pPr>
            <w:r w:rsidRPr="003B12E4">
              <w:t>PSPMNGT608B Manage risk</w:t>
            </w:r>
          </w:p>
          <w:p w:rsidR="00000000" w:rsidP="003B12E4">
            <w:pPr>
              <w:pStyle w:val="ListBullet3"/>
              <w:rPr>
                <w:lang w:val="en-NZ"/>
              </w:rPr>
            </w:pPr>
            <w:r w:rsidRPr="003B12E4">
              <w:t>PSPOHS602A Manage workplace safety</w:t>
            </w:r>
          </w:p>
        </w:tc>
      </w:tr>
      <w:tr w:rsidTr="00B56ED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B12E4">
            <w:pPr>
              <w:pStyle w:val="BodyText"/>
              <w:rPr>
                <w:lang w:val="en-NZ"/>
              </w:rPr>
            </w:pPr>
            <w:r w:rsidRPr="003B12E4">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3B12E4" w:rsidP="003B12E4">
            <w:pPr>
              <w:pStyle w:val="BodyText"/>
            </w:pPr>
            <w:r w:rsidRPr="003B12E4">
              <w:t>In addition to integrated demonstration of the elements and their</w:t>
            </w:r>
            <w:r w:rsidRPr="003B12E4">
              <w:t xml:space="preserve"> related performance criteria, look for evidence that confirms:</w:t>
            </w:r>
          </w:p>
          <w:p w:rsidR="00000000" w:rsidRPr="003B12E4" w:rsidP="003B12E4">
            <w:pPr>
              <w:pStyle w:val="ListBullet2"/>
            </w:pPr>
            <w:r w:rsidRPr="003B12E4">
              <w:t xml:space="preserve">the knowledge requirements of this unit </w:t>
            </w:r>
          </w:p>
          <w:p w:rsidR="00000000" w:rsidRPr="003B12E4" w:rsidP="003B12E4">
            <w:pPr>
              <w:pStyle w:val="ListBullet2"/>
            </w:pPr>
            <w:r w:rsidRPr="003B12E4">
              <w:t>the skill requirements of this unit</w:t>
            </w:r>
          </w:p>
          <w:p w:rsidR="00000000" w:rsidRPr="003B12E4" w:rsidP="003B12E4">
            <w:pPr>
              <w:pStyle w:val="ListBullet2"/>
            </w:pPr>
            <w:r w:rsidRPr="003B12E4">
              <w:t>application of the Employability Skills as they relate to this unit (see Employability Summaries in Qualifications Framework)</w:t>
            </w:r>
          </w:p>
          <w:p w:rsidR="00000000" w:rsidP="003B12E4">
            <w:pPr>
              <w:pStyle w:val="ListBullet2"/>
              <w:rPr>
                <w:lang w:val="en-NZ"/>
              </w:rPr>
            </w:pPr>
            <w:r w:rsidRPr="003B12E4">
              <w:t>management of the provision of high-level scientific technical support within a broad area of expertise at an experienced, self-di</w:t>
            </w:r>
            <w:r w:rsidRPr="003B12E4">
              <w:t>rected level, in a range of (3 or more) contexts  such as experimental, survey, sampling and/or analytical tasks (or occasions, over time)</w:t>
            </w:r>
          </w:p>
        </w:tc>
      </w:tr>
      <w:tr w:rsidTr="00B56ED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B12E4">
            <w:pPr>
              <w:pStyle w:val="BodyText"/>
              <w:rPr>
                <w:lang w:val="en-NZ"/>
              </w:rPr>
            </w:pPr>
            <w:r w:rsidRPr="003B12E4">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3B12E4" w:rsidP="003B12E4">
            <w:pPr>
              <w:pStyle w:val="BodyText"/>
            </w:pPr>
            <w:r w:rsidRPr="003B12E4">
              <w:t>These resources include:</w:t>
            </w:r>
          </w:p>
          <w:p w:rsidR="00000000" w:rsidRPr="003B12E4" w:rsidP="003B12E4">
            <w:pPr>
              <w:pStyle w:val="ListBullet2"/>
            </w:pPr>
            <w:r w:rsidRPr="003B12E4">
              <w:t>legislation, procedures, guidelines and protoco</w:t>
            </w:r>
            <w:r w:rsidRPr="003B12E4">
              <w:t>ls</w:t>
            </w:r>
          </w:p>
          <w:p w:rsidR="00000000" w:rsidRPr="003B12E4" w:rsidP="003B12E4">
            <w:pPr>
              <w:pStyle w:val="ListBullet2"/>
            </w:pPr>
            <w:r w:rsidRPr="003B12E4">
              <w:t>operating procedures/work instructions</w:t>
            </w:r>
          </w:p>
          <w:p w:rsidR="00000000" w:rsidRPr="003B12E4" w:rsidP="003B12E4">
            <w:pPr>
              <w:pStyle w:val="ListBullet2"/>
            </w:pPr>
            <w:r w:rsidRPr="003B12E4">
              <w:t>industry standards</w:t>
            </w:r>
          </w:p>
          <w:p w:rsidR="00000000" w:rsidRPr="003B12E4" w:rsidP="003B12E4">
            <w:pPr>
              <w:pStyle w:val="ListBullet2"/>
            </w:pPr>
            <w:r w:rsidRPr="003B12E4">
              <w:t>scientific/technological equipment and machinery related to the research environment</w:t>
            </w:r>
          </w:p>
          <w:p w:rsidR="00000000" w:rsidRPr="003B12E4" w:rsidP="003B12E4">
            <w:pPr>
              <w:pStyle w:val="ListBullet2"/>
            </w:pPr>
            <w:r w:rsidRPr="003B12E4">
              <w:t xml:space="preserve">personal protective equipment </w:t>
            </w:r>
          </w:p>
          <w:p w:rsidR="00000000" w:rsidP="003B12E4">
            <w:pPr>
              <w:pStyle w:val="ListBullet2"/>
              <w:rPr>
                <w:lang w:val="en-NZ"/>
              </w:rPr>
            </w:pPr>
            <w:r w:rsidRPr="003B12E4">
              <w:t xml:space="preserve">case studies and workplace scenarios to capture the range of situations likely </w:t>
            </w:r>
            <w:r w:rsidRPr="003B12E4">
              <w:t>to be encountered when managing the provision of high-level scientific technical support</w:t>
            </w:r>
          </w:p>
        </w:tc>
      </w:tr>
      <w:tr w:rsidTr="00B56ED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B12E4">
            <w:pPr>
              <w:pStyle w:val="BodyText"/>
              <w:rPr>
                <w:lang w:val="en-NZ"/>
              </w:rPr>
            </w:pPr>
            <w:r w:rsidRPr="003B12E4">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3B12E4" w:rsidP="003B12E4">
            <w:pPr>
              <w:pStyle w:val="BodyText"/>
            </w:pPr>
            <w:r w:rsidRPr="003B12E4">
              <w:t xml:space="preserve">Valid assessment of this unit requires: </w:t>
            </w:r>
          </w:p>
          <w:p w:rsidR="00000000" w:rsidRPr="003B12E4" w:rsidP="003B12E4">
            <w:pPr>
              <w:pStyle w:val="ListBullet2"/>
            </w:pPr>
            <w:r w:rsidRPr="003B12E4">
              <w:t xml:space="preserve">a workplace environment or one that closely resembles normal work practice and replicates </w:t>
            </w:r>
            <w:r w:rsidRPr="003B12E4">
              <w:t>the range of conditions likely to be encountered when managing the provision of high-level scientific technical support, including coping with difficulties, irregularities and breakdowns in routine</w:t>
            </w:r>
          </w:p>
          <w:p w:rsidR="00000000" w:rsidRPr="003B12E4" w:rsidP="003B12E4">
            <w:pPr>
              <w:pStyle w:val="ListBullet2"/>
            </w:pPr>
            <w:r w:rsidRPr="003B12E4">
              <w:t>management of the provision of high-level scientific techn</w:t>
            </w:r>
            <w:r w:rsidRPr="003B12E4">
              <w:t>ical support within a broad area of expertise at an experienced, self-directed level, in a range of (3 or more) contexts  such as experimental, survey, sampling and/or analytical tasks (or occasions, over time)</w:t>
            </w:r>
          </w:p>
          <w:p w:rsidR="00000000" w:rsidRPr="003B12E4" w:rsidP="003B12E4">
            <w:pPr>
              <w:pStyle w:val="BodyText"/>
            </w:pPr>
            <w:r w:rsidRPr="003B12E4">
              <w:t>Assessment methods should reflect workplace d</w:t>
            </w:r>
            <w:r w:rsidRPr="003B12E4">
              <w:t>emands, such as literacy, and the needs of particular groups, such as:</w:t>
            </w:r>
          </w:p>
          <w:p w:rsidR="00000000" w:rsidRPr="003B12E4" w:rsidP="003B12E4">
            <w:pPr>
              <w:pStyle w:val="ListBullet2"/>
            </w:pPr>
            <w:r w:rsidRPr="003B12E4">
              <w:t>people with disabilities</w:t>
            </w:r>
          </w:p>
          <w:p w:rsidR="00000000" w:rsidRPr="003B12E4" w:rsidP="003B12E4">
            <w:pPr>
              <w:pStyle w:val="ListBullet2"/>
            </w:pPr>
            <w:r w:rsidRPr="003B12E4">
              <w:t>people from culturally and linguistically diverse backgrounds</w:t>
            </w:r>
          </w:p>
          <w:p w:rsidR="00000000" w:rsidRPr="003B12E4" w:rsidP="003B12E4">
            <w:pPr>
              <w:pStyle w:val="ListBullet2"/>
            </w:pPr>
            <w:r w:rsidRPr="003B12E4">
              <w:t>Aboriginal and Torres Strait Islander people</w:t>
            </w:r>
          </w:p>
          <w:p w:rsidR="00000000" w:rsidRPr="003B12E4" w:rsidP="003B12E4">
            <w:pPr>
              <w:pStyle w:val="ListBullet2"/>
            </w:pPr>
            <w:r w:rsidRPr="003B12E4">
              <w:t>women</w:t>
            </w:r>
          </w:p>
          <w:p w:rsidR="00000000" w:rsidRPr="003B12E4" w:rsidP="003B12E4">
            <w:pPr>
              <w:pStyle w:val="ListBullet2"/>
            </w:pPr>
            <w:r w:rsidRPr="003B12E4">
              <w:t>young people</w:t>
            </w:r>
          </w:p>
          <w:p w:rsidR="00000000" w:rsidRPr="003B12E4" w:rsidP="003B12E4">
            <w:pPr>
              <w:pStyle w:val="ListBullet2"/>
            </w:pPr>
            <w:r w:rsidRPr="003B12E4">
              <w:t>older people</w:t>
            </w:r>
          </w:p>
          <w:p w:rsidR="00000000" w:rsidRPr="003B12E4" w:rsidP="003B12E4">
            <w:pPr>
              <w:pStyle w:val="ListBullet2"/>
            </w:pPr>
            <w:r w:rsidRPr="003B12E4">
              <w:t xml:space="preserve">people in rural and </w:t>
            </w:r>
            <w:r w:rsidRPr="003B12E4">
              <w:t>remote locations</w:t>
            </w:r>
          </w:p>
          <w:p w:rsidR="00000000" w:rsidRPr="003B12E4" w:rsidP="003B12E4">
            <w:pPr>
              <w:pStyle w:val="BodyText"/>
            </w:pPr>
            <w:r w:rsidRPr="003B12E4">
              <w:t xml:space="preserve">Assessment methods suitable for valid and reliable assessment of this competency may include, but are not limited to, a combination of 2 or more of: </w:t>
            </w:r>
          </w:p>
          <w:p w:rsidR="00000000" w:rsidRPr="003B12E4" w:rsidP="003B12E4">
            <w:pPr>
              <w:pStyle w:val="ListBullet2"/>
            </w:pPr>
            <w:r w:rsidRPr="003B12E4">
              <w:t xml:space="preserve">demonstration </w:t>
            </w:r>
          </w:p>
          <w:p w:rsidR="00000000" w:rsidRPr="003B12E4" w:rsidP="003B12E4">
            <w:pPr>
              <w:pStyle w:val="ListBullet2"/>
            </w:pPr>
            <w:r w:rsidRPr="003B12E4">
              <w:t>observation</w:t>
            </w:r>
          </w:p>
          <w:p w:rsidR="00000000" w:rsidRPr="003B12E4" w:rsidP="003B12E4">
            <w:pPr>
              <w:pStyle w:val="ListBullet2"/>
            </w:pPr>
            <w:r w:rsidRPr="003B12E4">
              <w:t xml:space="preserve">portfolios </w:t>
            </w:r>
          </w:p>
          <w:p w:rsidR="00000000" w:rsidRPr="003B12E4" w:rsidP="003B12E4">
            <w:pPr>
              <w:pStyle w:val="ListBullet2"/>
            </w:pPr>
            <w:r w:rsidRPr="003B12E4">
              <w:t>projects</w:t>
            </w:r>
          </w:p>
          <w:p w:rsidR="00000000" w:rsidRPr="003B12E4" w:rsidP="003B12E4">
            <w:pPr>
              <w:pStyle w:val="ListBullet2"/>
            </w:pPr>
            <w:r w:rsidRPr="003B12E4">
              <w:t>questioning</w:t>
            </w:r>
          </w:p>
          <w:p w:rsidR="00000000" w:rsidP="003B12E4">
            <w:pPr>
              <w:pStyle w:val="ListBullet2"/>
              <w:rPr>
                <w:lang w:val="en-NZ"/>
              </w:rPr>
            </w:pPr>
            <w:r w:rsidRPr="003B12E4">
              <w:t xml:space="preserve">authenticated evidence from </w:t>
            </w:r>
            <w:r w:rsidRPr="003B12E4">
              <w:t xml:space="preserve">the workplace and/or training courses  </w:t>
            </w:r>
          </w:p>
        </w:tc>
      </w:tr>
      <w:tr w:rsidTr="00B56ED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B12E4">
            <w:pPr>
              <w:pStyle w:val="BodyText"/>
              <w:rPr>
                <w:lang w:val="en-NZ"/>
              </w:rPr>
            </w:pPr>
            <w:r w:rsidRPr="003B12E4">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3B12E4" w:rsidP="003B12E4">
            <w:pPr>
              <w:pStyle w:val="BodyText"/>
            </w:pPr>
            <w:r w:rsidRPr="003B12E4">
              <w:t>Evidence must be gathered over time in a range of contexts to ensure the person can achieve the unit outcome and apply the competency in different situations or environments</w:t>
            </w:r>
          </w:p>
        </w:tc>
      </w:tr>
    </w:tbl>
    <w:p w:rsidR="00000000" w:rsidRPr="003B12E4" w:rsidP="003B12E4">
      <w:pPr>
        <w:pStyle w:val="BodyText"/>
      </w:pPr>
    </w:p>
    <w:p w:rsidR="00000000" w:rsidRPr="003B12E4" w:rsidP="003B12E4">
      <w:pPr>
        <w:pStyle w:val="AllowPageBreak"/>
      </w:pPr>
    </w:p>
    <w:p w:rsidR="00000000" w:rsidRPr="003B12E4" w:rsidP="003B12E4">
      <w:pPr>
        <w:pStyle w:val="Heading1"/>
      </w:pPr>
      <w:bookmarkStart w:id="11" w:name="O_499537"/>
      <w:bookmarkEnd w:id="11"/>
      <w:r w:rsidRPr="003B12E4">
        <w:t>Range Statement</w:t>
      </w:r>
    </w:p>
    <w:tbl>
      <w:tblPr>
        <w:tblW w:w="9322" w:type="dxa"/>
        <w:tblLayout w:type="fixed"/>
        <w:tblCellMar>
          <w:left w:w="62" w:type="dxa"/>
          <w:right w:w="62" w:type="dxa"/>
        </w:tblCellMar>
        <w:tblLook w:val="0000"/>
      </w:tblPr>
      <w:tblGrid>
        <w:gridCol w:w="2660"/>
        <w:gridCol w:w="6662"/>
      </w:tblGrid>
      <w:tr w:rsidTr="00B56EDE">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3B12E4">
            <w:pPr>
              <w:pStyle w:val="BodyText"/>
              <w:rPr>
                <w:lang w:val="en-NZ"/>
              </w:rPr>
            </w:pPr>
            <w:r w:rsidRPr="003B12E4">
              <w:t>The Range Statement provides information about the context in which the unit of competency is carried out. The variables cater for differences between States and Territories and the Commonwealth, and between organisations and workpl</w:t>
            </w:r>
            <w:r w:rsidRPr="003B12E4">
              <w:t xml:space="preserve">aces. They allow for different work requirements, work practices and knowledge. The Range Statement also provides a focus for assessment. It relates to the unit as a whole. Text in </w:t>
            </w:r>
            <w:r w:rsidRPr="003B12E4">
              <w:rPr>
                <w:rStyle w:val="BoldandItalics"/>
              </w:rPr>
              <w:t xml:space="preserve">bold italics </w:t>
            </w:r>
            <w:r w:rsidRPr="003B12E4">
              <w:t>in the Performance Criteria is explained here.</w:t>
            </w:r>
          </w:p>
        </w:tc>
      </w:tr>
      <w:tr w:rsidTr="00B56ED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B12E4">
            <w:pPr>
              <w:pStyle w:val="BodyText"/>
              <w:rPr>
                <w:lang w:val="en-NZ"/>
              </w:rPr>
            </w:pPr>
            <w:r w:rsidRPr="003B12E4">
              <w:rPr>
                <w:rStyle w:val="BoldandItalics"/>
              </w:rPr>
              <w:t>Technical dut</w:t>
            </w:r>
            <w:r w:rsidRPr="003B12E4">
              <w:rPr>
                <w:rStyle w:val="BoldandItalics"/>
              </w:rPr>
              <w:t>ies</w:t>
            </w:r>
            <w:r w:rsidRPr="003B12E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3B12E4" w:rsidP="003B12E4">
            <w:pPr>
              <w:pStyle w:val="ListBullet2"/>
            </w:pPr>
            <w:r w:rsidRPr="003B12E4">
              <w:t>surveys</w:t>
            </w:r>
          </w:p>
          <w:p w:rsidR="00000000" w:rsidRPr="003B12E4" w:rsidP="003B12E4">
            <w:pPr>
              <w:pStyle w:val="ListBullet2"/>
            </w:pPr>
            <w:r w:rsidRPr="003B12E4">
              <w:t>sampling</w:t>
            </w:r>
          </w:p>
          <w:p w:rsidR="00000000" w:rsidRPr="003B12E4" w:rsidP="003B12E4">
            <w:pPr>
              <w:pStyle w:val="ListBullet2"/>
            </w:pPr>
            <w:r w:rsidRPr="003B12E4">
              <w:t>experiments</w:t>
            </w:r>
          </w:p>
          <w:p w:rsidR="00000000" w:rsidRPr="003B12E4" w:rsidP="003B12E4">
            <w:pPr>
              <w:pStyle w:val="ListBullet2"/>
            </w:pPr>
            <w:r w:rsidRPr="003B12E4">
              <w:t>trials</w:t>
            </w:r>
          </w:p>
          <w:p w:rsidR="00000000" w:rsidRPr="003B12E4" w:rsidP="003B12E4">
            <w:pPr>
              <w:pStyle w:val="ListBullet2"/>
            </w:pPr>
            <w:r w:rsidRPr="003B12E4">
              <w:t>tests</w:t>
            </w:r>
          </w:p>
          <w:p w:rsidR="00000000" w:rsidRPr="003B12E4" w:rsidP="003B12E4">
            <w:pPr>
              <w:pStyle w:val="ListBullet2"/>
            </w:pPr>
            <w:r w:rsidRPr="003B12E4">
              <w:t>assays</w:t>
            </w:r>
          </w:p>
          <w:p w:rsidR="00000000" w:rsidRPr="003B12E4" w:rsidP="003B12E4">
            <w:pPr>
              <w:pStyle w:val="ListBullet2"/>
            </w:pPr>
            <w:r w:rsidRPr="003B12E4">
              <w:t>surveillance</w:t>
            </w:r>
          </w:p>
          <w:p w:rsidR="00000000" w:rsidRPr="003B12E4" w:rsidP="003B12E4">
            <w:pPr>
              <w:pStyle w:val="ListBullet2"/>
            </w:pPr>
            <w:r w:rsidRPr="003B12E4">
              <w:t>collecting specimens</w:t>
            </w:r>
          </w:p>
          <w:p w:rsidR="00000000" w:rsidRPr="003B12E4" w:rsidP="003B12E4">
            <w:pPr>
              <w:pStyle w:val="ListBullet2"/>
            </w:pPr>
            <w:r w:rsidRPr="003B12E4">
              <w:t>inspections</w:t>
            </w:r>
          </w:p>
          <w:p w:rsidR="00000000" w:rsidRPr="003B12E4" w:rsidP="003B12E4">
            <w:pPr>
              <w:pStyle w:val="ListBullet2"/>
            </w:pPr>
            <w:r w:rsidRPr="003B12E4">
              <w:t>identification of plants or animals</w:t>
            </w:r>
          </w:p>
          <w:p w:rsidR="00000000" w:rsidRPr="003B12E4" w:rsidP="003B12E4">
            <w:pPr>
              <w:pStyle w:val="ListBullet2"/>
            </w:pPr>
            <w:r w:rsidRPr="003B12E4">
              <w:t>identification of pests</w:t>
            </w:r>
          </w:p>
          <w:p w:rsidR="00000000" w:rsidRPr="003B12E4" w:rsidP="003B12E4">
            <w:pPr>
              <w:pStyle w:val="ListBullet2"/>
            </w:pPr>
            <w:r w:rsidRPr="003B12E4">
              <w:t>operation, calibration and maintenance of experimental equipment</w:t>
            </w:r>
          </w:p>
          <w:p w:rsidR="00000000" w:rsidRPr="003B12E4" w:rsidP="003B12E4">
            <w:pPr>
              <w:pStyle w:val="ListBullet2"/>
            </w:pPr>
            <w:r w:rsidRPr="003B12E4">
              <w:t>diagnostic processes</w:t>
            </w:r>
          </w:p>
          <w:p w:rsidR="00000000" w:rsidP="003B12E4">
            <w:pPr>
              <w:pStyle w:val="ListBullet2"/>
              <w:rPr>
                <w:lang w:val="en-NZ"/>
              </w:rPr>
            </w:pPr>
            <w:r w:rsidRPr="003B12E4">
              <w:t>producing specimen images</w:t>
            </w:r>
          </w:p>
        </w:tc>
      </w:tr>
      <w:tr w:rsidTr="00B56ED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B12E4">
            <w:pPr>
              <w:pStyle w:val="BodyText"/>
              <w:rPr>
                <w:lang w:val="en-NZ"/>
              </w:rPr>
            </w:pPr>
            <w:r w:rsidRPr="003B12E4">
              <w:rPr>
                <w:rStyle w:val="BoldandItalics"/>
              </w:rPr>
              <w:t xml:space="preserve">Processes </w:t>
            </w:r>
            <w:r w:rsidRPr="003B12E4">
              <w:t>may include:</w:t>
            </w:r>
          </w:p>
        </w:tc>
        <w:tc>
          <w:tcPr>
            <w:tcW w:w="6662" w:type="dxa"/>
            <w:tcBorders>
              <w:top w:val="nil"/>
              <w:left w:val="nil"/>
              <w:bottom w:val="nil"/>
              <w:right w:val="nil"/>
            </w:tcBorders>
            <w:tcMar>
              <w:top w:w="0" w:type="dxa"/>
              <w:left w:w="62" w:type="dxa"/>
              <w:bottom w:w="0" w:type="dxa"/>
              <w:right w:w="62" w:type="dxa"/>
            </w:tcMar>
          </w:tcPr>
          <w:p w:rsidR="00000000" w:rsidRPr="003B12E4" w:rsidP="003B12E4">
            <w:pPr>
              <w:pStyle w:val="ListBullet2"/>
            </w:pPr>
            <w:r w:rsidRPr="003B12E4">
              <w:t>experimental processes</w:t>
            </w:r>
          </w:p>
          <w:p w:rsidR="00000000" w:rsidRPr="003B12E4" w:rsidP="003B12E4">
            <w:pPr>
              <w:pStyle w:val="ListBullet2"/>
            </w:pPr>
            <w:r w:rsidRPr="003B12E4">
              <w:t>observation</w:t>
            </w:r>
          </w:p>
          <w:p w:rsidR="00000000" w:rsidP="003B12E4">
            <w:pPr>
              <w:pStyle w:val="ListBullet2"/>
              <w:rPr>
                <w:lang w:val="en-NZ"/>
              </w:rPr>
            </w:pPr>
            <w:r w:rsidRPr="003B12E4">
              <w:t>field trials</w:t>
            </w:r>
          </w:p>
        </w:tc>
      </w:tr>
      <w:tr w:rsidTr="00B56ED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B12E4">
            <w:pPr>
              <w:pStyle w:val="BodyText"/>
              <w:rPr>
                <w:lang w:val="en-NZ"/>
              </w:rPr>
            </w:pPr>
            <w:r w:rsidRPr="003B12E4">
              <w:rPr>
                <w:rStyle w:val="BoldandItalics"/>
              </w:rPr>
              <w:t xml:space="preserve">Resources </w:t>
            </w:r>
            <w:r w:rsidRPr="003B12E4">
              <w:t>may include:</w:t>
            </w:r>
          </w:p>
        </w:tc>
        <w:tc>
          <w:tcPr>
            <w:tcW w:w="6662" w:type="dxa"/>
            <w:tcBorders>
              <w:top w:val="nil"/>
              <w:left w:val="nil"/>
              <w:bottom w:val="nil"/>
              <w:right w:val="nil"/>
            </w:tcBorders>
            <w:tcMar>
              <w:top w:w="0" w:type="dxa"/>
              <w:left w:w="62" w:type="dxa"/>
              <w:bottom w:w="0" w:type="dxa"/>
              <w:right w:w="62" w:type="dxa"/>
            </w:tcMar>
          </w:tcPr>
          <w:p w:rsidR="00000000" w:rsidRPr="003B12E4" w:rsidP="003B12E4">
            <w:pPr>
              <w:pStyle w:val="ListBullet2"/>
            </w:pPr>
            <w:r w:rsidRPr="003B12E4">
              <w:t>design specifications</w:t>
            </w:r>
          </w:p>
          <w:p w:rsidR="00000000" w:rsidRPr="003B12E4" w:rsidP="003B12E4">
            <w:pPr>
              <w:pStyle w:val="ListBullet2"/>
            </w:pPr>
            <w:r w:rsidRPr="003B12E4">
              <w:t>technical manuals</w:t>
            </w:r>
          </w:p>
          <w:p w:rsidR="00000000" w:rsidRPr="003B12E4" w:rsidP="003B12E4">
            <w:pPr>
              <w:pStyle w:val="ListBullet2"/>
            </w:pPr>
            <w:r w:rsidRPr="003B12E4">
              <w:t>componentry</w:t>
            </w:r>
          </w:p>
          <w:p w:rsidR="00000000" w:rsidRPr="003B12E4" w:rsidP="003B12E4">
            <w:pPr>
              <w:pStyle w:val="ListBullet2"/>
            </w:pPr>
            <w:r w:rsidRPr="003B12E4">
              <w:t>radioactive samples</w:t>
            </w:r>
          </w:p>
          <w:p w:rsidR="00000000" w:rsidRPr="003B12E4" w:rsidP="003B12E4">
            <w:pPr>
              <w:pStyle w:val="ListBullet2"/>
            </w:pPr>
            <w:r w:rsidRPr="003B12E4">
              <w:t>specimens</w:t>
            </w:r>
          </w:p>
          <w:p w:rsidR="00000000" w:rsidRPr="003B12E4" w:rsidP="003B12E4">
            <w:pPr>
              <w:pStyle w:val="ListBullet2"/>
            </w:pPr>
            <w:r w:rsidRPr="003B12E4">
              <w:t>plants</w:t>
            </w:r>
          </w:p>
          <w:p w:rsidR="00000000" w:rsidRPr="003B12E4" w:rsidP="003B12E4">
            <w:pPr>
              <w:pStyle w:val="ListBullet2"/>
            </w:pPr>
            <w:r w:rsidRPr="003B12E4">
              <w:t>seeds</w:t>
            </w:r>
          </w:p>
          <w:p w:rsidR="00000000" w:rsidRPr="003B12E4" w:rsidP="003B12E4">
            <w:pPr>
              <w:pStyle w:val="ListBullet2"/>
            </w:pPr>
            <w:r w:rsidRPr="003B12E4">
              <w:t>chemicals</w:t>
            </w:r>
          </w:p>
          <w:p w:rsidR="00000000" w:rsidP="003B12E4">
            <w:pPr>
              <w:pStyle w:val="ListBullet2"/>
              <w:rPr>
                <w:lang w:val="en-NZ"/>
              </w:rPr>
            </w:pPr>
            <w:r w:rsidRPr="003B12E4">
              <w:t>personal protective equipment</w:t>
            </w:r>
          </w:p>
        </w:tc>
      </w:tr>
      <w:tr w:rsidTr="00B56ED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B12E4">
            <w:pPr>
              <w:pStyle w:val="BodyText"/>
              <w:rPr>
                <w:lang w:val="en-NZ"/>
              </w:rPr>
            </w:pPr>
            <w:r w:rsidRPr="003B12E4">
              <w:rPr>
                <w:rStyle w:val="BoldandItalics"/>
              </w:rPr>
              <w:t xml:space="preserve">Equipment </w:t>
            </w:r>
            <w:r w:rsidRPr="003B12E4">
              <w:t>may include:</w:t>
            </w:r>
          </w:p>
        </w:tc>
        <w:tc>
          <w:tcPr>
            <w:tcW w:w="6662" w:type="dxa"/>
            <w:tcBorders>
              <w:top w:val="nil"/>
              <w:left w:val="nil"/>
              <w:bottom w:val="nil"/>
              <w:right w:val="nil"/>
            </w:tcBorders>
            <w:tcMar>
              <w:top w:w="0" w:type="dxa"/>
              <w:left w:w="62" w:type="dxa"/>
              <w:bottom w:w="0" w:type="dxa"/>
              <w:right w:w="62" w:type="dxa"/>
            </w:tcMar>
          </w:tcPr>
          <w:p w:rsidR="00000000" w:rsidRPr="003B12E4" w:rsidP="003B12E4">
            <w:pPr>
              <w:pStyle w:val="ListBullet2"/>
            </w:pPr>
            <w:r w:rsidRPr="003B12E4">
              <w:t>prototypes</w:t>
            </w:r>
          </w:p>
          <w:p w:rsidR="00000000" w:rsidRPr="003B12E4" w:rsidP="003B12E4">
            <w:pPr>
              <w:pStyle w:val="ListBullet2"/>
            </w:pPr>
            <w:r w:rsidRPr="003B12E4">
              <w:t>test rigs</w:t>
            </w:r>
          </w:p>
          <w:p w:rsidR="00000000" w:rsidRPr="003B12E4" w:rsidP="003B12E4">
            <w:pPr>
              <w:pStyle w:val="ListBullet2"/>
            </w:pPr>
            <w:r w:rsidRPr="003B12E4">
              <w:t>tools</w:t>
            </w:r>
          </w:p>
          <w:p w:rsidR="00000000" w:rsidRPr="003B12E4" w:rsidP="003B12E4">
            <w:pPr>
              <w:pStyle w:val="ListBullet2"/>
            </w:pPr>
            <w:r w:rsidRPr="003B12E4">
              <w:t>diagnostic instruments</w:t>
            </w:r>
          </w:p>
          <w:p w:rsidR="00000000" w:rsidRPr="003B12E4" w:rsidP="003B12E4">
            <w:pPr>
              <w:pStyle w:val="ListBullet2"/>
            </w:pPr>
            <w:r w:rsidRPr="003B12E4">
              <w:t>laboratory equipment</w:t>
            </w:r>
          </w:p>
          <w:p w:rsidR="00000000" w:rsidRPr="003B12E4" w:rsidP="003B12E4">
            <w:pPr>
              <w:pStyle w:val="ListBullet2"/>
            </w:pPr>
            <w:r w:rsidRPr="003B12E4">
              <w:t>experimental equipment</w:t>
            </w:r>
          </w:p>
          <w:p w:rsidR="00000000" w:rsidP="003B12E4">
            <w:pPr>
              <w:pStyle w:val="ListBullet2"/>
              <w:rPr>
                <w:lang w:val="en-NZ"/>
              </w:rPr>
            </w:pPr>
            <w:r w:rsidRPr="003B12E4">
              <w:t>farm equipment</w:t>
            </w:r>
          </w:p>
        </w:tc>
      </w:tr>
      <w:tr w:rsidTr="00B56ED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B12E4">
            <w:pPr>
              <w:pStyle w:val="BodyText"/>
              <w:rPr>
                <w:lang w:val="en-NZ"/>
              </w:rPr>
            </w:pPr>
            <w:r w:rsidRPr="003B12E4">
              <w:rPr>
                <w:rStyle w:val="BoldandItalics"/>
              </w:rPr>
              <w:t>Other legislative requirements</w:t>
            </w:r>
            <w:r w:rsidRPr="003B12E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3B12E4" w:rsidP="003B12E4">
            <w:pPr>
              <w:pStyle w:val="ListBullet2"/>
            </w:pPr>
            <w:r w:rsidRPr="003B12E4">
              <w:t>quarantine or protection requirements</w:t>
            </w:r>
          </w:p>
          <w:p w:rsidR="00000000" w:rsidRPr="003B12E4" w:rsidP="003B12E4">
            <w:pPr>
              <w:pStyle w:val="ListBullet2"/>
            </w:pPr>
            <w:r w:rsidRPr="003B12E4">
              <w:t>copyright and intellectual property legislation</w:t>
            </w:r>
          </w:p>
          <w:p w:rsidR="00000000" w:rsidP="003B12E4">
            <w:pPr>
              <w:pStyle w:val="ListBullet2"/>
              <w:rPr>
                <w:lang w:val="en-NZ"/>
              </w:rPr>
            </w:pPr>
            <w:r w:rsidRPr="003B12E4">
              <w:t>Australian standards</w:t>
            </w:r>
          </w:p>
        </w:tc>
      </w:tr>
      <w:tr w:rsidTr="00B56ED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B12E4">
            <w:pPr>
              <w:pStyle w:val="BodyText"/>
              <w:rPr>
                <w:lang w:val="en-NZ"/>
              </w:rPr>
            </w:pPr>
            <w:r w:rsidRPr="003B12E4">
              <w:rPr>
                <w:rStyle w:val="BoldandItalics"/>
              </w:rPr>
              <w:t xml:space="preserve">Individuals </w:t>
            </w:r>
            <w:r w:rsidRPr="003B12E4">
              <w:t>may include:</w:t>
            </w:r>
          </w:p>
        </w:tc>
        <w:tc>
          <w:tcPr>
            <w:tcW w:w="6662" w:type="dxa"/>
            <w:tcBorders>
              <w:top w:val="nil"/>
              <w:left w:val="nil"/>
              <w:bottom w:val="nil"/>
              <w:right w:val="nil"/>
            </w:tcBorders>
            <w:tcMar>
              <w:top w:w="0" w:type="dxa"/>
              <w:left w:w="62" w:type="dxa"/>
              <w:bottom w:w="0" w:type="dxa"/>
              <w:right w:w="62" w:type="dxa"/>
            </w:tcMar>
          </w:tcPr>
          <w:p w:rsidR="00000000" w:rsidRPr="003B12E4" w:rsidP="003B12E4">
            <w:pPr>
              <w:pStyle w:val="ListBullet2"/>
            </w:pPr>
            <w:r w:rsidRPr="003B12E4">
              <w:t>other technical staff</w:t>
            </w:r>
          </w:p>
          <w:p w:rsidR="00000000" w:rsidRPr="003B12E4" w:rsidP="003B12E4">
            <w:pPr>
              <w:pStyle w:val="ListBullet2"/>
            </w:pPr>
            <w:r w:rsidRPr="003B12E4">
              <w:t>supervised staff</w:t>
            </w:r>
          </w:p>
          <w:p w:rsidR="00000000" w:rsidRPr="003B12E4" w:rsidP="003B12E4">
            <w:pPr>
              <w:pStyle w:val="ListBullet2"/>
            </w:pPr>
            <w:r w:rsidRPr="003B12E4">
              <w:t>contract workers</w:t>
            </w:r>
          </w:p>
          <w:p w:rsidR="00000000" w:rsidRPr="003B12E4" w:rsidP="003B12E4">
            <w:pPr>
              <w:pStyle w:val="ListBullet2"/>
            </w:pPr>
            <w:r w:rsidRPr="003B12E4">
              <w:t>super-ordinates</w:t>
            </w:r>
          </w:p>
          <w:p w:rsidR="00000000" w:rsidRPr="003B12E4" w:rsidP="003B12E4">
            <w:pPr>
              <w:pStyle w:val="ListBullet2"/>
            </w:pPr>
            <w:r w:rsidRPr="003B12E4">
              <w:t>research officers</w:t>
            </w:r>
          </w:p>
          <w:p w:rsidR="00000000" w:rsidP="003B12E4">
            <w:pPr>
              <w:pStyle w:val="ListBullet2"/>
              <w:rPr>
                <w:lang w:val="en-NZ"/>
              </w:rPr>
            </w:pPr>
            <w:r w:rsidRPr="003B12E4">
              <w:t>farmers</w:t>
            </w:r>
          </w:p>
        </w:tc>
      </w:tr>
      <w:tr w:rsidTr="00B56ED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B12E4">
            <w:pPr>
              <w:pStyle w:val="BodyText"/>
              <w:rPr>
                <w:lang w:val="en-NZ"/>
              </w:rPr>
            </w:pPr>
            <w:r w:rsidRPr="003B12E4">
              <w:rPr>
                <w:rStyle w:val="BoldandItalics"/>
              </w:rPr>
              <w:t xml:space="preserve">Irregularities </w:t>
            </w:r>
            <w:r w:rsidRPr="003B12E4">
              <w:t>may be dealt with by:</w:t>
            </w:r>
          </w:p>
        </w:tc>
        <w:tc>
          <w:tcPr>
            <w:tcW w:w="6662" w:type="dxa"/>
            <w:tcBorders>
              <w:top w:val="nil"/>
              <w:left w:val="nil"/>
              <w:bottom w:val="nil"/>
              <w:right w:val="nil"/>
            </w:tcBorders>
            <w:tcMar>
              <w:top w:w="0" w:type="dxa"/>
              <w:left w:w="62" w:type="dxa"/>
              <w:bottom w:w="0" w:type="dxa"/>
              <w:right w:w="62" w:type="dxa"/>
            </w:tcMar>
          </w:tcPr>
          <w:p w:rsidR="00000000" w:rsidRPr="003B12E4" w:rsidP="003B12E4">
            <w:pPr>
              <w:pStyle w:val="ListBullet2"/>
            </w:pPr>
            <w:r w:rsidRPr="003B12E4">
              <w:t>problem solving</w:t>
            </w:r>
          </w:p>
          <w:p w:rsidR="00000000" w:rsidRPr="003B12E4" w:rsidP="003B12E4">
            <w:pPr>
              <w:pStyle w:val="ListBullet2"/>
            </w:pPr>
            <w:r w:rsidRPr="003B12E4">
              <w:t>checking source information</w:t>
            </w:r>
          </w:p>
          <w:p w:rsidR="00000000" w:rsidRPr="003B12E4" w:rsidP="003B12E4">
            <w:pPr>
              <w:pStyle w:val="ListBullet2"/>
            </w:pPr>
            <w:r w:rsidRPr="003B12E4">
              <w:t>checking data input</w:t>
            </w:r>
          </w:p>
          <w:p w:rsidR="00000000" w:rsidRPr="003B12E4" w:rsidP="003B12E4">
            <w:pPr>
              <w:pStyle w:val="ListBullet2"/>
            </w:pPr>
            <w:r w:rsidRPr="003B12E4">
              <w:t>repeating tests/trial measurements</w:t>
            </w:r>
          </w:p>
          <w:p w:rsidR="00000000" w:rsidP="003B12E4">
            <w:pPr>
              <w:pStyle w:val="ListBullet2"/>
              <w:rPr>
                <w:lang w:val="en-NZ"/>
              </w:rPr>
            </w:pPr>
            <w:r w:rsidRPr="003B12E4">
              <w:t>referring problem to other staff</w:t>
            </w:r>
          </w:p>
        </w:tc>
      </w:tr>
      <w:tr w:rsidTr="00B56ED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B12E4">
            <w:pPr>
              <w:pStyle w:val="BodyText"/>
              <w:rPr>
                <w:lang w:val="en-NZ"/>
              </w:rPr>
            </w:pPr>
            <w:r w:rsidRPr="003B12E4">
              <w:rPr>
                <w:rStyle w:val="BoldandItalics"/>
              </w:rPr>
              <w:t>High-level correspondence</w:t>
            </w:r>
            <w:r w:rsidRPr="003B12E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3B12E4" w:rsidP="003B12E4">
            <w:pPr>
              <w:pStyle w:val="ListBullet2"/>
            </w:pPr>
            <w:r w:rsidRPr="003B12E4">
              <w:t>ministerials</w:t>
            </w:r>
          </w:p>
          <w:p w:rsidR="00000000" w:rsidRPr="003B12E4" w:rsidP="003B12E4">
            <w:pPr>
              <w:pStyle w:val="ListBullet2"/>
            </w:pPr>
            <w:r w:rsidRPr="003B12E4">
              <w:t>briefing notes</w:t>
            </w:r>
          </w:p>
          <w:p w:rsidR="00000000" w:rsidRPr="003B12E4" w:rsidP="003B12E4">
            <w:pPr>
              <w:pStyle w:val="ListBullet2"/>
            </w:pPr>
            <w:r w:rsidRPr="003B12E4">
              <w:t>discussion papers</w:t>
            </w:r>
          </w:p>
        </w:tc>
      </w:tr>
    </w:tbl>
    <w:p w:rsidR="00B56EDE" w:rsidP="003B12E4">
      <w:pPr>
        <w:pStyle w:val="BodyText"/>
      </w:pPr>
    </w:p>
    <w:p w:rsidR="00B56EDE" w:rsidP="003B12E4">
      <w:pPr>
        <w:pStyle w:val="BodyText"/>
      </w:pPr>
    </w:p>
    <w:p w:rsidR="00000000" w:rsidRPr="003B12E4" w:rsidP="003B12E4">
      <w:pPr>
        <w:pStyle w:val="Heading1"/>
      </w:pPr>
      <w:bookmarkStart w:id="12" w:name="O_499533"/>
      <w:bookmarkEnd w:id="12"/>
      <w:r w:rsidRPr="003B12E4">
        <w:t>Unit Sector(s)</w:t>
      </w:r>
    </w:p>
    <w:p w:rsidR="00000000" w:rsidRPr="003B12E4" w:rsidP="003B12E4">
      <w:pPr>
        <w:pStyle w:val="BodyText"/>
      </w:pPr>
      <w:r w:rsidRPr="003B12E4">
        <w:t>Not applicable.</w:t>
      </w:r>
    </w:p>
    <w:p w:rsidR="00000000" w:rsidRPr="003B12E4" w:rsidP="003B12E4">
      <w:pPr>
        <w:pStyle w:val="AllowPageBreak"/>
      </w:pPr>
    </w:p>
    <w:p w:rsidR="00000000" w:rsidRPr="003B12E4" w:rsidP="003B12E4">
      <w:pPr>
        <w:pStyle w:val="Heading1"/>
      </w:pPr>
      <w:bookmarkStart w:id="13" w:name="O_499543"/>
      <w:bookmarkEnd w:id="13"/>
      <w:r w:rsidRPr="003B12E4">
        <w:t>Competency field</w:t>
      </w:r>
    </w:p>
    <w:p w:rsidR="00000000" w:rsidRPr="003B12E4" w:rsidP="003B12E4">
      <w:pPr>
        <w:pStyle w:val="BodyText"/>
      </w:pPr>
      <w:r w:rsidRPr="003B12E4">
        <w:t>Government Science &amp; Technology.</w:t>
      </w:r>
    </w:p>
    <w:p w:rsidR="00000000" w:rsidRPr="003B12E4" w:rsidP="003B12E4"/>
    <w:sectPr w:rsidSect="003B12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2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6EDE" w:rsidP="00B56ED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2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EDE" w:rsidP="003B12E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56EDE" w:rsidP="003B12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56EDE" w:rsidP="003B12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2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2E4" w:rsidRPr="00B56EDE" w:rsidP="00B56E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2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EDE" w:rsidRPr="002D2AF8" w:rsidP="003B12E4">
    <w:pPr>
      <w:pStyle w:val="Header"/>
      <w:framePr w:wrap="around"/>
    </w:pPr>
    <w:r>
      <w:fldChar w:fldCharType="begin"/>
    </w:r>
    <w:r>
      <w:instrText xml:space="preserve"> TITLE   \* MERGEFORMAT </w:instrText>
    </w:r>
    <w:r>
      <w:fldChar w:fldCharType="separate"/>
    </w:r>
    <w:r>
      <w:t>PSPSCI601A Manage the provision of high-level scientific technical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B56EDE" w:rsidP="003B12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B4F7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0B8A0E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2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12E4"/>
    <w:pPr>
      <w:spacing w:before="360" w:after="60"/>
      <w:outlineLvl w:val="0"/>
    </w:pPr>
    <w:rPr>
      <w:sz w:val="32"/>
    </w:rPr>
  </w:style>
  <w:style w:type="paragraph" w:styleId="Heading2">
    <w:name w:val="heading 2"/>
    <w:basedOn w:val="HeadingBase"/>
    <w:next w:val="BodyText"/>
    <w:link w:val="Heading2Char"/>
    <w:qFormat/>
    <w:rsid w:val="003B12E4"/>
    <w:pPr>
      <w:keepLines/>
      <w:spacing w:before="240" w:after="120"/>
      <w:outlineLvl w:val="1"/>
    </w:pPr>
    <w:rPr>
      <w:sz w:val="28"/>
      <w:szCs w:val="40"/>
    </w:rPr>
  </w:style>
  <w:style w:type="paragraph" w:styleId="Heading3">
    <w:name w:val="heading 3"/>
    <w:basedOn w:val="HeadingBase"/>
    <w:next w:val="BodyText"/>
    <w:link w:val="Heading3Char"/>
    <w:qFormat/>
    <w:rsid w:val="003B12E4"/>
    <w:pPr>
      <w:spacing w:before="180" w:after="120"/>
      <w:outlineLvl w:val="2"/>
    </w:pPr>
    <w:rPr>
      <w:spacing w:val="-10"/>
      <w:kern w:val="32"/>
    </w:rPr>
  </w:style>
  <w:style w:type="paragraph" w:styleId="Heading4">
    <w:name w:val="heading 4"/>
    <w:basedOn w:val="HeadingBase"/>
    <w:next w:val="BodyText"/>
    <w:link w:val="Heading4Char"/>
    <w:qFormat/>
    <w:rsid w:val="003B12E4"/>
    <w:pPr>
      <w:spacing w:before="160" w:after="120"/>
      <w:outlineLvl w:val="3"/>
    </w:pPr>
    <w:rPr>
      <w:sz w:val="22"/>
    </w:rPr>
  </w:style>
  <w:style w:type="paragraph" w:styleId="Heading5">
    <w:name w:val="heading 5"/>
    <w:basedOn w:val="HeadingBase"/>
    <w:next w:val="Normal"/>
    <w:link w:val="Heading5Char"/>
    <w:qFormat/>
    <w:rsid w:val="003B12E4"/>
    <w:pPr>
      <w:spacing w:before="80"/>
      <w:outlineLvl w:val="4"/>
    </w:pPr>
    <w:rPr>
      <w:color w:val="918585"/>
      <w:sz w:val="20"/>
    </w:rPr>
  </w:style>
  <w:style w:type="paragraph" w:styleId="Heading6">
    <w:name w:val="heading 6"/>
    <w:basedOn w:val="HeadingBase"/>
    <w:next w:val="Normal"/>
    <w:link w:val="Heading6Char"/>
    <w:qFormat/>
    <w:rsid w:val="003B12E4"/>
    <w:pPr>
      <w:spacing w:before="60"/>
      <w:outlineLvl w:val="5"/>
    </w:pPr>
    <w:rPr>
      <w:color w:val="918585"/>
      <w:sz w:val="20"/>
    </w:rPr>
  </w:style>
  <w:style w:type="paragraph" w:styleId="Heading7">
    <w:name w:val="heading 7"/>
    <w:basedOn w:val="Normal"/>
    <w:next w:val="Normal"/>
    <w:link w:val="Heading7Char"/>
    <w:qFormat/>
    <w:rsid w:val="003B12E4"/>
    <w:pPr>
      <w:ind w:left="720"/>
      <w:outlineLvl w:val="6"/>
    </w:pPr>
    <w:rPr>
      <w:i/>
    </w:rPr>
  </w:style>
  <w:style w:type="paragraph" w:styleId="Heading8">
    <w:name w:val="heading 8"/>
    <w:basedOn w:val="Normal"/>
    <w:next w:val="Normal"/>
    <w:link w:val="Heading8Char"/>
    <w:qFormat/>
    <w:rsid w:val="003B12E4"/>
    <w:pPr>
      <w:ind w:left="720"/>
      <w:outlineLvl w:val="7"/>
    </w:pPr>
    <w:rPr>
      <w:i/>
    </w:rPr>
  </w:style>
  <w:style w:type="paragraph" w:styleId="Heading9">
    <w:name w:val="heading 9"/>
    <w:basedOn w:val="Normal"/>
    <w:next w:val="Normal"/>
    <w:link w:val="Heading9Char"/>
    <w:qFormat/>
    <w:rsid w:val="003B12E4"/>
    <w:pPr>
      <w:ind w:left="720"/>
      <w:outlineLvl w:val="8"/>
    </w:pPr>
    <w:rPr>
      <w:i/>
    </w:rPr>
  </w:style>
  <w:style w:type="character" w:default="1" w:styleId="DefaultParagraphFont">
    <w:name w:val="Default Paragraph Font"/>
    <w:uiPriority w:val="1"/>
    <w:unhideWhenUsed/>
    <w:rsid w:val="003B12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2E4"/>
  </w:style>
  <w:style w:type="character" w:customStyle="1" w:styleId="Heading1Char">
    <w:name w:val="Heading 1 Char"/>
    <w:basedOn w:val="DefaultParagraphFont"/>
    <w:link w:val="Heading1"/>
    <w:rsid w:val="003B12E4"/>
    <w:rPr>
      <w:rFonts w:ascii="Times New Roman" w:eastAsia="Times New Roman" w:hAnsi="Times New Roman" w:cs="Times New Roman"/>
      <w:b/>
      <w:sz w:val="32"/>
      <w:szCs w:val="20"/>
      <w:lang w:eastAsia="en-US"/>
    </w:rPr>
  </w:style>
  <w:style w:type="paragraph" w:styleId="BodyText">
    <w:name w:val="Body Text"/>
    <w:basedOn w:val="Normal"/>
    <w:link w:val="BodyTextChar"/>
    <w:rsid w:val="003B12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12E4"/>
    <w:rPr>
      <w:rFonts w:ascii="Times New Roman" w:eastAsia="Times New Roman" w:hAnsi="Times New Roman" w:cs="Times New Roman"/>
      <w:sz w:val="24"/>
      <w:lang w:eastAsia="en-US"/>
    </w:rPr>
  </w:style>
  <w:style w:type="paragraph" w:styleId="Footer">
    <w:name w:val="footer"/>
    <w:basedOn w:val="Normal"/>
    <w:link w:val="FooterChar"/>
    <w:rsid w:val="003B12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12E4"/>
    <w:rPr>
      <w:rFonts w:ascii="Times New Roman" w:eastAsia="Times New Roman" w:hAnsi="Times New Roman" w:cs="Times New Roman"/>
      <w:sz w:val="16"/>
      <w:lang w:eastAsia="en-US"/>
    </w:rPr>
  </w:style>
  <w:style w:type="paragraph" w:styleId="List">
    <w:name w:val="List"/>
    <w:basedOn w:val="BodyText"/>
    <w:next w:val="BodyText"/>
    <w:rsid w:val="003B12E4"/>
    <w:pPr>
      <w:tabs>
        <w:tab w:val="left" w:pos="340"/>
      </w:tabs>
      <w:spacing w:before="60" w:after="60"/>
      <w:ind w:left="340" w:hanging="340"/>
    </w:pPr>
  </w:style>
  <w:style w:type="character" w:customStyle="1" w:styleId="SpecialBold">
    <w:name w:val="Special Bold"/>
    <w:basedOn w:val="DefaultParagraphFont"/>
    <w:rsid w:val="003B12E4"/>
    <w:rPr>
      <w:b/>
      <w:spacing w:val="0"/>
    </w:rPr>
  </w:style>
  <w:style w:type="paragraph" w:styleId="ListBullet2">
    <w:name w:val="List Bullet 2"/>
    <w:basedOn w:val="List2"/>
    <w:rsid w:val="003B12E4"/>
    <w:pPr>
      <w:numPr>
        <w:numId w:val="14"/>
      </w:numPr>
      <w:tabs>
        <w:tab w:val="clear" w:pos="680"/>
      </w:tabs>
    </w:pPr>
  </w:style>
  <w:style w:type="character" w:styleId="Emphasis">
    <w:name w:val="Emphasis"/>
    <w:basedOn w:val="DefaultParagraphFont"/>
    <w:qFormat/>
    <w:rsid w:val="003B12E4"/>
    <w:rPr>
      <w:i/>
    </w:rPr>
  </w:style>
  <w:style w:type="paragraph" w:customStyle="1" w:styleId="SuperHeading">
    <w:name w:val="SuperHeading"/>
    <w:basedOn w:val="Normal"/>
    <w:rsid w:val="003B12E4"/>
    <w:pPr>
      <w:spacing w:before="240" w:after="120"/>
      <w:outlineLvl w:val="0"/>
    </w:pPr>
    <w:rPr>
      <w:rFonts w:ascii="Times New Roman" w:hAnsi="Times New Roman"/>
      <w:b/>
      <w:sz w:val="28"/>
    </w:rPr>
  </w:style>
  <w:style w:type="paragraph" w:customStyle="1" w:styleId="AllowPageBreak">
    <w:name w:val="AllowPageBreak"/>
    <w:rsid w:val="003B12E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B12E4"/>
    <w:pPr>
      <w:numPr>
        <w:numId w:val="2"/>
      </w:numPr>
      <w:tabs>
        <w:tab w:val="clear" w:pos="1021"/>
      </w:tabs>
      <w:ind w:left="1037" w:hanging="357"/>
    </w:pPr>
  </w:style>
  <w:style w:type="character" w:customStyle="1" w:styleId="BoldandItalics">
    <w:name w:val="Bold and Italics"/>
    <w:qFormat/>
    <w:rsid w:val="003B12E4"/>
    <w:rPr>
      <w:b/>
      <w:i/>
      <w:u w:val="none"/>
    </w:rPr>
  </w:style>
  <w:style w:type="character" w:customStyle="1" w:styleId="Heading2Char">
    <w:name w:val="Heading 2 Char"/>
    <w:basedOn w:val="DefaultParagraphFont"/>
    <w:link w:val="Heading2"/>
    <w:rsid w:val="003B12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12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12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12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12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2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12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12E4"/>
    <w:rPr>
      <w:rFonts w:ascii="Courier New" w:eastAsia="Times New Roman" w:hAnsi="Courier New" w:cs="Times New Roman"/>
      <w:i/>
      <w:szCs w:val="20"/>
      <w:lang w:eastAsia="en-US"/>
    </w:rPr>
  </w:style>
  <w:style w:type="paragraph" w:customStyle="1" w:styleId="HeadingBase">
    <w:name w:val="Heading Base"/>
    <w:rsid w:val="003B12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2E4"/>
    <w:pPr>
      <w:tabs>
        <w:tab w:val="right" w:leader="dot" w:pos="9072"/>
      </w:tabs>
      <w:ind w:left="567"/>
    </w:pPr>
    <w:rPr>
      <w:szCs w:val="22"/>
    </w:rPr>
  </w:style>
  <w:style w:type="paragraph" w:customStyle="1" w:styleId="TOCBase">
    <w:name w:val="TOC Base"/>
    <w:rsid w:val="003B12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2E4"/>
    <w:pPr>
      <w:tabs>
        <w:tab w:val="right" w:leader="dot" w:pos="9072"/>
      </w:tabs>
      <w:spacing w:before="40" w:after="40"/>
      <w:ind w:left="284"/>
    </w:pPr>
    <w:rPr>
      <w:rFonts w:ascii="Times New Roman" w:hAnsi="Times New Roman"/>
    </w:rPr>
  </w:style>
  <w:style w:type="paragraph" w:styleId="TOC1">
    <w:name w:val="toc 1"/>
    <w:basedOn w:val="TOCBase"/>
    <w:next w:val="Normal"/>
    <w:rsid w:val="003B12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12E4"/>
    <w:pPr>
      <w:spacing w:before="5040"/>
      <w:jc w:val="center"/>
    </w:pPr>
    <w:rPr>
      <w:sz w:val="48"/>
      <w:szCs w:val="72"/>
      <w:lang w:val="en-US"/>
    </w:rPr>
  </w:style>
  <w:style w:type="character" w:customStyle="1" w:styleId="TitleChar">
    <w:name w:val="Title Char"/>
    <w:basedOn w:val="DefaultParagraphFont"/>
    <w:link w:val="Title"/>
    <w:rsid w:val="003B12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2E4"/>
    <w:pPr>
      <w:tabs>
        <w:tab w:val="left" w:pos="3600"/>
        <w:tab w:val="left" w:pos="3958"/>
      </w:tabs>
    </w:pPr>
  </w:style>
  <w:style w:type="paragraph" w:styleId="ListBullet">
    <w:name w:val="List Bullet"/>
    <w:basedOn w:val="List"/>
    <w:rsid w:val="003B12E4"/>
    <w:pPr>
      <w:numPr>
        <w:numId w:val="13"/>
      </w:numPr>
      <w:tabs>
        <w:tab w:val="clear" w:pos="340"/>
      </w:tabs>
      <w:spacing w:before="40" w:after="40"/>
    </w:pPr>
  </w:style>
  <w:style w:type="paragraph" w:customStyle="1" w:styleId="Note">
    <w:name w:val="Note"/>
    <w:basedOn w:val="BodyText"/>
    <w:rsid w:val="003B12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12E4"/>
    <w:pPr>
      <w:framePr w:wrap="auto" w:hAnchor="text" w:y="6049"/>
    </w:pPr>
    <w:rPr>
      <w:color w:val="000000"/>
      <w:sz w:val="40"/>
    </w:rPr>
  </w:style>
  <w:style w:type="paragraph" w:customStyle="1" w:styleId="TOCTitle">
    <w:name w:val="TOCTitle"/>
    <w:basedOn w:val="Heading1"/>
    <w:rsid w:val="003B12E4"/>
    <w:pPr>
      <w:spacing w:after="240"/>
      <w:jc w:val="center"/>
      <w:outlineLvl w:val="9"/>
    </w:pPr>
    <w:rPr>
      <w:caps/>
    </w:rPr>
  </w:style>
  <w:style w:type="paragraph" w:customStyle="1" w:styleId="Version">
    <w:name w:val="Version"/>
    <w:rsid w:val="003B12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12E4"/>
    <w:pPr>
      <w:keepNext w:val="0"/>
      <w:tabs>
        <w:tab w:val="right" w:pos="4176"/>
      </w:tabs>
      <w:ind w:left="198" w:hanging="198"/>
    </w:pPr>
    <w:rPr>
      <w:rFonts w:ascii="Garamond" w:hAnsi="Garamond"/>
    </w:rPr>
  </w:style>
  <w:style w:type="paragraph" w:styleId="IndexHeading">
    <w:name w:val="index heading"/>
    <w:basedOn w:val="Normal"/>
    <w:next w:val="Index1"/>
    <w:semiHidden/>
    <w:rsid w:val="003B12E4"/>
    <w:pPr>
      <w:spacing w:before="120" w:after="120"/>
    </w:pPr>
    <w:rPr>
      <w:rFonts w:ascii="Arial" w:hAnsi="Arial"/>
      <w:b/>
      <w:color w:val="918585"/>
      <w:sz w:val="24"/>
    </w:rPr>
  </w:style>
  <w:style w:type="paragraph" w:styleId="Header">
    <w:name w:val="header"/>
    <w:basedOn w:val="Normal"/>
    <w:link w:val="HeaderChar"/>
    <w:rsid w:val="003B12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12E4"/>
    <w:rPr>
      <w:rFonts w:ascii="Times New Roman" w:eastAsia="Times New Roman" w:hAnsi="Times New Roman" w:cs="Times New Roman"/>
      <w:sz w:val="16"/>
      <w:szCs w:val="20"/>
      <w:lang w:val="en-GB" w:eastAsia="en-US"/>
    </w:rPr>
  </w:style>
  <w:style w:type="paragraph" w:customStyle="1" w:styleId="Chapter">
    <w:name w:val="Chapter"/>
    <w:basedOn w:val="Normal"/>
    <w:rsid w:val="003B12E4"/>
    <w:pPr>
      <w:spacing w:before="240"/>
    </w:pPr>
    <w:rPr>
      <w:rFonts w:ascii="Times New Roman" w:hAnsi="Times New Roman"/>
      <w:smallCaps/>
      <w:spacing w:val="80"/>
      <w:sz w:val="28"/>
    </w:rPr>
  </w:style>
  <w:style w:type="paragraph" w:customStyle="1" w:styleId="InChapter">
    <w:name w:val="InChapter"/>
    <w:basedOn w:val="Heading3"/>
    <w:rsid w:val="003B12E4"/>
    <w:pPr>
      <w:spacing w:after="240"/>
      <w:outlineLvl w:val="9"/>
    </w:pPr>
    <w:rPr>
      <w:noProof/>
    </w:rPr>
  </w:style>
  <w:style w:type="paragraph" w:styleId="Index2">
    <w:name w:val="index 2"/>
    <w:basedOn w:val="Normal"/>
    <w:next w:val="Normal"/>
    <w:semiHidden/>
    <w:rsid w:val="003B12E4"/>
    <w:pPr>
      <w:tabs>
        <w:tab w:val="right" w:pos="4176"/>
      </w:tabs>
      <w:ind w:left="568" w:hanging="284"/>
    </w:pPr>
    <w:rPr>
      <w:rFonts w:ascii="Garamond" w:hAnsi="Garamond"/>
    </w:rPr>
  </w:style>
  <w:style w:type="paragraph" w:customStyle="1" w:styleId="Byline">
    <w:name w:val="Byline"/>
    <w:rsid w:val="003B12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2E4"/>
    <w:pPr>
      <w:tabs>
        <w:tab w:val="clear" w:pos="3600"/>
        <w:tab w:val="clear" w:pos="3958"/>
      </w:tabs>
      <w:jc w:val="right"/>
    </w:pPr>
  </w:style>
  <w:style w:type="paragraph" w:styleId="Caption">
    <w:name w:val="caption"/>
    <w:basedOn w:val="BodyText"/>
    <w:next w:val="Normal"/>
    <w:qFormat/>
    <w:rsid w:val="003B12E4"/>
    <w:pPr>
      <w:framePr w:w="2268" w:hSpace="181" w:vSpace="181" w:wrap="around" w:vAnchor="text" w:hAnchor="page" w:x="1135" w:y="285" w:anchorLock="1"/>
    </w:pPr>
    <w:rPr>
      <w:i/>
    </w:rPr>
  </w:style>
  <w:style w:type="paragraph" w:customStyle="1" w:styleId="MiniTOCTitle">
    <w:name w:val="MiniTOCTitle"/>
    <w:basedOn w:val="Heading4"/>
    <w:rsid w:val="003B12E4"/>
    <w:pPr>
      <w:spacing w:before="240"/>
      <w:outlineLvl w:val="9"/>
    </w:pPr>
    <w:rPr>
      <w:noProof/>
      <w:sz w:val="24"/>
    </w:rPr>
  </w:style>
  <w:style w:type="paragraph" w:customStyle="1" w:styleId="MiniTOCItem">
    <w:name w:val="MiniTOCItem"/>
    <w:basedOn w:val="ListBullet"/>
    <w:rsid w:val="003B12E4"/>
    <w:pPr>
      <w:numPr>
        <w:numId w:val="0"/>
      </w:numPr>
      <w:tabs>
        <w:tab w:val="right" w:leader="dot" w:pos="6521"/>
      </w:tabs>
      <w:spacing w:before="0" w:after="0"/>
    </w:pPr>
  </w:style>
  <w:style w:type="paragraph" w:customStyle="1" w:styleId="TOFTitle">
    <w:name w:val="TOFTitle"/>
    <w:basedOn w:val="TOCTitle"/>
    <w:rsid w:val="003B12E4"/>
  </w:style>
  <w:style w:type="paragraph" w:styleId="TableofFigures">
    <w:name w:val="table of figures"/>
    <w:basedOn w:val="Normal"/>
    <w:next w:val="Normal"/>
    <w:semiHidden/>
    <w:rsid w:val="003B12E4"/>
    <w:pPr>
      <w:tabs>
        <w:tab w:val="right" w:leader="dot" w:pos="9072"/>
      </w:tabs>
      <w:ind w:left="970" w:hanging="403"/>
    </w:pPr>
    <w:rPr>
      <w:rFonts w:ascii="Times New Roman" w:hAnsi="Times New Roman"/>
      <w:b/>
    </w:rPr>
  </w:style>
  <w:style w:type="paragraph" w:styleId="ListNumber">
    <w:name w:val="List Number"/>
    <w:basedOn w:val="List"/>
    <w:rsid w:val="003B12E4"/>
    <w:pPr>
      <w:numPr>
        <w:numId w:val="11"/>
      </w:numPr>
    </w:pPr>
  </w:style>
  <w:style w:type="character" w:customStyle="1" w:styleId="WingdingSymbols">
    <w:name w:val="Wingding Symbols"/>
    <w:rsid w:val="003B12E4"/>
    <w:rPr>
      <w:rFonts w:ascii="Wingdings" w:hAnsi="Wingdings"/>
    </w:rPr>
  </w:style>
  <w:style w:type="paragraph" w:customStyle="1" w:styleId="TableHeading">
    <w:name w:val="Table Heading"/>
    <w:basedOn w:val="HeadingBase"/>
    <w:rsid w:val="003B12E4"/>
    <w:pPr>
      <w:keepLines/>
      <w:pBdr>
        <w:bottom w:val="single" w:sz="6" w:space="1" w:color="918585"/>
      </w:pBdr>
      <w:spacing w:before="240"/>
    </w:pPr>
  </w:style>
  <w:style w:type="character" w:customStyle="1" w:styleId="HotSpot">
    <w:name w:val="HotSpot"/>
    <w:rsid w:val="003B12E4"/>
    <w:rPr>
      <w:color w:val="0033CC"/>
      <w:u w:val="none"/>
    </w:rPr>
  </w:style>
  <w:style w:type="paragraph" w:customStyle="1" w:styleId="BodyTextRight">
    <w:name w:val="Body Text Right"/>
    <w:basedOn w:val="BodyText"/>
    <w:rsid w:val="003B12E4"/>
    <w:pPr>
      <w:spacing w:before="0" w:after="0"/>
      <w:jc w:val="right"/>
    </w:pPr>
  </w:style>
  <w:style w:type="paragraph" w:styleId="Index3">
    <w:name w:val="index 3"/>
    <w:basedOn w:val="ListNumber2"/>
    <w:next w:val="Normal"/>
    <w:semiHidden/>
    <w:rsid w:val="003B12E4"/>
    <w:pPr>
      <w:numPr>
        <w:numId w:val="0"/>
      </w:numPr>
      <w:tabs>
        <w:tab w:val="right" w:leader="dot" w:pos="4176"/>
      </w:tabs>
    </w:pPr>
  </w:style>
  <w:style w:type="paragraph" w:styleId="ListNumber2">
    <w:name w:val="List Number 2"/>
    <w:basedOn w:val="List2"/>
    <w:rsid w:val="003B12E4"/>
    <w:pPr>
      <w:numPr>
        <w:numId w:val="10"/>
      </w:numPr>
      <w:tabs>
        <w:tab w:val="clear" w:pos="1060"/>
      </w:tabs>
    </w:pPr>
  </w:style>
  <w:style w:type="paragraph" w:customStyle="1" w:styleId="MarginNote">
    <w:name w:val="Margin Note"/>
    <w:basedOn w:val="BodyText"/>
    <w:rsid w:val="003B12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2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12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12E4"/>
    <w:rPr>
      <w:sz w:val="32"/>
    </w:rPr>
  </w:style>
  <w:style w:type="paragraph" w:customStyle="1" w:styleId="HeadingProcedure">
    <w:name w:val="Heading Procedure"/>
    <w:basedOn w:val="HeadingBase"/>
    <w:next w:val="Normal"/>
    <w:rsid w:val="003B12E4"/>
    <w:pPr>
      <w:tabs>
        <w:tab w:val="left" w:pos="0"/>
      </w:tabs>
      <w:spacing w:before="120" w:after="60"/>
    </w:pPr>
    <w:rPr>
      <w:i/>
      <w:color w:val="918585"/>
      <w:sz w:val="22"/>
    </w:rPr>
  </w:style>
  <w:style w:type="paragraph" w:customStyle="1" w:styleId="TableBodyText">
    <w:name w:val="Table Body Text"/>
    <w:basedOn w:val="BodyText"/>
    <w:rsid w:val="003B12E4"/>
    <w:pPr>
      <w:spacing w:before="60" w:after="60"/>
    </w:pPr>
  </w:style>
  <w:style w:type="paragraph" w:styleId="ListContinue">
    <w:name w:val="List Continue"/>
    <w:basedOn w:val="List"/>
    <w:rsid w:val="003B12E4"/>
    <w:pPr>
      <w:ind w:firstLine="0"/>
    </w:pPr>
  </w:style>
  <w:style w:type="paragraph" w:customStyle="1" w:styleId="ListNote">
    <w:name w:val="List Note"/>
    <w:basedOn w:val="List"/>
    <w:rsid w:val="003B12E4"/>
    <w:pPr>
      <w:pBdr>
        <w:top w:val="single" w:sz="6" w:space="2" w:color="918585"/>
        <w:bottom w:val="single" w:sz="6" w:space="2" w:color="918585"/>
      </w:pBdr>
      <w:tabs>
        <w:tab w:val="left" w:pos="1021"/>
      </w:tabs>
      <w:ind w:firstLine="0"/>
    </w:pPr>
  </w:style>
  <w:style w:type="paragraph" w:customStyle="1" w:styleId="Warning">
    <w:name w:val="Warning"/>
    <w:basedOn w:val="BodyText"/>
    <w:rsid w:val="003B12E4"/>
    <w:pPr>
      <w:shd w:val="clear" w:color="auto" w:fill="D9D9D9"/>
      <w:tabs>
        <w:tab w:val="left" w:pos="992"/>
      </w:tabs>
      <w:ind w:left="119" w:right="119"/>
    </w:pPr>
    <w:rPr>
      <w:sz w:val="20"/>
    </w:rPr>
  </w:style>
  <w:style w:type="paragraph" w:customStyle="1" w:styleId="MarginIcons">
    <w:name w:val="Margin Icons"/>
    <w:basedOn w:val="BodyText"/>
    <w:rsid w:val="003B12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12E4"/>
    <w:rPr>
      <w:rFonts w:ascii="Courier New" w:hAnsi="Courier New"/>
    </w:rPr>
  </w:style>
  <w:style w:type="paragraph" w:customStyle="1" w:styleId="NoteBullet">
    <w:name w:val="Note Bullet"/>
    <w:basedOn w:val="Note"/>
    <w:rsid w:val="003B12E4"/>
    <w:pPr>
      <w:tabs>
        <w:tab w:val="clear" w:pos="680"/>
      </w:tabs>
      <w:spacing w:before="60" w:after="60"/>
    </w:pPr>
  </w:style>
  <w:style w:type="paragraph" w:customStyle="1" w:styleId="SubHeading2">
    <w:name w:val="SubHeading2"/>
    <w:basedOn w:val="HeadingBase"/>
    <w:rsid w:val="003B12E4"/>
    <w:pPr>
      <w:spacing w:before="240" w:after="60"/>
    </w:pPr>
    <w:rPr>
      <w:sz w:val="20"/>
    </w:rPr>
  </w:style>
  <w:style w:type="paragraph" w:customStyle="1" w:styleId="SubHeading1">
    <w:name w:val="SubHeading1"/>
    <w:basedOn w:val="HeadingBase"/>
    <w:rsid w:val="003B12E4"/>
    <w:pPr>
      <w:spacing w:before="240" w:after="60"/>
    </w:pPr>
    <w:rPr>
      <w:color w:val="918585"/>
      <w:sz w:val="22"/>
    </w:rPr>
  </w:style>
  <w:style w:type="paragraph" w:customStyle="1" w:styleId="SideHeading">
    <w:name w:val="Side Heading"/>
    <w:basedOn w:val="HeadingBase"/>
    <w:rsid w:val="003B12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2E4"/>
    <w:pPr>
      <w:numPr>
        <w:numId w:val="12"/>
      </w:numPr>
    </w:pPr>
  </w:style>
  <w:style w:type="paragraph" w:styleId="PlainText">
    <w:name w:val="Plain Text"/>
    <w:basedOn w:val="Normal"/>
    <w:link w:val="PlainTextChar"/>
    <w:rsid w:val="003B12E4"/>
    <w:rPr>
      <w:sz w:val="20"/>
    </w:rPr>
  </w:style>
  <w:style w:type="character" w:customStyle="1" w:styleId="PlainTextChar">
    <w:name w:val="Plain Text Char"/>
    <w:basedOn w:val="DefaultParagraphFont"/>
    <w:link w:val="PlainText"/>
    <w:rsid w:val="003B12E4"/>
    <w:rPr>
      <w:rFonts w:ascii="Courier New" w:eastAsia="Times New Roman" w:hAnsi="Courier New" w:cs="Times New Roman"/>
      <w:sz w:val="20"/>
      <w:szCs w:val="20"/>
      <w:lang w:eastAsia="en-US"/>
    </w:rPr>
  </w:style>
  <w:style w:type="character" w:customStyle="1" w:styleId="MenuOption">
    <w:name w:val="Menu Option"/>
    <w:basedOn w:val="DefaultParagraphFont"/>
    <w:rsid w:val="003B12E4"/>
    <w:rPr>
      <w:b/>
      <w:smallCaps/>
    </w:rPr>
  </w:style>
  <w:style w:type="paragraph" w:customStyle="1" w:styleId="TableListNumber">
    <w:name w:val="Table List Number"/>
    <w:basedOn w:val="ListNumber"/>
    <w:rsid w:val="003B12E4"/>
    <w:pPr>
      <w:numPr>
        <w:numId w:val="0"/>
      </w:numPr>
    </w:pPr>
  </w:style>
  <w:style w:type="paragraph" w:styleId="TOC4">
    <w:name w:val="toc 4"/>
    <w:basedOn w:val="TOCBase"/>
    <w:next w:val="Normal"/>
    <w:semiHidden/>
    <w:rsid w:val="003B12E4"/>
    <w:pPr>
      <w:tabs>
        <w:tab w:val="right" w:leader="dot" w:pos="9071"/>
      </w:tabs>
      <w:ind w:left="1701"/>
    </w:pPr>
  </w:style>
  <w:style w:type="paragraph" w:customStyle="1" w:styleId="ListAlpha">
    <w:name w:val="List Alpha"/>
    <w:basedOn w:val="List"/>
    <w:rsid w:val="003B12E4"/>
    <w:pPr>
      <w:numPr>
        <w:numId w:val="9"/>
      </w:numPr>
    </w:pPr>
  </w:style>
  <w:style w:type="paragraph" w:customStyle="1" w:styleId="ListAlpha2">
    <w:name w:val="List Alpha 2"/>
    <w:basedOn w:val="List2"/>
    <w:rsid w:val="003B12E4"/>
    <w:pPr>
      <w:numPr>
        <w:numId w:val="8"/>
      </w:numPr>
    </w:pPr>
  </w:style>
  <w:style w:type="paragraph" w:styleId="List2">
    <w:name w:val="List 2"/>
    <w:basedOn w:val="BodyText"/>
    <w:rsid w:val="003B12E4"/>
    <w:pPr>
      <w:tabs>
        <w:tab w:val="left" w:pos="680"/>
      </w:tabs>
      <w:spacing w:before="60" w:after="60"/>
      <w:ind w:left="680" w:hanging="340"/>
    </w:pPr>
  </w:style>
  <w:style w:type="paragraph" w:styleId="List3">
    <w:name w:val="List 3"/>
    <w:basedOn w:val="BodyText"/>
    <w:rsid w:val="003B12E4"/>
    <w:pPr>
      <w:tabs>
        <w:tab w:val="left" w:pos="1021"/>
      </w:tabs>
      <w:spacing w:before="60" w:after="60"/>
      <w:ind w:left="1020" w:hanging="340"/>
    </w:pPr>
  </w:style>
  <w:style w:type="paragraph" w:styleId="List4">
    <w:name w:val="List 4"/>
    <w:basedOn w:val="BodyText"/>
    <w:rsid w:val="003B12E4"/>
    <w:pPr>
      <w:tabs>
        <w:tab w:val="left" w:pos="1361"/>
      </w:tabs>
      <w:spacing w:before="60" w:after="60"/>
      <w:ind w:left="1361" w:hanging="340"/>
    </w:pPr>
  </w:style>
  <w:style w:type="paragraph" w:styleId="List5">
    <w:name w:val="List 5"/>
    <w:basedOn w:val="BodyText"/>
    <w:rsid w:val="003B12E4"/>
    <w:pPr>
      <w:tabs>
        <w:tab w:val="left" w:pos="1701"/>
      </w:tabs>
      <w:spacing w:before="60" w:after="60"/>
      <w:ind w:left="1701" w:hanging="340"/>
    </w:pPr>
  </w:style>
  <w:style w:type="paragraph" w:styleId="ListBullet4">
    <w:name w:val="List Bullet 4"/>
    <w:basedOn w:val="List4"/>
    <w:rsid w:val="003B12E4"/>
    <w:pPr>
      <w:numPr>
        <w:numId w:val="3"/>
      </w:numPr>
    </w:pPr>
  </w:style>
  <w:style w:type="paragraph" w:styleId="ListBullet5">
    <w:name w:val="List Bullet 5"/>
    <w:basedOn w:val="List5"/>
    <w:rsid w:val="003B12E4"/>
    <w:pPr>
      <w:numPr>
        <w:numId w:val="4"/>
      </w:numPr>
    </w:pPr>
  </w:style>
  <w:style w:type="paragraph" w:styleId="ListContinue2">
    <w:name w:val="List Continue 2"/>
    <w:basedOn w:val="List2"/>
    <w:rsid w:val="003B12E4"/>
    <w:pPr>
      <w:ind w:firstLine="0"/>
    </w:pPr>
  </w:style>
  <w:style w:type="paragraph" w:styleId="ListContinue3">
    <w:name w:val="List Continue 3"/>
    <w:basedOn w:val="List3"/>
    <w:rsid w:val="003B12E4"/>
    <w:pPr>
      <w:ind w:left="1021" w:firstLine="0"/>
    </w:pPr>
  </w:style>
  <w:style w:type="paragraph" w:styleId="ListContinue4">
    <w:name w:val="List Continue 4"/>
    <w:basedOn w:val="List4"/>
    <w:rsid w:val="003B12E4"/>
    <w:pPr>
      <w:ind w:firstLine="0"/>
    </w:pPr>
  </w:style>
  <w:style w:type="paragraph" w:styleId="ListContinue5">
    <w:name w:val="List Continue 5"/>
    <w:basedOn w:val="List5"/>
    <w:rsid w:val="003B12E4"/>
    <w:pPr>
      <w:ind w:firstLine="0"/>
    </w:pPr>
  </w:style>
  <w:style w:type="paragraph" w:styleId="ListNumber3">
    <w:name w:val="List Number 3"/>
    <w:basedOn w:val="List3"/>
    <w:rsid w:val="003B12E4"/>
    <w:pPr>
      <w:numPr>
        <w:numId w:val="5"/>
      </w:numPr>
    </w:pPr>
  </w:style>
  <w:style w:type="paragraph" w:styleId="ListNumber4">
    <w:name w:val="List Number 4"/>
    <w:basedOn w:val="List4"/>
    <w:rsid w:val="003B12E4"/>
    <w:pPr>
      <w:numPr>
        <w:numId w:val="6"/>
      </w:numPr>
    </w:pPr>
  </w:style>
  <w:style w:type="paragraph" w:styleId="ListNumber5">
    <w:name w:val="List Number 5"/>
    <w:basedOn w:val="List5"/>
    <w:rsid w:val="003B12E4"/>
    <w:pPr>
      <w:numPr>
        <w:numId w:val="7"/>
      </w:numPr>
    </w:pPr>
  </w:style>
  <w:style w:type="paragraph" w:styleId="BlockText">
    <w:name w:val="Block Text"/>
    <w:basedOn w:val="Normal"/>
    <w:rsid w:val="003B12E4"/>
    <w:pPr>
      <w:spacing w:after="120"/>
      <w:ind w:left="1440" w:right="1440"/>
    </w:pPr>
  </w:style>
  <w:style w:type="character" w:customStyle="1" w:styleId="Subscript">
    <w:name w:val="Subscript"/>
    <w:basedOn w:val="DefaultParagraphFont"/>
    <w:rsid w:val="003B12E4"/>
    <w:rPr>
      <w:sz w:val="16"/>
      <w:vertAlign w:val="subscript"/>
    </w:rPr>
  </w:style>
  <w:style w:type="character" w:customStyle="1" w:styleId="Superscript">
    <w:name w:val="Superscript"/>
    <w:basedOn w:val="DefaultParagraphFont"/>
    <w:rsid w:val="003B12E4"/>
    <w:rPr>
      <w:sz w:val="16"/>
      <w:vertAlign w:val="superscript"/>
    </w:rPr>
  </w:style>
  <w:style w:type="character" w:customStyle="1" w:styleId="Symbols">
    <w:name w:val="Symbols"/>
    <w:basedOn w:val="DefaultParagraphFont"/>
    <w:rsid w:val="003B12E4"/>
    <w:rPr>
      <w:rFonts w:ascii="Symbol" w:hAnsi="Symbol"/>
    </w:rPr>
  </w:style>
  <w:style w:type="character" w:customStyle="1" w:styleId="MenuOptions">
    <w:name w:val="Menu Options"/>
    <w:basedOn w:val="DefaultParagraphFont"/>
    <w:rsid w:val="003B12E4"/>
    <w:rPr>
      <w:rFonts w:ascii="Arial Narrow" w:hAnsi="Arial Narrow"/>
      <w:smallCaps/>
    </w:rPr>
  </w:style>
  <w:style w:type="character" w:customStyle="1" w:styleId="Buttons">
    <w:name w:val="Buttons"/>
    <w:basedOn w:val="DefaultParagraphFont"/>
    <w:rsid w:val="003B12E4"/>
    <w:rPr>
      <w:b/>
    </w:rPr>
  </w:style>
  <w:style w:type="character" w:customStyle="1" w:styleId="Underlined">
    <w:name w:val="Underlined"/>
    <w:basedOn w:val="DefaultParagraphFont"/>
    <w:rsid w:val="003B12E4"/>
    <w:rPr>
      <w:u w:val="single"/>
    </w:rPr>
  </w:style>
  <w:style w:type="paragraph" w:customStyle="1" w:styleId="TableBodyTextRight">
    <w:name w:val="Table Body Text Right"/>
    <w:basedOn w:val="TableBodyText"/>
    <w:rsid w:val="003B12E4"/>
    <w:pPr>
      <w:widowControl w:val="0"/>
      <w:autoSpaceDE w:val="0"/>
      <w:autoSpaceDN w:val="0"/>
      <w:adjustRightInd w:val="0"/>
      <w:jc w:val="right"/>
    </w:pPr>
    <w:rPr>
      <w:rFonts w:cs="Arial"/>
      <w:szCs w:val="18"/>
    </w:rPr>
  </w:style>
  <w:style w:type="paragraph" w:customStyle="1" w:styleId="CopyrightText">
    <w:name w:val="Copyright Text"/>
    <w:basedOn w:val="BodyText"/>
    <w:rsid w:val="003B12E4"/>
    <w:rPr>
      <w:sz w:val="18"/>
    </w:rPr>
  </w:style>
  <w:style w:type="paragraph" w:customStyle="1" w:styleId="BodySmallRight">
    <w:name w:val="Body Small Right"/>
    <w:basedOn w:val="BodyTextRight"/>
    <w:rsid w:val="003B12E4"/>
    <w:rPr>
      <w:sz w:val="18"/>
      <w:szCs w:val="18"/>
    </w:rPr>
  </w:style>
  <w:style w:type="paragraph" w:customStyle="1" w:styleId="MarginEdition">
    <w:name w:val="Margin Edition"/>
    <w:basedOn w:val="MarginNote"/>
    <w:rsid w:val="003B12E4"/>
    <w:pPr>
      <w:spacing w:before="0" w:after="0"/>
    </w:pPr>
    <w:rPr>
      <w:rFonts w:ascii="Times New Roman" w:hAnsi="Times New Roman"/>
      <w:color w:val="999999"/>
    </w:rPr>
  </w:style>
  <w:style w:type="paragraph" w:customStyle="1" w:styleId="Spacer">
    <w:name w:val="Spacer"/>
    <w:basedOn w:val="Normal"/>
    <w:rsid w:val="003B12E4"/>
    <w:rPr>
      <w:sz w:val="2"/>
      <w:szCs w:val="2"/>
    </w:rPr>
  </w:style>
  <w:style w:type="character" w:customStyle="1" w:styleId="Small">
    <w:name w:val="Small"/>
    <w:basedOn w:val="DefaultParagraphFont"/>
    <w:rsid w:val="003B12E4"/>
    <w:rPr>
      <w:sz w:val="16"/>
    </w:rPr>
  </w:style>
  <w:style w:type="paragraph" w:customStyle="1" w:styleId="WideTable">
    <w:name w:val="Wide Table"/>
    <w:basedOn w:val="Normal"/>
    <w:rsid w:val="003B12E4"/>
    <w:pPr>
      <w:ind w:left="-1418"/>
    </w:pPr>
    <w:rPr>
      <w:sz w:val="2"/>
      <w:szCs w:val="2"/>
    </w:rPr>
  </w:style>
  <w:style w:type="character" w:styleId="PageNumber">
    <w:name w:val="page number"/>
    <w:basedOn w:val="DefaultParagraphFont"/>
    <w:rsid w:val="003B12E4"/>
  </w:style>
  <w:style w:type="paragraph" w:styleId="Quote">
    <w:name w:val="Quote"/>
    <w:basedOn w:val="Heading1"/>
    <w:link w:val="QuoteChar"/>
    <w:qFormat/>
    <w:rsid w:val="003B12E4"/>
    <w:rPr>
      <w:b w:val="0"/>
      <w:sz w:val="72"/>
      <w:szCs w:val="72"/>
      <w:lang w:val="en-NZ"/>
    </w:rPr>
  </w:style>
  <w:style w:type="character" w:customStyle="1" w:styleId="QuoteChar">
    <w:name w:val="Quote Char"/>
    <w:basedOn w:val="DefaultParagraphFont"/>
    <w:link w:val="Quote"/>
    <w:rsid w:val="003B12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2E4"/>
    <w:pPr>
      <w:pageBreakBefore/>
    </w:pPr>
  </w:style>
  <w:style w:type="paragraph" w:customStyle="1" w:styleId="Border">
    <w:name w:val="Border"/>
    <w:basedOn w:val="Normal"/>
    <w:qFormat/>
    <w:rsid w:val="003B12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12E4"/>
    <w:rPr>
      <w:b/>
      <w:bCs/>
      <w:i/>
      <w:iCs/>
      <w:color w:val="auto"/>
    </w:rPr>
  </w:style>
  <w:style w:type="paragraph" w:styleId="IntenseQuote">
    <w:name w:val="Intense Quote"/>
    <w:basedOn w:val="Normal"/>
    <w:next w:val="Normal"/>
    <w:link w:val="IntenseQuoteChar"/>
    <w:uiPriority w:val="30"/>
    <w:qFormat/>
    <w:rsid w:val="003B12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12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12E4"/>
    <w:rPr>
      <w:smallCaps/>
      <w:color w:val="auto"/>
      <w:u w:val="single"/>
    </w:rPr>
  </w:style>
  <w:style w:type="character" w:styleId="IntenseReference">
    <w:name w:val="Intense Reference"/>
    <w:basedOn w:val="DefaultParagraphFont"/>
    <w:uiPriority w:val="32"/>
    <w:qFormat/>
    <w:rsid w:val="003B12E4"/>
    <w:rPr>
      <w:b/>
      <w:bCs/>
      <w:smallCaps/>
      <w:color w:val="auto"/>
      <w:spacing w:val="5"/>
      <w:u w:val="single"/>
    </w:rPr>
  </w:style>
  <w:style w:type="paragraph" w:customStyle="1" w:styleId="2ColumnHeading">
    <w:name w:val="2Column Heading"/>
    <w:basedOn w:val="BodyText"/>
    <w:qFormat/>
    <w:rsid w:val="003B12E4"/>
    <w:pPr>
      <w:spacing w:after="60"/>
      <w:ind w:left="-2268"/>
    </w:pPr>
    <w:rPr>
      <w:b/>
    </w:rPr>
  </w:style>
  <w:style w:type="paragraph" w:customStyle="1" w:styleId="Heading1TOC">
    <w:name w:val="Heading1 TOC"/>
    <w:basedOn w:val="Normal"/>
    <w:qFormat/>
    <w:rsid w:val="003B12E4"/>
    <w:pPr>
      <w:spacing w:before="240" w:after="120"/>
    </w:pPr>
    <w:rPr>
      <w:rFonts w:ascii="Times New Roman" w:hAnsi="Times New Roman"/>
      <w:b/>
      <w:sz w:val="32"/>
    </w:rPr>
  </w:style>
  <w:style w:type="paragraph" w:customStyle="1" w:styleId="Heading2TOC">
    <w:name w:val="Heading2 TOC"/>
    <w:basedOn w:val="Normal"/>
    <w:qFormat/>
    <w:rsid w:val="003B12E4"/>
    <w:pPr>
      <w:spacing w:before="240" w:after="60"/>
    </w:pPr>
    <w:rPr>
      <w:rFonts w:ascii="Times New Roman" w:hAnsi="Times New Roman"/>
      <w:b/>
      <w:sz w:val="28"/>
    </w:rPr>
  </w:style>
  <w:style w:type="character" w:customStyle="1" w:styleId="Underline">
    <w:name w:val="Underline"/>
    <w:basedOn w:val="DefaultParagraphFont"/>
    <w:qFormat/>
    <w:rsid w:val="003B12E4"/>
    <w:rPr>
      <w:u w:val="single"/>
    </w:rPr>
  </w:style>
  <w:style w:type="paragraph" w:styleId="BalloonText">
    <w:name w:val="Balloon Text"/>
    <w:basedOn w:val="Normal"/>
    <w:link w:val="BalloonTextChar"/>
    <w:rsid w:val="003B12E4"/>
    <w:rPr>
      <w:rFonts w:ascii="Tahoma" w:hAnsi="Tahoma" w:cs="Tahoma"/>
      <w:sz w:val="16"/>
      <w:szCs w:val="16"/>
    </w:rPr>
  </w:style>
  <w:style w:type="character" w:customStyle="1" w:styleId="BalloonTextChar">
    <w:name w:val="Balloon Text Char"/>
    <w:basedOn w:val="DefaultParagraphFont"/>
    <w:link w:val="BalloonText"/>
    <w:rsid w:val="003B12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12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12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12E4"/>
    <w:rPr>
      <w:b/>
      <w:color w:val="660033"/>
      <w:spacing w:val="0"/>
    </w:rPr>
  </w:style>
  <w:style w:type="paragraph" w:customStyle="1" w:styleId="Nameditemlist">
    <w:name w:val="Named item list"/>
    <w:basedOn w:val="BodyText"/>
    <w:qFormat/>
    <w:rsid w:val="003B12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1359</Words>
  <Characters>9028</Characters>
  <Application>Microsoft Office Word</Application>
  <DocSecurity>0</DocSecurity>
  <Lines>301</Lines>
  <Paragraphs>184</Paragraphs>
  <ScaleCrop>false</ScaleCrop>
  <Company>Author-it Software Corporation Ltd.</Company>
  <LinksUpToDate>false</LinksUpToDate>
  <CharactersWithSpaces>10319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PSPSCI601A Manage the provision of high-level scientific technical support</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2012-11-01T18:27:00Z</dcterms:created>
  <dcterms:modified xsi:type="dcterms:W3CDTF">2012-11-01T18:27:00Z</dcterms:modified>
</cp:coreProperties>
</file>