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3583" w:rsidP="00643583">
      <w:pPr>
        <w:pStyle w:val="Title"/>
      </w:pPr>
      <w:bookmarkStart w:id="0" w:name="_GoBack"/>
      <w:bookmarkEnd w:id="0"/>
      <w:r>
        <w:fldChar w:fldCharType="begin"/>
      </w:r>
      <w:r>
        <w:instrText xml:space="preserve"> TITLE   \* MERGEFORMAT </w:instrText>
      </w:r>
      <w:r>
        <w:fldChar w:fldCharType="separate"/>
      </w:r>
      <w:r>
        <w:t>PSPSCI402A Promote innovation and change through extension</w:t>
      </w:r>
      <w:r>
        <w:fldChar w:fldCharType="end"/>
      </w:r>
    </w:p>
    <w:p w:rsidR="00643583" w:rsidP="00643583">
      <w:pPr>
        <w:pStyle w:val="Version"/>
        <w:sectPr w:rsidSect="00D322B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3</w:t>
      </w:r>
      <w:r>
        <w:fldChar w:fldCharType="end"/>
      </w:r>
    </w:p>
    <w:p w:rsidR="00000000" w:rsidRPr="00D322B7" w:rsidP="00D322B7">
      <w:pPr>
        <w:pStyle w:val="SuperHeading"/>
      </w:pPr>
      <w:r w:rsidRPr="00D322B7">
        <w:t>PSPSCI402A Promote innovation and change through extension</w:t>
      </w:r>
    </w:p>
    <w:p w:rsidR="00000000" w:rsidRPr="00D322B7" w:rsidP="00D322B7">
      <w:pPr>
        <w:pStyle w:val="SuperHeading"/>
      </w:pPr>
    </w:p>
    <w:p w:rsidR="00000000" w:rsidRPr="00D322B7" w:rsidP="00D322B7">
      <w:pPr>
        <w:pStyle w:val="Heading1"/>
      </w:pPr>
      <w:bookmarkStart w:id="1" w:name="O_499443"/>
      <w:bookmarkEnd w:id="1"/>
      <w:r w:rsidRPr="00D322B7">
        <w:t>Modification History</w:t>
      </w:r>
    </w:p>
    <w:tbl>
      <w:tblPr>
        <w:tblW w:w="0" w:type="auto"/>
        <w:tblLayout w:type="fixed"/>
        <w:tblCellMar>
          <w:left w:w="62" w:type="dxa"/>
          <w:right w:w="62" w:type="dxa"/>
        </w:tblCellMar>
        <w:tblLook w:val="0000"/>
      </w:tblPr>
      <w:tblGrid>
        <w:gridCol w:w="3052"/>
        <w:gridCol w:w="3052"/>
        <w:gridCol w:w="3052"/>
      </w:tblGrid>
      <w:tr w:rsidTr="006435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2B7" w:rsidP="00D322B7">
            <w:pPr>
              <w:pStyle w:val="BodyText"/>
            </w:pPr>
            <w:r w:rsidRPr="00D322B7">
              <w:rPr>
                <w:rStyle w:val="SpecialBold"/>
              </w:rPr>
              <w:t>Release</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2B7" w:rsidP="00D322B7">
            <w:pPr>
              <w:pStyle w:val="BodyText"/>
            </w:pPr>
            <w:r w:rsidRPr="00D322B7">
              <w:rPr>
                <w:rStyle w:val="SpecialBold"/>
              </w:rPr>
              <w:t>TP Version</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2B7">
            <w:pPr>
              <w:pStyle w:val="BodyText"/>
              <w:rPr>
                <w:lang w:val="en-NZ"/>
              </w:rPr>
            </w:pPr>
            <w:r w:rsidRPr="00D322B7">
              <w:rPr>
                <w:rStyle w:val="SpecialBold"/>
              </w:rPr>
              <w:t>Comments</w:t>
            </w:r>
          </w:p>
        </w:tc>
      </w:tr>
      <w:tr w:rsidTr="006435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2B7">
            <w:pPr>
              <w:pStyle w:val="BodyText"/>
              <w:rPr>
                <w:lang w:val="en-NZ"/>
              </w:rPr>
            </w:pPr>
            <w:r w:rsidRPr="00D322B7">
              <w:t>3</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2B7">
            <w:pPr>
              <w:pStyle w:val="BodyText"/>
              <w:rPr>
                <w:lang w:val="en-NZ"/>
              </w:rPr>
            </w:pPr>
            <w:r w:rsidRPr="00D322B7">
              <w:t>PSP12V1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2B7">
            <w:pPr>
              <w:pStyle w:val="BodyText"/>
              <w:rPr>
                <w:lang w:val="en-NZ"/>
              </w:rPr>
            </w:pPr>
            <w:r w:rsidRPr="00D322B7">
              <w:t xml:space="preserve">Unit descriptor edited. </w:t>
            </w:r>
          </w:p>
        </w:tc>
      </w:tr>
      <w:tr w:rsidTr="006435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2B7">
            <w:pPr>
              <w:pStyle w:val="BodyText"/>
              <w:rPr>
                <w:lang w:val="en-NZ"/>
              </w:rPr>
            </w:pPr>
            <w:r w:rsidRPr="00D322B7">
              <w:t>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2B7">
            <w:pPr>
              <w:pStyle w:val="BodyText"/>
              <w:rPr>
                <w:lang w:val="en-NZ"/>
              </w:rPr>
            </w:pPr>
            <w:r w:rsidRPr="00D322B7">
              <w:t>PSP04V4.2.</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2B7">
            <w:pPr>
              <w:pStyle w:val="BodyText"/>
              <w:rPr>
                <w:lang w:val="en-NZ"/>
              </w:rPr>
            </w:pPr>
            <w:r w:rsidRPr="00D322B7">
              <w:t>Layout adjusted. No changes to content.</w:t>
            </w:r>
          </w:p>
        </w:tc>
      </w:tr>
      <w:tr w:rsidTr="00643583">
        <w:tblPrEx>
          <w:tblW w:w="0" w:type="auto"/>
          <w:tblLayout w:type="fixed"/>
          <w:tblCellMar>
            <w:left w:w="62" w:type="dxa"/>
            <w:right w:w="62" w:type="dxa"/>
          </w:tblCellMar>
          <w:tblLook w:val="0000"/>
        </w:tblPrEx>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2B7">
            <w:pPr>
              <w:pStyle w:val="BodyText"/>
              <w:rPr>
                <w:lang w:val="en-NZ"/>
              </w:rPr>
            </w:pPr>
            <w:r w:rsidRPr="00D322B7">
              <w:t>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22B7">
            <w:pPr>
              <w:pStyle w:val="BodyText"/>
              <w:rPr>
                <w:lang w:val="en-NZ"/>
              </w:rPr>
            </w:pPr>
            <w:r w:rsidRPr="00D322B7">
              <w:t>PSP04V4.1</w:t>
            </w:r>
          </w:p>
        </w:tc>
        <w:tc>
          <w:tcPr>
            <w:tcW w:w="30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22B7" w:rsidP="00D322B7">
            <w:pPr>
              <w:pStyle w:val="BodyText"/>
            </w:pPr>
            <w:r w:rsidRPr="00D322B7">
              <w:t>Primary release.</w:t>
            </w:r>
          </w:p>
        </w:tc>
      </w:tr>
    </w:tbl>
    <w:p w:rsidR="00643583" w:rsidP="00D322B7">
      <w:pPr>
        <w:pStyle w:val="BodyText"/>
      </w:pPr>
    </w:p>
    <w:p w:rsidR="00643583" w:rsidP="00D322B7">
      <w:pPr>
        <w:pStyle w:val="BodyText"/>
      </w:pPr>
    </w:p>
    <w:p w:rsidR="00000000" w:rsidRPr="00D322B7" w:rsidP="00D322B7">
      <w:pPr>
        <w:pStyle w:val="Heading1"/>
      </w:pPr>
      <w:bookmarkStart w:id="2" w:name="O_499437"/>
      <w:bookmarkEnd w:id="2"/>
      <w:r w:rsidRPr="00D322B7">
        <w:t>Unit Descriptor</w:t>
      </w:r>
    </w:p>
    <w:p w:rsidR="00000000" w:rsidRPr="00D322B7" w:rsidP="00D322B7">
      <w:pPr>
        <w:pStyle w:val="BodyText"/>
      </w:pPr>
      <w:r w:rsidRPr="00D322B7">
        <w:t>This unit covers extension activities at an experie</w:t>
      </w:r>
      <w:r w:rsidRPr="00D322B7">
        <w:t>nced level where independent judgment is used to determine the means of achieving specified objectives within generally directed programs. It includes identifying extension objectives and methodologies, preparing for extension work, promoting change throug</w:t>
      </w:r>
      <w:r w:rsidRPr="00D322B7">
        <w:t>h information and advice, and monitoring and evaluating the adoption of change.</w:t>
      </w:r>
    </w:p>
    <w:p w:rsidR="00000000" w:rsidRPr="00D322B7" w:rsidP="00D322B7">
      <w:pPr>
        <w:pStyle w:val="BodyText"/>
      </w:pPr>
      <w:r w:rsidRPr="00D322B7">
        <w:t>In practice, the promotion of innovation and change through extension overlaps with other generalist or specialist work activities such as applying government processes, acting</w:t>
      </w:r>
      <w:r w:rsidRPr="00D322B7">
        <w:t xml:space="preserve"> ethically, using resources, gathering and analysing information, working safely.</w:t>
      </w:r>
    </w:p>
    <w:p w:rsidR="00000000" w:rsidRPr="00D322B7" w:rsidP="00D322B7">
      <w:pPr>
        <w:pStyle w:val="BodyText"/>
      </w:pPr>
      <w:r w:rsidRPr="00D322B7">
        <w:t>No licensing, legislative, regulatory or certification requirements apply to this unit at the time of endorsement.</w:t>
      </w:r>
    </w:p>
    <w:p w:rsidR="00000000" w:rsidRPr="00D322B7" w:rsidP="00D322B7">
      <w:pPr>
        <w:pStyle w:val="AllowPageBreak"/>
      </w:pPr>
    </w:p>
    <w:p w:rsidR="00000000" w:rsidRPr="00D322B7" w:rsidP="00D322B7">
      <w:pPr>
        <w:pStyle w:val="Heading1"/>
      </w:pPr>
      <w:bookmarkStart w:id="3" w:name="O_499449"/>
      <w:bookmarkEnd w:id="3"/>
      <w:r w:rsidRPr="00D322B7">
        <w:t>Application of the Unit</w:t>
      </w:r>
    </w:p>
    <w:p w:rsidR="00000000" w:rsidRPr="00D322B7" w:rsidP="00D322B7">
      <w:pPr>
        <w:pStyle w:val="BodyText"/>
      </w:pPr>
      <w:r w:rsidRPr="00D322B7">
        <w:t>Not applicable.</w:t>
      </w:r>
    </w:p>
    <w:p w:rsidR="00000000" w:rsidRPr="00D322B7" w:rsidP="00D322B7">
      <w:pPr>
        <w:pStyle w:val="AllowPageBreak"/>
      </w:pPr>
    </w:p>
    <w:p w:rsidR="00000000" w:rsidRPr="00D322B7" w:rsidP="00D322B7">
      <w:pPr>
        <w:pStyle w:val="Heading1"/>
      </w:pPr>
      <w:bookmarkStart w:id="4" w:name="O_499436"/>
      <w:bookmarkEnd w:id="4"/>
      <w:r w:rsidRPr="00D322B7">
        <w:t>Licensing/Regulatory Information</w:t>
      </w:r>
    </w:p>
    <w:p w:rsidR="00000000" w:rsidRPr="00D322B7" w:rsidP="00D322B7">
      <w:pPr>
        <w:pStyle w:val="BodyText"/>
      </w:pPr>
      <w:r w:rsidRPr="00D322B7">
        <w:t>Not applicable.</w:t>
      </w:r>
    </w:p>
    <w:p w:rsidR="00000000" w:rsidRPr="00D322B7" w:rsidP="00D322B7">
      <w:pPr>
        <w:pStyle w:val="AllowPageBreak"/>
      </w:pPr>
    </w:p>
    <w:p w:rsidR="00000000" w:rsidRPr="00D322B7" w:rsidP="00D322B7">
      <w:pPr>
        <w:pStyle w:val="Heading1"/>
      </w:pPr>
      <w:bookmarkStart w:id="5" w:name="O_499442"/>
      <w:bookmarkEnd w:id="5"/>
      <w:r w:rsidRPr="00D322B7">
        <w:t>Pre-Requisites</w:t>
      </w:r>
    </w:p>
    <w:p w:rsidR="00000000" w:rsidRPr="00D322B7" w:rsidP="00D322B7">
      <w:pPr>
        <w:pStyle w:val="BodyText"/>
      </w:pPr>
      <w:r w:rsidRPr="00D322B7">
        <w:t>Not applicable.</w:t>
      </w:r>
    </w:p>
    <w:p w:rsidR="00000000" w:rsidRPr="00D322B7" w:rsidP="00D322B7">
      <w:pPr>
        <w:pStyle w:val="AllowPageBreak"/>
      </w:pPr>
    </w:p>
    <w:p w:rsidR="00000000" w:rsidRPr="00D322B7" w:rsidP="00D322B7">
      <w:pPr>
        <w:pStyle w:val="Heading1"/>
      </w:pPr>
      <w:bookmarkStart w:id="6" w:name="O_499445"/>
      <w:bookmarkEnd w:id="6"/>
      <w:r w:rsidRPr="00D322B7">
        <w:t>Employability Skills Information</w:t>
      </w:r>
    </w:p>
    <w:p w:rsidR="00000000" w:rsidRPr="00D322B7" w:rsidP="00D322B7">
      <w:pPr>
        <w:pStyle w:val="BodyText"/>
      </w:pPr>
      <w:r w:rsidRPr="00D322B7">
        <w:t>This unit contains employability skills.</w:t>
      </w:r>
    </w:p>
    <w:p w:rsidR="00000000" w:rsidRPr="00D322B7" w:rsidP="00D322B7">
      <w:pPr>
        <w:pStyle w:val="AllowPageBreak"/>
      </w:pPr>
    </w:p>
    <w:p w:rsidR="00000000" w:rsidRPr="00D322B7" w:rsidP="00D322B7">
      <w:pPr>
        <w:pStyle w:val="Heading1"/>
      </w:pPr>
      <w:bookmarkStart w:id="7" w:name="O_499446"/>
      <w:bookmarkEnd w:id="7"/>
      <w:r w:rsidRPr="00D322B7">
        <w:t>Elements and Performance Criteria Pr</w:t>
      </w:r>
      <w:r w:rsidRPr="00D322B7">
        <w:t>e-Content</w:t>
      </w:r>
    </w:p>
    <w:tbl>
      <w:tblPr>
        <w:tblW w:w="9322" w:type="dxa"/>
        <w:tblLayout w:type="fixed"/>
        <w:tblCellMar>
          <w:left w:w="62" w:type="dxa"/>
          <w:right w:w="62" w:type="dxa"/>
        </w:tblCellMar>
        <w:tblLook w:val="0000"/>
      </w:tblPr>
      <w:tblGrid>
        <w:gridCol w:w="2660"/>
        <w:gridCol w:w="6662"/>
      </w:tblGrid>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t>Elements are the essential outcomes of the unit of competency.</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BodyText"/>
            </w:pPr>
            <w:r w:rsidRPr="00D322B7">
              <w:t xml:space="preserve">Together, performance criteria specify the requirements for competent performance. Text in </w:t>
            </w:r>
            <w:r w:rsidRPr="00D322B7">
              <w:rPr>
                <w:rStyle w:val="BoldandItalics"/>
              </w:rPr>
              <w:t xml:space="preserve">bold italics </w:t>
            </w:r>
            <w:r w:rsidRPr="00D322B7">
              <w:t xml:space="preserve"> is explained in the Range Statement following.</w:t>
            </w:r>
          </w:p>
        </w:tc>
      </w:tr>
    </w:tbl>
    <w:p w:rsidR="00000000" w:rsidRPr="00D322B7" w:rsidP="00D322B7">
      <w:pPr>
        <w:pStyle w:val="BodyText"/>
      </w:pPr>
    </w:p>
    <w:p w:rsidR="00000000" w:rsidRPr="00D322B7" w:rsidP="00D322B7">
      <w:pPr>
        <w:pStyle w:val="AllowPageBreak"/>
      </w:pPr>
    </w:p>
    <w:p w:rsidR="00000000" w:rsidRPr="00D322B7" w:rsidP="00D322B7">
      <w:pPr>
        <w:pStyle w:val="Heading1"/>
      </w:pPr>
      <w:bookmarkStart w:id="8" w:name="O_499447"/>
      <w:bookmarkEnd w:id="8"/>
      <w:r w:rsidRPr="00D322B7">
        <w:t>Elements and Performance Criteria</w:t>
      </w:r>
    </w:p>
    <w:tbl>
      <w:tblPr>
        <w:tblW w:w="9322" w:type="dxa"/>
        <w:tblLayout w:type="fixed"/>
        <w:tblCellMar>
          <w:left w:w="62" w:type="dxa"/>
          <w:right w:w="62" w:type="dxa"/>
        </w:tblCellMar>
        <w:tblLook w:val="0000"/>
      </w:tblPr>
      <w:tblGrid>
        <w:gridCol w:w="2660"/>
        <w:gridCol w:w="6662"/>
      </w:tblGrid>
      <w:tr w:rsidTr="00643583">
        <w:tblPrEx>
          <w:tblW w:w="9322" w:type="dxa"/>
          <w:tblLayout w:type="fixed"/>
          <w:tblCellMar>
            <w:left w:w="62" w:type="dxa"/>
            <w:right w:w="62" w:type="dxa"/>
          </w:tblCellMar>
          <w:tblLook w:val="0000"/>
        </w:tblPrEx>
        <w:trPr>
          <w:tblHeader/>
        </w:trPr>
        <w:tc>
          <w:tcPr>
            <w:tcW w:w="2660" w:type="dxa"/>
            <w:tcBorders>
              <w:top w:val="nil"/>
              <w:left w:val="nil"/>
              <w:bottom w:val="nil"/>
              <w:right w:val="nil"/>
            </w:tcBorders>
            <w:tcMar>
              <w:top w:w="0" w:type="dxa"/>
              <w:left w:w="62" w:type="dxa"/>
              <w:bottom w:w="0" w:type="dxa"/>
              <w:right w:w="62" w:type="dxa"/>
            </w:tcMar>
          </w:tcPr>
          <w:p w:rsidR="00000000" w:rsidRPr="00D322B7" w:rsidP="00D322B7">
            <w:pPr>
              <w:pStyle w:val="BodyText"/>
            </w:pPr>
            <w:r w:rsidRPr="00D322B7">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SpecialBold"/>
              </w:rPr>
              <w:t>PERFORMANCE CRITERIA</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List"/>
              <w:rPr>
                <w:lang w:val="en-NZ"/>
              </w:rPr>
            </w:pPr>
            <w:r w:rsidRPr="00D322B7">
              <w:rPr>
                <w:rStyle w:val="SpecialBold"/>
              </w:rPr>
              <w:t>1</w:t>
            </w:r>
            <w:r w:rsidRPr="00D322B7">
              <w:t>.</w:t>
            </w:r>
            <w:r w:rsidRPr="00D322B7">
              <w:tab/>
            </w:r>
            <w:r w:rsidRPr="00D322B7">
              <w:rPr>
                <w:rStyle w:val="SpecialBold"/>
              </w:rPr>
              <w:t>Identify extension objectives and methodologies</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
            </w:pPr>
            <w:r w:rsidRPr="00D322B7">
              <w:t>1.1</w:t>
            </w:r>
            <w:r w:rsidRPr="00D322B7">
              <w:tab/>
              <w:t>Required extension outcomes are identified in accordance with organisational requirements.</w:t>
            </w:r>
          </w:p>
          <w:p w:rsidR="00000000" w:rsidRPr="00D322B7" w:rsidP="00D322B7">
            <w:pPr>
              <w:pStyle w:val="List"/>
            </w:pPr>
            <w:r w:rsidRPr="00D322B7">
              <w:t>1.2</w:t>
            </w:r>
            <w:r w:rsidRPr="00D322B7">
              <w:tab/>
              <w:t xml:space="preserve">Extension </w:t>
            </w:r>
            <w:r w:rsidRPr="00D322B7">
              <w:rPr>
                <w:rStyle w:val="BoldandItalics"/>
              </w:rPr>
              <w:t xml:space="preserve">objectives </w:t>
            </w:r>
            <w:r w:rsidRPr="00D322B7">
              <w:t>are identified to mee</w:t>
            </w:r>
            <w:r w:rsidRPr="00D322B7">
              <w:t>t organisational outcomes and client needs.</w:t>
            </w:r>
          </w:p>
          <w:p w:rsidR="00000000" w:rsidRPr="00D322B7" w:rsidP="00D322B7">
            <w:pPr>
              <w:pStyle w:val="List"/>
            </w:pPr>
            <w:r w:rsidRPr="00D322B7">
              <w:t>1.3</w:t>
            </w:r>
            <w:r w:rsidRPr="00D322B7">
              <w:rPr>
                <w:rStyle w:val="BoldandItalics"/>
              </w:rPr>
              <w:tab/>
              <w:t>Client target groups</w:t>
            </w:r>
            <w:r w:rsidRPr="00D322B7">
              <w:t xml:space="preserve"> are identified and research information is analysed to determine how it may best be used to facilitate change in the target groups.</w:t>
            </w:r>
          </w:p>
          <w:p w:rsidR="00000000" w:rsidRPr="00D322B7" w:rsidP="00D322B7">
            <w:pPr>
              <w:pStyle w:val="List"/>
            </w:pPr>
            <w:r w:rsidRPr="00D322B7">
              <w:t>1.4</w:t>
            </w:r>
            <w:r w:rsidRPr="00D322B7">
              <w:tab/>
            </w:r>
            <w:r w:rsidRPr="00D322B7">
              <w:rPr>
                <w:rStyle w:val="BoldandItalics"/>
              </w:rPr>
              <w:t xml:space="preserve">Dissemination </w:t>
            </w:r>
            <w:r w:rsidRPr="00D322B7">
              <w:t>methodology, techniques and strategie</w:t>
            </w:r>
            <w:r w:rsidRPr="00D322B7">
              <w:t>s are determined in accordance with type of research information and client needs/preferences.</w:t>
            </w:r>
          </w:p>
          <w:p w:rsidR="00000000" w:rsidP="00D322B7">
            <w:pPr>
              <w:pStyle w:val="List"/>
              <w:rPr>
                <w:lang w:val="en-NZ"/>
              </w:rPr>
            </w:pPr>
            <w:r w:rsidRPr="00D322B7">
              <w:t>1.5</w:t>
            </w:r>
            <w:r w:rsidRPr="00D322B7">
              <w:tab/>
              <w:t>Issues relating to intellectual property are identified and handled in accordance with organisational requirements.</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List"/>
              <w:rPr>
                <w:lang w:val="en-NZ"/>
              </w:rPr>
            </w:pPr>
            <w:r w:rsidRPr="00D322B7">
              <w:rPr>
                <w:rStyle w:val="SpecialBold"/>
              </w:rPr>
              <w:t>2</w:t>
            </w:r>
            <w:r w:rsidRPr="00D322B7">
              <w:t>.</w:t>
            </w:r>
            <w:r w:rsidRPr="00D322B7">
              <w:tab/>
            </w:r>
            <w:r w:rsidRPr="00D322B7">
              <w:rPr>
                <w:rStyle w:val="SpecialBold"/>
              </w:rPr>
              <w:t>Prepare for extension work</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
            </w:pPr>
            <w:r w:rsidRPr="00D322B7">
              <w:t>2.1</w:t>
            </w:r>
            <w:r w:rsidRPr="00D322B7">
              <w:tab/>
            </w:r>
            <w:r w:rsidRPr="00D322B7">
              <w:t>Industry knowledge is developed to facilitate client decision making and the implementation of improved practices.</w:t>
            </w:r>
          </w:p>
          <w:p w:rsidR="00000000" w:rsidRPr="00D322B7" w:rsidP="00D322B7">
            <w:pPr>
              <w:pStyle w:val="List"/>
            </w:pPr>
            <w:r w:rsidRPr="00D322B7">
              <w:t>2.2</w:t>
            </w:r>
            <w:r w:rsidRPr="00D322B7">
              <w:tab/>
            </w:r>
            <w:r w:rsidRPr="00D322B7">
              <w:rPr>
                <w:rStyle w:val="BoldandItalics"/>
              </w:rPr>
              <w:t xml:space="preserve">Risks </w:t>
            </w:r>
            <w:r w:rsidRPr="00D322B7">
              <w:t>are determined and risk management strategies are identified and applied in accordance with organisational policy and procedures.</w:t>
            </w:r>
          </w:p>
          <w:p w:rsidR="00000000" w:rsidP="00D322B7">
            <w:pPr>
              <w:pStyle w:val="List"/>
              <w:rPr>
                <w:lang w:val="en-NZ"/>
              </w:rPr>
            </w:pPr>
            <w:r w:rsidRPr="00D322B7">
              <w:t>2</w:t>
            </w:r>
            <w:r w:rsidRPr="00D322B7">
              <w:t>.3</w:t>
            </w:r>
            <w:r w:rsidRPr="00D322B7">
              <w:tab/>
              <w:t xml:space="preserve">Resources are </w:t>
            </w:r>
            <w:r w:rsidRPr="00D322B7">
              <w:rPr>
                <w:rStyle w:val="BoldandItalics"/>
              </w:rPr>
              <w:t xml:space="preserve">obtained </w:t>
            </w:r>
            <w:r w:rsidRPr="00D322B7">
              <w:t xml:space="preserve">and managed, and extension materials and activities are developed in accordance with program </w:t>
            </w:r>
            <w:r w:rsidRPr="00D322B7">
              <w:rPr>
                <w:rStyle w:val="Emphasis"/>
              </w:rPr>
              <w:t>responsibilities</w:t>
            </w:r>
            <w:r w:rsidRPr="00D322B7">
              <w:t xml:space="preserve"> and organisational requirements.</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List"/>
              <w:rPr>
                <w:lang w:val="en-NZ"/>
              </w:rPr>
            </w:pPr>
            <w:r w:rsidRPr="00D322B7">
              <w:rPr>
                <w:rStyle w:val="SpecialBold"/>
              </w:rPr>
              <w:t>3</w:t>
            </w:r>
            <w:r w:rsidRPr="00D322B7">
              <w:t>.</w:t>
            </w:r>
            <w:r w:rsidRPr="00D322B7">
              <w:tab/>
            </w:r>
            <w:r w:rsidRPr="00D322B7">
              <w:rPr>
                <w:rStyle w:val="SpecialBold"/>
              </w:rPr>
              <w:t>Promote change through information and advice</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
            </w:pPr>
            <w:r w:rsidRPr="00D322B7">
              <w:t>3.1</w:t>
            </w:r>
            <w:r w:rsidRPr="00D322B7">
              <w:tab/>
              <w:t xml:space="preserve">Information and </w:t>
            </w:r>
            <w:r w:rsidRPr="00D322B7">
              <w:rPr>
                <w:rStyle w:val="BoldandItalics"/>
              </w:rPr>
              <w:t xml:space="preserve">advice </w:t>
            </w:r>
            <w:r w:rsidRPr="00D322B7">
              <w:t>are provid</w:t>
            </w:r>
            <w:r w:rsidRPr="00D322B7">
              <w:t xml:space="preserve">ed in accordance with organisational requirements, in a form and </w:t>
            </w:r>
            <w:r w:rsidRPr="00D322B7">
              <w:rPr>
                <w:rStyle w:val="BoldandItalics"/>
              </w:rPr>
              <w:t xml:space="preserve">medium </w:t>
            </w:r>
            <w:r w:rsidRPr="00D322B7">
              <w:t>that clients can apply.</w:t>
            </w:r>
          </w:p>
          <w:p w:rsidR="00000000" w:rsidRPr="00D322B7" w:rsidP="00D322B7">
            <w:pPr>
              <w:pStyle w:val="List"/>
            </w:pPr>
            <w:r w:rsidRPr="00D322B7">
              <w:t>3.2</w:t>
            </w:r>
            <w:r w:rsidRPr="00D322B7">
              <w:tab/>
            </w:r>
            <w:r w:rsidRPr="00D322B7">
              <w:rPr>
                <w:rStyle w:val="BoldandItalics"/>
              </w:rPr>
              <w:t>Presentation standards</w:t>
            </w:r>
            <w:r w:rsidRPr="00D322B7">
              <w:t xml:space="preserve"> are maintained in accordance with organisational guidelines and information and advice are provided that are relevant, accurate and t</w:t>
            </w:r>
            <w:r w:rsidRPr="00D322B7">
              <w:t>ailored to client needs in terms of concepts, language and format.</w:t>
            </w:r>
          </w:p>
          <w:p w:rsidR="00000000" w:rsidRPr="00D322B7" w:rsidP="00D322B7">
            <w:pPr>
              <w:pStyle w:val="List"/>
            </w:pPr>
            <w:r w:rsidRPr="00D322B7">
              <w:t>3.3</w:t>
            </w:r>
            <w:r w:rsidRPr="00D322B7">
              <w:tab/>
              <w:t xml:space="preserve">Clients are assisted to implement change and </w:t>
            </w:r>
            <w:r w:rsidRPr="00D322B7">
              <w:rPr>
                <w:rStyle w:val="BoldandItalics"/>
              </w:rPr>
              <w:t>resistance to change</w:t>
            </w:r>
            <w:r w:rsidRPr="00D322B7">
              <w:t xml:space="preserve"> is handled in accordance with organisational policy and procedures.</w:t>
            </w:r>
          </w:p>
          <w:p w:rsidR="00000000" w:rsidP="00D322B7">
            <w:pPr>
              <w:pStyle w:val="List"/>
              <w:rPr>
                <w:lang w:val="en-NZ"/>
              </w:rPr>
            </w:pPr>
            <w:r w:rsidRPr="00D322B7">
              <w:t>3.4</w:t>
            </w:r>
            <w:r w:rsidRPr="00D322B7">
              <w:tab/>
              <w:t>Feedback from clients is used to identify probl</w:t>
            </w:r>
            <w:r w:rsidRPr="00D322B7">
              <w:t>ems and new issues and further information/advice is provided in response to client needs.</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List"/>
              <w:rPr>
                <w:lang w:val="en-NZ"/>
              </w:rPr>
            </w:pPr>
            <w:r w:rsidRPr="00D322B7">
              <w:rPr>
                <w:rStyle w:val="SpecialBold"/>
              </w:rPr>
              <w:t>4</w:t>
            </w:r>
            <w:r w:rsidRPr="00D322B7">
              <w:t>.</w:t>
            </w:r>
            <w:r w:rsidRPr="00D322B7">
              <w:tab/>
            </w:r>
            <w:r w:rsidRPr="00D322B7">
              <w:rPr>
                <w:rStyle w:val="SpecialBold"/>
              </w:rPr>
              <w:t>Monitor and evaluate adoption of change</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
            </w:pPr>
            <w:r w:rsidRPr="00D322B7">
              <w:t>4.1</w:t>
            </w:r>
            <w:r w:rsidRPr="00D322B7">
              <w:tab/>
              <w:t>Implementation of change is monitored and contingencies are managed in accordance with organisational policy and proc</w:t>
            </w:r>
            <w:r w:rsidRPr="00D322B7">
              <w:t>edures.</w:t>
            </w:r>
          </w:p>
          <w:p w:rsidR="00000000" w:rsidRPr="00D322B7" w:rsidP="00D322B7">
            <w:pPr>
              <w:pStyle w:val="List"/>
            </w:pPr>
            <w:r w:rsidRPr="00D322B7">
              <w:t>4.2</w:t>
            </w:r>
            <w:r w:rsidRPr="00D322B7">
              <w:tab/>
              <w:t>Outcomes are evaluated and reported against extension objectives and project outputs, and extension processes are modified to address identified problems in response to client feedback.</w:t>
            </w:r>
          </w:p>
          <w:p w:rsidR="00000000" w:rsidRPr="00D322B7" w:rsidP="00D322B7">
            <w:pPr>
              <w:pStyle w:val="List"/>
            </w:pPr>
            <w:r w:rsidRPr="00D322B7">
              <w:t>4.3</w:t>
            </w:r>
            <w:r w:rsidRPr="00D322B7">
              <w:tab/>
              <w:t>Changes to extension programs are implemented and moni</w:t>
            </w:r>
            <w:r w:rsidRPr="00D322B7">
              <w:t>tored in accordance with organisational requirements for continuous improvement.</w:t>
            </w:r>
          </w:p>
          <w:p w:rsidR="00000000" w:rsidRPr="00D322B7" w:rsidP="00D322B7">
            <w:pPr>
              <w:pStyle w:val="List"/>
            </w:pPr>
            <w:r w:rsidRPr="00D322B7">
              <w:t>4.4</w:t>
            </w:r>
            <w:r w:rsidRPr="00D322B7">
              <w:tab/>
              <w:t>Outcomes with implications for organisational policy are identified and contributions are made to policy development in accordance with organisational requirements.</w:t>
            </w:r>
          </w:p>
        </w:tc>
      </w:tr>
    </w:tbl>
    <w:p w:rsidR="00000000" w:rsidRPr="00D322B7" w:rsidP="00D322B7">
      <w:pPr>
        <w:pStyle w:val="BodyText"/>
      </w:pPr>
    </w:p>
    <w:p w:rsidR="00000000" w:rsidRPr="00D322B7" w:rsidP="00D322B7">
      <w:pPr>
        <w:pStyle w:val="AllowPageBreak"/>
      </w:pPr>
    </w:p>
    <w:p w:rsidR="00000000" w:rsidRPr="00D322B7" w:rsidP="00D322B7">
      <w:pPr>
        <w:pStyle w:val="Heading1"/>
      </w:pPr>
      <w:bookmarkStart w:id="9" w:name="O_499438"/>
      <w:bookmarkEnd w:id="9"/>
      <w:r w:rsidRPr="00D322B7">
        <w:t>Required Skills and Knowledge</w:t>
      </w:r>
    </w:p>
    <w:tbl>
      <w:tblPr>
        <w:tblW w:w="0" w:type="auto"/>
        <w:tblLayout w:type="fixed"/>
        <w:tblCellMar>
          <w:left w:w="62" w:type="dxa"/>
          <w:right w:w="62" w:type="dxa"/>
        </w:tblCellMar>
        <w:tblLook w:val="0000"/>
      </w:tblPr>
      <w:tblGrid>
        <w:gridCol w:w="8553"/>
      </w:tblGrid>
      <w:tr w:rsidTr="0064358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t>This section describes the essential skills and knowledge and their level, required for this unit.</w:t>
            </w:r>
          </w:p>
        </w:tc>
      </w:tr>
      <w:tr w:rsidTr="0064358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D322B7" w:rsidP="00D322B7">
            <w:pPr>
              <w:pStyle w:val="BodyText"/>
            </w:pPr>
            <w:r w:rsidRPr="00D322B7">
              <w:rPr>
                <w:rStyle w:val="SpecialBold"/>
              </w:rPr>
              <w:t>Skill requirements</w:t>
            </w:r>
          </w:p>
          <w:p w:rsidR="00000000" w:rsidRPr="00D322B7" w:rsidP="00D322B7">
            <w:pPr>
              <w:pStyle w:val="BodyText"/>
            </w:pPr>
            <w:r w:rsidRPr="00D322B7">
              <w:t>Look for evidence that confirms skills in:</w:t>
            </w:r>
          </w:p>
          <w:p w:rsidR="00000000" w:rsidRPr="00D322B7" w:rsidP="00D322B7">
            <w:pPr>
              <w:pStyle w:val="ListBullet2"/>
            </w:pPr>
            <w:r w:rsidRPr="00D322B7">
              <w:t>identifying extension objectives</w:t>
            </w:r>
          </w:p>
          <w:p w:rsidR="00000000" w:rsidRPr="00D322B7" w:rsidP="00D322B7">
            <w:pPr>
              <w:pStyle w:val="ListBullet2"/>
            </w:pPr>
            <w:r w:rsidRPr="00D322B7">
              <w:t>determining dissemination strategies</w:t>
            </w:r>
          </w:p>
          <w:p w:rsidR="00000000" w:rsidRPr="00D322B7" w:rsidP="00D322B7">
            <w:pPr>
              <w:pStyle w:val="ListBullet2"/>
            </w:pPr>
            <w:r w:rsidRPr="00D322B7">
              <w:t>obtaining and managing extension resources</w:t>
            </w:r>
          </w:p>
          <w:p w:rsidR="00000000" w:rsidRPr="00D322B7" w:rsidP="00D322B7">
            <w:pPr>
              <w:pStyle w:val="ListBullet2"/>
            </w:pPr>
            <w:r w:rsidRPr="00D322B7">
              <w:t>identifying the implications for organisational policy development of changes to extension programs</w:t>
            </w:r>
          </w:p>
          <w:p w:rsidR="00000000" w:rsidRPr="00D322B7" w:rsidP="00D322B7">
            <w:pPr>
              <w:pStyle w:val="ListBullet2"/>
            </w:pPr>
            <w:r w:rsidRPr="00D322B7">
              <w:t>using facilitation and presentation strategies/methods</w:t>
            </w:r>
          </w:p>
          <w:p w:rsidR="00000000" w:rsidRPr="00D322B7" w:rsidP="00D322B7">
            <w:pPr>
              <w:pStyle w:val="ListBullet2"/>
            </w:pPr>
            <w:r w:rsidRPr="00D322B7">
              <w:t>using a range of comm</w:t>
            </w:r>
            <w:r w:rsidRPr="00D322B7">
              <w:t xml:space="preserve">unication styles to suit different audiences and purposes </w:t>
            </w:r>
          </w:p>
          <w:p w:rsidR="00000000" w:rsidRPr="00D322B7" w:rsidP="00D322B7">
            <w:pPr>
              <w:pStyle w:val="ListBullet2"/>
            </w:pPr>
            <w:r w:rsidRPr="00D322B7">
              <w:t>responding to diversity, including gender and disability</w:t>
            </w:r>
          </w:p>
          <w:p w:rsidR="00000000" w:rsidRPr="00D322B7" w:rsidP="00D322B7">
            <w:pPr>
              <w:pStyle w:val="ListBullet2"/>
            </w:pPr>
            <w:r w:rsidRPr="00D322B7">
              <w:t>using problem solving to overcome resistance and develop professional relationships of trust</w:t>
            </w:r>
          </w:p>
          <w:p w:rsidR="00000000" w:rsidRPr="00D322B7" w:rsidP="00D322B7">
            <w:pPr>
              <w:pStyle w:val="ListBullet2"/>
            </w:pPr>
            <w:r w:rsidRPr="00D322B7">
              <w:t>reading and interpreting scientific research in</w:t>
            </w:r>
            <w:r w:rsidRPr="00D322B7">
              <w:t>formation, and designing materials using different media for different audiences</w:t>
            </w:r>
          </w:p>
          <w:p w:rsidR="00000000" w:rsidRPr="00D322B7" w:rsidP="00D322B7">
            <w:pPr>
              <w:pStyle w:val="ListBullet2"/>
            </w:pPr>
            <w:r w:rsidRPr="00D322B7">
              <w:t>applying information management in the context of extension activities</w:t>
            </w:r>
          </w:p>
          <w:p w:rsidR="00000000" w:rsidRPr="00D322B7" w:rsidP="00D322B7">
            <w:pPr>
              <w:pStyle w:val="ListBullet2"/>
            </w:pPr>
            <w:r w:rsidRPr="00D322B7">
              <w:t xml:space="preserve">using technology for materials preparation and monitoring outcomes </w:t>
            </w:r>
          </w:p>
          <w:p w:rsidR="00000000" w:rsidP="00D322B7">
            <w:pPr>
              <w:pStyle w:val="ListBullet2"/>
              <w:rPr>
                <w:lang w:val="en-NZ"/>
              </w:rPr>
            </w:pPr>
            <w:r w:rsidRPr="00D322B7">
              <w:t>applying occupational health and safety and environmental requirements related to working in a scientific/technological research environment</w:t>
            </w:r>
          </w:p>
        </w:tc>
      </w:tr>
      <w:tr w:rsidTr="00643583">
        <w:tblPrEx>
          <w:tblW w:w="0" w:type="auto"/>
          <w:tblLayout w:type="fixed"/>
          <w:tblCellMar>
            <w:left w:w="62" w:type="dxa"/>
            <w:right w:w="62" w:type="dxa"/>
          </w:tblCellMar>
          <w:tblLook w:val="0000"/>
        </w:tblPrEx>
        <w:tc>
          <w:tcPr>
            <w:tcW w:w="8553" w:type="dxa"/>
            <w:tcBorders>
              <w:top w:val="nil"/>
              <w:left w:val="nil"/>
              <w:bottom w:val="nil"/>
              <w:right w:val="nil"/>
            </w:tcBorders>
            <w:tcMar>
              <w:top w:w="0" w:type="dxa"/>
              <w:left w:w="62" w:type="dxa"/>
              <w:bottom w:w="0" w:type="dxa"/>
              <w:right w:w="62" w:type="dxa"/>
            </w:tcMar>
          </w:tcPr>
          <w:p w:rsidR="00000000" w:rsidRPr="00D322B7" w:rsidP="00D322B7">
            <w:pPr>
              <w:pStyle w:val="BodyText"/>
            </w:pPr>
            <w:r w:rsidRPr="00D322B7">
              <w:rPr>
                <w:rStyle w:val="SpecialBold"/>
              </w:rPr>
              <w:t>Knowledge requirements</w:t>
            </w:r>
          </w:p>
          <w:p w:rsidR="00000000" w:rsidRPr="00D322B7" w:rsidP="00D322B7">
            <w:pPr>
              <w:pStyle w:val="BodyText"/>
            </w:pPr>
            <w:r w:rsidRPr="00D322B7">
              <w:t>Look for evidence that confirms knowledge and understanding of:</w:t>
            </w:r>
          </w:p>
          <w:p w:rsidR="00000000" w:rsidRPr="00D322B7" w:rsidP="00D322B7">
            <w:pPr>
              <w:pStyle w:val="ListBullet2"/>
            </w:pPr>
            <w:r w:rsidRPr="00D322B7">
              <w:t xml:space="preserve">the industry </w:t>
            </w:r>
          </w:p>
          <w:p w:rsidR="00000000" w:rsidRPr="00D322B7" w:rsidP="00D322B7">
            <w:pPr>
              <w:pStyle w:val="ListBullet2"/>
            </w:pPr>
            <w:r w:rsidRPr="00D322B7">
              <w:t>extension me</w:t>
            </w:r>
            <w:r w:rsidRPr="00D322B7">
              <w:t>thodology</w:t>
            </w:r>
          </w:p>
          <w:p w:rsidR="00000000" w:rsidRPr="00D322B7" w:rsidP="00D322B7">
            <w:pPr>
              <w:pStyle w:val="ListBullet2"/>
            </w:pPr>
            <w:r w:rsidRPr="00D322B7">
              <w:t>principles of change management</w:t>
            </w:r>
          </w:p>
          <w:p w:rsidR="00000000" w:rsidRPr="00D322B7" w:rsidP="00D322B7">
            <w:pPr>
              <w:pStyle w:val="ListBullet2"/>
            </w:pPr>
            <w:r w:rsidRPr="00D322B7">
              <w:t>participatory processes in the context of extension activities</w:t>
            </w:r>
          </w:p>
          <w:p w:rsidR="00000000" w:rsidRPr="00D322B7" w:rsidP="00D322B7">
            <w:pPr>
              <w:pStyle w:val="ListBullet2"/>
            </w:pPr>
            <w:r w:rsidRPr="00D322B7">
              <w:t>group dynamics and group processes</w:t>
            </w:r>
          </w:p>
          <w:p w:rsidR="00000000" w:rsidRPr="00D322B7" w:rsidP="00D322B7">
            <w:pPr>
              <w:pStyle w:val="ListBullet2"/>
            </w:pPr>
            <w:r w:rsidRPr="00D322B7">
              <w:t>community development principles</w:t>
            </w:r>
          </w:p>
          <w:p w:rsidR="00000000" w:rsidRPr="00D322B7" w:rsidP="00D322B7">
            <w:pPr>
              <w:pStyle w:val="ListBullet2"/>
            </w:pPr>
            <w:r w:rsidRPr="00D322B7">
              <w:t>research principles and methodology</w:t>
            </w:r>
          </w:p>
          <w:p w:rsidR="00000000" w:rsidRPr="00D322B7" w:rsidP="00D322B7">
            <w:pPr>
              <w:pStyle w:val="ListBullet2"/>
            </w:pPr>
            <w:r w:rsidRPr="00D322B7">
              <w:t>evaluation processes relating to extension outc</w:t>
            </w:r>
            <w:r w:rsidRPr="00D322B7">
              <w:t>omes</w:t>
            </w:r>
          </w:p>
          <w:p w:rsidR="00000000" w:rsidRPr="00D322B7" w:rsidP="00D322B7">
            <w:pPr>
              <w:pStyle w:val="ListBullet2"/>
            </w:pPr>
            <w:r w:rsidRPr="00D322B7">
              <w:t>the scientific/technological area (broad understanding)</w:t>
            </w:r>
          </w:p>
          <w:p w:rsidR="00000000" w:rsidRPr="00D322B7" w:rsidP="00D322B7">
            <w:pPr>
              <w:pStyle w:val="ListBullet2"/>
            </w:pPr>
            <w:r w:rsidRPr="00D322B7">
              <w:t>specialist knowledge relating to area of expertise</w:t>
            </w:r>
          </w:p>
          <w:p w:rsidR="00000000" w:rsidRPr="00D322B7" w:rsidP="00D322B7">
            <w:pPr>
              <w:pStyle w:val="ListBullet2"/>
            </w:pPr>
            <w:r w:rsidRPr="00D322B7">
              <w:t>legislation, public sector standards and organisational code of practice as they relate to work in a scientific research/technological environment</w:t>
            </w:r>
          </w:p>
          <w:p w:rsidR="00000000" w:rsidRPr="00D322B7" w:rsidP="00D322B7">
            <w:pPr>
              <w:pStyle w:val="ListBullet2"/>
            </w:pPr>
            <w:r w:rsidRPr="00D322B7">
              <w:t>occupational health and safety, environmental protection and other public sector legislation</w:t>
            </w:r>
          </w:p>
        </w:tc>
      </w:tr>
    </w:tbl>
    <w:p w:rsidR="00000000" w:rsidRPr="00D322B7" w:rsidP="00D322B7">
      <w:pPr>
        <w:pStyle w:val="BodyText"/>
      </w:pPr>
    </w:p>
    <w:p w:rsidR="00000000" w:rsidRPr="00D322B7" w:rsidP="00D322B7">
      <w:pPr>
        <w:pStyle w:val="AllowPageBreak"/>
      </w:pPr>
    </w:p>
    <w:p w:rsidR="00000000" w:rsidRPr="00D322B7" w:rsidP="00D322B7">
      <w:pPr>
        <w:pStyle w:val="Heading1"/>
      </w:pPr>
      <w:bookmarkStart w:id="10" w:name="O_499440"/>
      <w:bookmarkEnd w:id="10"/>
      <w:r w:rsidRPr="00D322B7">
        <w:t>Evidence Guide</w:t>
      </w:r>
    </w:p>
    <w:tbl>
      <w:tblPr>
        <w:tblW w:w="9322" w:type="dxa"/>
        <w:tblLayout w:type="fixed"/>
        <w:tblCellMar>
          <w:left w:w="62" w:type="dxa"/>
          <w:right w:w="62" w:type="dxa"/>
        </w:tblCellMar>
        <w:tblLook w:val="0000"/>
      </w:tblPr>
      <w:tblGrid>
        <w:gridCol w:w="2660"/>
        <w:gridCol w:w="6662"/>
      </w:tblGrid>
      <w:tr w:rsidTr="0064358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t>The Evidence Guide specifies the evidence required to demonstrate achievement in the unit of competency as a whole. It must be read in conjunction with the Unit descriptor, Performance Criteria, the Range Statement and the Assessment Guid</w:t>
            </w:r>
            <w:r w:rsidRPr="00D322B7">
              <w:t>elines for the Public Sector Training Package.</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RPr="00D322B7" w:rsidP="00D322B7">
            <w:pPr>
              <w:pStyle w:val="BodyText"/>
            </w:pPr>
            <w:r w:rsidRPr="00D322B7">
              <w:rPr>
                <w:rStyle w:val="SpecialBold"/>
              </w:rPr>
              <w:t>Units to be assessed together</w:t>
            </w:r>
            <w:r w:rsidRPr="00D322B7">
              <w:t xml:space="preserve"> </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Bullet2"/>
            </w:pPr>
            <w:r w:rsidRPr="00D322B7">
              <w:rPr>
                <w:rStyle w:val="Emphasis"/>
              </w:rPr>
              <w:t>Pre</w:t>
            </w:r>
            <w:r w:rsidRPr="00D322B7">
              <w:t>-</w:t>
            </w:r>
            <w:r w:rsidRPr="00D322B7">
              <w:rPr>
                <w:rStyle w:val="Emphasis"/>
              </w:rPr>
              <w:t>requisite</w:t>
            </w:r>
            <w:r w:rsidRPr="00D322B7">
              <w:t xml:space="preserve"> units that must be achieved prior to this unit:</w:t>
            </w:r>
            <w:r w:rsidRPr="00D322B7">
              <w:rPr>
                <w:rStyle w:val="Emphasis"/>
              </w:rPr>
              <w:t>Nil</w:t>
            </w:r>
          </w:p>
          <w:p w:rsidR="00000000" w:rsidRPr="00D322B7" w:rsidP="00D322B7">
            <w:pPr>
              <w:pStyle w:val="ListBullet2"/>
            </w:pPr>
            <w:r w:rsidRPr="00D322B7">
              <w:rPr>
                <w:rStyle w:val="Emphasis"/>
              </w:rPr>
              <w:t>Co</w:t>
            </w:r>
            <w:r w:rsidRPr="00D322B7">
              <w:t>-</w:t>
            </w:r>
            <w:r w:rsidRPr="00D322B7">
              <w:rPr>
                <w:rStyle w:val="Emphasis"/>
              </w:rPr>
              <w:t>requisite</w:t>
            </w:r>
            <w:r w:rsidRPr="00D322B7">
              <w:t xml:space="preserve"> units that must be assessed with this unit:</w:t>
            </w:r>
            <w:r w:rsidRPr="00D322B7">
              <w:rPr>
                <w:rStyle w:val="Emphasis"/>
              </w:rPr>
              <w:t>Nil</w:t>
            </w:r>
          </w:p>
          <w:p w:rsidR="00000000" w:rsidRPr="00D322B7" w:rsidP="00D322B7">
            <w:pPr>
              <w:pStyle w:val="ListBullet2"/>
            </w:pPr>
            <w:r w:rsidRPr="00D322B7">
              <w:rPr>
                <w:rStyle w:val="Emphasis"/>
              </w:rPr>
              <w:t>Co</w:t>
            </w:r>
            <w:r w:rsidRPr="00D322B7">
              <w:t>-</w:t>
            </w:r>
            <w:r w:rsidRPr="00D322B7">
              <w:rPr>
                <w:rStyle w:val="Emphasis"/>
              </w:rPr>
              <w:t>assessed units</w:t>
            </w:r>
            <w:r w:rsidRPr="00D322B7">
              <w:t xml:space="preserve"> that may be assessed with this unit to increase the efficiency and realism of the assessment process include, but are not limited to:</w:t>
            </w:r>
          </w:p>
          <w:p w:rsidR="00000000" w:rsidRPr="00D322B7" w:rsidP="00D322B7">
            <w:pPr>
              <w:pStyle w:val="ListBullet3"/>
            </w:pPr>
            <w:r w:rsidRPr="00D322B7">
              <w:t>PSPETHC401A Uphold and support the values and principles of public service</w:t>
            </w:r>
          </w:p>
          <w:p w:rsidR="00000000" w:rsidRPr="00D322B7" w:rsidP="00D322B7">
            <w:pPr>
              <w:pStyle w:val="ListBullet3"/>
            </w:pPr>
            <w:r w:rsidRPr="00D322B7">
              <w:t>PSPGOV402B Deliver and monitor service to clients</w:t>
            </w:r>
          </w:p>
          <w:p w:rsidR="00000000" w:rsidRPr="00D322B7" w:rsidP="00D322B7">
            <w:pPr>
              <w:pStyle w:val="ListBullet3"/>
            </w:pPr>
            <w:r w:rsidRPr="00D322B7">
              <w:t>PSPGOV403B Use resources to achieve work unit goals</w:t>
            </w:r>
          </w:p>
          <w:p w:rsidR="00000000" w:rsidRPr="00D322B7" w:rsidP="00D322B7">
            <w:pPr>
              <w:pStyle w:val="ListBullet3"/>
            </w:pPr>
            <w:r w:rsidRPr="00D322B7">
              <w:t xml:space="preserve">PSPGOV406B Gather and analyse information </w:t>
            </w:r>
          </w:p>
          <w:p w:rsidR="00000000" w:rsidRPr="00D322B7" w:rsidP="00D322B7">
            <w:pPr>
              <w:pStyle w:val="ListBullet3"/>
            </w:pPr>
            <w:r w:rsidRPr="00D322B7">
              <w:t>PSPGOV422A Apply government processes</w:t>
            </w:r>
          </w:p>
          <w:p w:rsidR="00000000" w:rsidP="00D322B7">
            <w:pPr>
              <w:pStyle w:val="ListBullet3"/>
              <w:rPr>
                <w:lang w:val="en-NZ"/>
              </w:rPr>
            </w:pPr>
            <w:r w:rsidRPr="00D322B7">
              <w:t>PSPOHS401B Implement workplace safety procedures and programs</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SpecialBold"/>
              </w:rPr>
              <w:t>Overview o</w:t>
            </w:r>
            <w:r w:rsidRPr="00D322B7">
              <w:rPr>
                <w:rStyle w:val="SpecialBold"/>
              </w:rPr>
              <w:t>f evidence requirements</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BodyText"/>
            </w:pPr>
            <w:r w:rsidRPr="00D322B7">
              <w:t>In addition to integrated demonstration of the elements and their related performance criteria, look for evidence that confirms:</w:t>
            </w:r>
          </w:p>
          <w:p w:rsidR="00000000" w:rsidRPr="00D322B7" w:rsidP="00D322B7">
            <w:pPr>
              <w:pStyle w:val="ListBullet2"/>
            </w:pPr>
            <w:r w:rsidRPr="00D322B7">
              <w:t xml:space="preserve">the knowledge requirements of this unit </w:t>
            </w:r>
          </w:p>
          <w:p w:rsidR="00000000" w:rsidRPr="00D322B7" w:rsidP="00D322B7">
            <w:pPr>
              <w:pStyle w:val="ListBullet2"/>
            </w:pPr>
            <w:r w:rsidRPr="00D322B7">
              <w:t>the skill requirements of this unit</w:t>
            </w:r>
          </w:p>
          <w:p w:rsidR="00000000" w:rsidRPr="00D322B7" w:rsidP="00D322B7">
            <w:pPr>
              <w:pStyle w:val="ListBullet2"/>
            </w:pPr>
            <w:r w:rsidRPr="00D322B7">
              <w:t>application of the Employability Skills as they relate to this unit (see Employability Summaries in Qualifications Framework)</w:t>
            </w:r>
          </w:p>
          <w:p w:rsidR="00000000" w:rsidP="00D322B7">
            <w:pPr>
              <w:pStyle w:val="ListBullet2"/>
              <w:rPr>
                <w:lang w:val="en-NZ"/>
              </w:rPr>
            </w:pPr>
            <w:r w:rsidRPr="00D322B7">
              <w:t>outcomes from a range of (3 or more) extension such as oral communication and presentation, organising field days, materials devel</w:t>
            </w:r>
            <w:r w:rsidRPr="00D322B7">
              <w:t>opment</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SpecialBold"/>
              </w:rPr>
              <w:t>Resources required to carry out assessment</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BodyText"/>
            </w:pPr>
            <w:r w:rsidRPr="00D322B7">
              <w:t>These resources include:</w:t>
            </w:r>
          </w:p>
          <w:p w:rsidR="00000000" w:rsidRPr="00D322B7" w:rsidP="00D322B7">
            <w:pPr>
              <w:pStyle w:val="ListBullet2"/>
            </w:pPr>
            <w:r w:rsidRPr="00D322B7">
              <w:t>legislation, procedures, guidelines and protocols</w:t>
            </w:r>
          </w:p>
          <w:p w:rsidR="00000000" w:rsidRPr="00D322B7" w:rsidP="00D322B7">
            <w:pPr>
              <w:pStyle w:val="ListBullet2"/>
            </w:pPr>
            <w:r w:rsidRPr="00D322B7">
              <w:t>industry information</w:t>
            </w:r>
          </w:p>
          <w:p w:rsidR="00000000" w:rsidRPr="00D322B7" w:rsidP="00D322B7">
            <w:pPr>
              <w:pStyle w:val="ListBullet2"/>
            </w:pPr>
            <w:r w:rsidRPr="00D322B7">
              <w:t>risk management strategies for extension work</w:t>
            </w:r>
          </w:p>
          <w:p w:rsidR="00000000" w:rsidP="00D322B7">
            <w:pPr>
              <w:pStyle w:val="ListBullet2"/>
              <w:rPr>
                <w:lang w:val="en-NZ"/>
              </w:rPr>
            </w:pPr>
            <w:r w:rsidRPr="00D322B7">
              <w:t>case studies and workplace scenarios to capture a range of dif</w:t>
            </w:r>
            <w:r w:rsidRPr="00D322B7">
              <w:t>ferent extension experiences</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SpecialBold"/>
              </w:rPr>
              <w:t>Where and how to assess evidence</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BodyText"/>
            </w:pPr>
            <w:r w:rsidRPr="00D322B7">
              <w:t xml:space="preserve">Valid assessment of this unit requires: </w:t>
            </w:r>
          </w:p>
          <w:p w:rsidR="00000000" w:rsidRPr="00D322B7" w:rsidP="00D322B7">
            <w:pPr>
              <w:pStyle w:val="ListBullet2"/>
            </w:pPr>
            <w:r w:rsidRPr="00D322B7">
              <w:t>a workplace environment or one that closely resembles normal work practice and replicates the range of conditions likely to be encountered when promoti</w:t>
            </w:r>
            <w:r w:rsidRPr="00D322B7">
              <w:t>ng innovation and change through extension activities, including coping with difficulties, irregularities and breakdowns in routine</w:t>
            </w:r>
          </w:p>
          <w:p w:rsidR="00000000" w:rsidRPr="00D322B7" w:rsidP="00D322B7">
            <w:pPr>
              <w:pStyle w:val="ListBullet2"/>
            </w:pPr>
            <w:r w:rsidRPr="00D322B7">
              <w:t xml:space="preserve">outcomes from a range of (3 </w:t>
            </w:r>
            <w:r w:rsidRPr="00D322B7">
              <w:t>or more) extension activities such as oral communication and presentation, organising field days, materials development</w:t>
            </w:r>
          </w:p>
          <w:p w:rsidR="00000000" w:rsidRPr="00D322B7" w:rsidP="00D322B7">
            <w:pPr>
              <w:pStyle w:val="BodyText"/>
            </w:pPr>
            <w:r w:rsidRPr="00D322B7">
              <w:t>Assessment methods should reflect workplace demands, such as literacy, and the needs of particular groups, such as:</w:t>
            </w:r>
          </w:p>
          <w:p w:rsidR="00000000" w:rsidRPr="00D322B7" w:rsidP="00D322B7">
            <w:pPr>
              <w:pStyle w:val="ListBullet2"/>
            </w:pPr>
            <w:r w:rsidRPr="00D322B7">
              <w:t>people with disabil</w:t>
            </w:r>
            <w:r w:rsidRPr="00D322B7">
              <w:t>ities</w:t>
            </w:r>
          </w:p>
          <w:p w:rsidR="00000000" w:rsidRPr="00D322B7" w:rsidP="00D322B7">
            <w:pPr>
              <w:pStyle w:val="ListBullet2"/>
            </w:pPr>
            <w:r w:rsidRPr="00D322B7">
              <w:t>people from culturally and linguistically diverse backgrounds</w:t>
            </w:r>
          </w:p>
          <w:p w:rsidR="00000000" w:rsidRPr="00D322B7" w:rsidP="00D322B7">
            <w:pPr>
              <w:pStyle w:val="ListBullet2"/>
            </w:pPr>
            <w:r w:rsidRPr="00D322B7">
              <w:t>Aboriginal and Torres Strait Islander people</w:t>
            </w:r>
          </w:p>
          <w:p w:rsidR="00000000" w:rsidRPr="00D322B7" w:rsidP="00D322B7">
            <w:pPr>
              <w:pStyle w:val="ListBullet2"/>
            </w:pPr>
            <w:r w:rsidRPr="00D322B7">
              <w:t>women</w:t>
            </w:r>
          </w:p>
          <w:p w:rsidR="00000000" w:rsidRPr="00D322B7" w:rsidP="00D322B7">
            <w:pPr>
              <w:pStyle w:val="ListBullet2"/>
            </w:pPr>
            <w:r w:rsidRPr="00D322B7">
              <w:t>young people</w:t>
            </w:r>
          </w:p>
          <w:p w:rsidR="00000000" w:rsidRPr="00D322B7" w:rsidP="00D322B7">
            <w:pPr>
              <w:pStyle w:val="ListBullet2"/>
            </w:pPr>
            <w:r w:rsidRPr="00D322B7">
              <w:t>older people</w:t>
            </w:r>
          </w:p>
          <w:p w:rsidR="00000000" w:rsidRPr="00D322B7" w:rsidP="00D322B7">
            <w:pPr>
              <w:pStyle w:val="ListBullet2"/>
            </w:pPr>
            <w:r w:rsidRPr="00D322B7">
              <w:t>people in rural and remote locations</w:t>
            </w:r>
          </w:p>
          <w:p w:rsidR="00000000" w:rsidRPr="00D322B7" w:rsidP="00D322B7">
            <w:pPr>
              <w:pStyle w:val="BodyText"/>
            </w:pPr>
            <w:r w:rsidRPr="00D322B7">
              <w:t>Assessment methods suitable for valid and reliable assessment of this comp</w:t>
            </w:r>
            <w:r w:rsidRPr="00D322B7">
              <w:t xml:space="preserve">etency may include, but are not limited to, a combination of 2 or more of: </w:t>
            </w:r>
          </w:p>
          <w:p w:rsidR="00000000" w:rsidRPr="00D322B7" w:rsidP="00D322B7">
            <w:pPr>
              <w:pStyle w:val="ListBullet2"/>
            </w:pPr>
            <w:r w:rsidRPr="00D322B7">
              <w:t>case studies</w:t>
            </w:r>
          </w:p>
          <w:p w:rsidR="00000000" w:rsidRPr="00D322B7" w:rsidP="00D322B7">
            <w:pPr>
              <w:pStyle w:val="ListBullet2"/>
            </w:pPr>
            <w:r w:rsidRPr="00D322B7">
              <w:t xml:space="preserve">demonstration </w:t>
            </w:r>
          </w:p>
          <w:p w:rsidR="00000000" w:rsidRPr="00D322B7" w:rsidP="00D322B7">
            <w:pPr>
              <w:pStyle w:val="ListBullet2"/>
            </w:pPr>
            <w:r w:rsidRPr="00D322B7">
              <w:t>observation</w:t>
            </w:r>
          </w:p>
          <w:p w:rsidR="00000000" w:rsidRPr="00D322B7" w:rsidP="00D322B7">
            <w:pPr>
              <w:pStyle w:val="ListBullet2"/>
            </w:pPr>
            <w:r w:rsidRPr="00D322B7">
              <w:t xml:space="preserve">portfolios </w:t>
            </w:r>
          </w:p>
          <w:p w:rsidR="00000000" w:rsidRPr="00D322B7" w:rsidP="00D322B7">
            <w:pPr>
              <w:pStyle w:val="ListBullet2"/>
            </w:pPr>
            <w:r w:rsidRPr="00D322B7">
              <w:t>projects</w:t>
            </w:r>
          </w:p>
          <w:p w:rsidR="00000000" w:rsidRPr="00D322B7" w:rsidP="00D322B7">
            <w:pPr>
              <w:pStyle w:val="ListBullet2"/>
            </w:pPr>
            <w:r w:rsidRPr="00D322B7">
              <w:t>questioning</w:t>
            </w:r>
          </w:p>
          <w:p w:rsidR="00000000" w:rsidRPr="00D322B7" w:rsidP="00D322B7">
            <w:pPr>
              <w:pStyle w:val="ListBullet2"/>
            </w:pPr>
            <w:r w:rsidRPr="00D322B7">
              <w:t>scenarios</w:t>
            </w:r>
          </w:p>
          <w:p w:rsidR="00000000" w:rsidRPr="00D322B7" w:rsidP="00D322B7">
            <w:pPr>
              <w:pStyle w:val="ListBullet2"/>
            </w:pPr>
            <w:r w:rsidRPr="00D322B7">
              <w:t>simulation or role plays</w:t>
            </w:r>
          </w:p>
          <w:p w:rsidR="00000000" w:rsidP="00D322B7">
            <w:pPr>
              <w:pStyle w:val="ListBullet2"/>
              <w:rPr>
                <w:lang w:val="en-NZ"/>
              </w:rPr>
            </w:pPr>
            <w:r w:rsidRPr="00D322B7">
              <w:t xml:space="preserve">authenticated evidence from the workplace and/or training courses  </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SpecialBold"/>
              </w:rPr>
              <w:t>For consistency of assessment</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BodyText"/>
            </w:pPr>
            <w:r w:rsidRPr="00D322B7">
              <w:t>Evidence must be gathered over time in a range of contexts to ensure the person can achieve the unit outcome and apply the competency in different situations or environments</w:t>
            </w:r>
          </w:p>
        </w:tc>
      </w:tr>
    </w:tbl>
    <w:p w:rsidR="00000000" w:rsidRPr="00D322B7" w:rsidP="00D322B7">
      <w:pPr>
        <w:pStyle w:val="BodyText"/>
      </w:pPr>
    </w:p>
    <w:p w:rsidR="00000000" w:rsidRPr="00D322B7" w:rsidP="00D322B7">
      <w:pPr>
        <w:pStyle w:val="AllowPageBreak"/>
      </w:pPr>
    </w:p>
    <w:p w:rsidR="00000000" w:rsidRPr="00D322B7" w:rsidP="00D322B7">
      <w:pPr>
        <w:pStyle w:val="Heading1"/>
      </w:pPr>
      <w:bookmarkStart w:id="11" w:name="O_499441"/>
      <w:bookmarkEnd w:id="11"/>
      <w:r w:rsidRPr="00D322B7">
        <w:t>Range Statement</w:t>
      </w:r>
    </w:p>
    <w:tbl>
      <w:tblPr>
        <w:tblW w:w="9322" w:type="dxa"/>
        <w:tblLayout w:type="fixed"/>
        <w:tblCellMar>
          <w:left w:w="62" w:type="dxa"/>
          <w:right w:w="62" w:type="dxa"/>
        </w:tblCellMar>
        <w:tblLook w:val="0000"/>
      </w:tblPr>
      <w:tblGrid>
        <w:gridCol w:w="2660"/>
        <w:gridCol w:w="6662"/>
      </w:tblGrid>
      <w:tr w:rsidTr="00643583">
        <w:tblPrEx>
          <w:tblW w:w="9322" w:type="dxa"/>
          <w:tblLayout w:type="fixed"/>
          <w:tblCellMar>
            <w:left w:w="62" w:type="dxa"/>
            <w:right w:w="62" w:type="dxa"/>
          </w:tblCellMar>
          <w:tblLook w:val="0000"/>
        </w:tblPrEx>
        <w:tc>
          <w:tcPr>
            <w:tcW w:w="9322" w:type="dxa"/>
            <w:gridSpan w:val="2"/>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t>The Range Stateme</w:t>
            </w:r>
            <w:r w:rsidRPr="00D322B7">
              <w:t>nt provides information about the context in which the unit of competency is carried out. The variables cater for differences between States and Territories and the Commonwealth, and between organisations and workplaces. They allow for different work requi</w:t>
            </w:r>
            <w:r w:rsidRPr="00D322B7">
              <w:t xml:space="preserve">rements, work practices and knowledge. The Range Statement also provides a focus for assessment. It relates to the unit as a whole. Text in </w:t>
            </w:r>
            <w:r w:rsidRPr="00D322B7">
              <w:rPr>
                <w:rStyle w:val="BoldandItalics"/>
              </w:rPr>
              <w:t>bold italics</w:t>
            </w:r>
            <w:r w:rsidRPr="00D322B7">
              <w:t xml:space="preserve"> in the Performance Criteria is explained here.</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BoldandItalics"/>
              </w:rPr>
              <w:t>Objectives</w:t>
            </w:r>
            <w:r w:rsidRPr="00D322B7">
              <w:t>:</w:t>
            </w:r>
          </w:p>
        </w:tc>
        <w:tc>
          <w:tcPr>
            <w:tcW w:w="6662" w:type="dxa"/>
            <w:tcBorders>
              <w:top w:val="nil"/>
              <w:left w:val="nil"/>
              <w:bottom w:val="nil"/>
              <w:right w:val="nil"/>
            </w:tcBorders>
            <w:tcMar>
              <w:top w:w="0" w:type="dxa"/>
              <w:left w:w="62" w:type="dxa"/>
              <w:bottom w:w="0" w:type="dxa"/>
              <w:right w:w="62" w:type="dxa"/>
            </w:tcMar>
          </w:tcPr>
          <w:p w:rsidR="00000000" w:rsidP="00D322B7">
            <w:pPr>
              <w:pStyle w:val="ListBullet2"/>
              <w:rPr>
                <w:lang w:val="en-NZ"/>
              </w:rPr>
            </w:pPr>
            <w:r w:rsidRPr="00D322B7">
              <w:t>will typically relate to a number of proj</w:t>
            </w:r>
            <w:r w:rsidRPr="00D322B7">
              <w:t>ects worked on in parallel</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BoldandItalics"/>
              </w:rPr>
              <w:t>Client target groups</w:t>
            </w:r>
            <w:r w:rsidRPr="00D322B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Bullet2"/>
            </w:pPr>
            <w:r w:rsidRPr="00D322B7">
              <w:t>industry and community groups</w:t>
            </w:r>
          </w:p>
          <w:p w:rsidR="00000000" w:rsidRPr="00D322B7" w:rsidP="00D322B7">
            <w:pPr>
              <w:pStyle w:val="ListBullet2"/>
            </w:pPr>
            <w:r w:rsidRPr="00D322B7">
              <w:t>Local, State or Commonwealth government organisations</w:t>
            </w:r>
          </w:p>
          <w:p w:rsidR="00000000" w:rsidP="00D322B7">
            <w:pPr>
              <w:pStyle w:val="ListBullet2"/>
              <w:rPr>
                <w:lang w:val="en-NZ"/>
              </w:rPr>
            </w:pPr>
            <w:r w:rsidRPr="00D322B7">
              <w:t>overseas industry, organisations and governments</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BoldandItalics"/>
              </w:rPr>
              <w:t xml:space="preserve">Dissemination </w:t>
            </w:r>
            <w:r w:rsidRPr="00D322B7">
              <w:t>may include:</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Bullet2"/>
            </w:pPr>
            <w:r w:rsidRPr="00D322B7">
              <w:t>one-on-one discussion</w:t>
            </w:r>
          </w:p>
          <w:p w:rsidR="00000000" w:rsidRPr="00D322B7" w:rsidP="00D322B7">
            <w:pPr>
              <w:pStyle w:val="ListBullet2"/>
            </w:pPr>
            <w:r w:rsidRPr="00D322B7">
              <w:t xml:space="preserve">telephone </w:t>
            </w:r>
          </w:p>
          <w:p w:rsidR="00000000" w:rsidRPr="00D322B7" w:rsidP="00D322B7">
            <w:pPr>
              <w:pStyle w:val="ListBullet2"/>
            </w:pPr>
            <w:r w:rsidRPr="00D322B7">
              <w:t>on-site consultation</w:t>
            </w:r>
          </w:p>
          <w:p w:rsidR="00000000" w:rsidRPr="00D322B7" w:rsidP="00D322B7">
            <w:pPr>
              <w:pStyle w:val="ListBullet2"/>
            </w:pPr>
            <w:r w:rsidRPr="00D322B7">
              <w:t>field days</w:t>
            </w:r>
          </w:p>
          <w:p w:rsidR="00000000" w:rsidRPr="00D322B7" w:rsidP="00D322B7">
            <w:pPr>
              <w:pStyle w:val="ListBullet2"/>
            </w:pPr>
            <w:r w:rsidRPr="00D322B7">
              <w:t>field excursions</w:t>
            </w:r>
          </w:p>
          <w:p w:rsidR="00000000" w:rsidRPr="00D322B7" w:rsidP="00D322B7">
            <w:pPr>
              <w:pStyle w:val="ListBullet2"/>
            </w:pPr>
            <w:r w:rsidRPr="00D322B7">
              <w:t>group processes</w:t>
            </w:r>
          </w:p>
          <w:p w:rsidR="00000000" w:rsidRPr="00D322B7" w:rsidP="00D322B7">
            <w:pPr>
              <w:pStyle w:val="ListBullet2"/>
            </w:pPr>
            <w:r w:rsidRPr="00D322B7">
              <w:t>seminars</w:t>
            </w:r>
          </w:p>
          <w:p w:rsidR="00000000" w:rsidRPr="00D322B7" w:rsidP="00D322B7">
            <w:pPr>
              <w:pStyle w:val="ListBullet2"/>
            </w:pPr>
            <w:r w:rsidRPr="00D322B7">
              <w:t>lectures</w:t>
            </w:r>
          </w:p>
          <w:p w:rsidR="00000000" w:rsidRPr="00D322B7" w:rsidP="00D322B7">
            <w:pPr>
              <w:pStyle w:val="ListBullet2"/>
            </w:pPr>
            <w:r w:rsidRPr="00D322B7">
              <w:t>demonstrations</w:t>
            </w:r>
          </w:p>
          <w:p w:rsidR="00000000" w:rsidRPr="00D322B7" w:rsidP="00D322B7">
            <w:pPr>
              <w:pStyle w:val="ListBullet2"/>
            </w:pPr>
            <w:r w:rsidRPr="00D322B7">
              <w:t>reports</w:t>
            </w:r>
          </w:p>
          <w:p w:rsidR="00000000" w:rsidRPr="00D322B7" w:rsidP="00D322B7">
            <w:pPr>
              <w:pStyle w:val="ListBullet2"/>
            </w:pPr>
            <w:r w:rsidRPr="00D322B7">
              <w:t>journals</w:t>
            </w:r>
          </w:p>
          <w:p w:rsidR="00000000" w:rsidP="00D322B7">
            <w:pPr>
              <w:pStyle w:val="ListBullet2"/>
              <w:rPr>
                <w:lang w:val="en-NZ"/>
              </w:rPr>
            </w:pPr>
            <w:r w:rsidRPr="00D322B7">
              <w:t>publications</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BoldandItalics"/>
              </w:rPr>
              <w:t>Risks</w:t>
            </w:r>
            <w:r w:rsidRPr="00D322B7">
              <w:t>:</w:t>
            </w:r>
          </w:p>
        </w:tc>
        <w:tc>
          <w:tcPr>
            <w:tcW w:w="6662" w:type="dxa"/>
            <w:tcBorders>
              <w:top w:val="nil"/>
              <w:left w:val="nil"/>
              <w:bottom w:val="nil"/>
              <w:right w:val="nil"/>
            </w:tcBorders>
            <w:tcMar>
              <w:top w:w="0" w:type="dxa"/>
              <w:left w:w="62" w:type="dxa"/>
              <w:bottom w:w="0" w:type="dxa"/>
              <w:right w:w="62" w:type="dxa"/>
            </w:tcMar>
          </w:tcPr>
          <w:p w:rsidR="00000000" w:rsidP="00D322B7">
            <w:pPr>
              <w:pStyle w:val="ListBullet2"/>
              <w:rPr>
                <w:lang w:val="en-NZ"/>
              </w:rPr>
            </w:pPr>
            <w:r w:rsidRPr="00D322B7">
              <w:t>are generally low for the agency/stakeholders or affect a small proportion of the industry</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BoldandItalics"/>
              </w:rPr>
              <w:t>Obtaining resources</w:t>
            </w:r>
            <w:r w:rsidRPr="00D322B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Bullet2"/>
            </w:pPr>
            <w:r w:rsidRPr="00D322B7">
              <w:t>allocation from within the organisation</w:t>
            </w:r>
          </w:p>
          <w:p w:rsidR="00000000" w:rsidP="00D322B7">
            <w:pPr>
              <w:pStyle w:val="ListBullet2"/>
              <w:rPr>
                <w:lang w:val="en-NZ"/>
              </w:rPr>
            </w:pPr>
            <w:r w:rsidRPr="00D322B7">
              <w:t>from external sources</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t>Responsibilities may include:</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Bullet2"/>
            </w:pPr>
            <w:r w:rsidRPr="00D322B7">
              <w:t>a number of projects worked on simultaneously</w:t>
            </w:r>
          </w:p>
          <w:p w:rsidR="00000000" w:rsidP="00D322B7">
            <w:pPr>
              <w:pStyle w:val="ListBullet2"/>
              <w:rPr>
                <w:lang w:val="en-NZ"/>
              </w:rPr>
            </w:pPr>
            <w:r w:rsidRPr="00D322B7">
              <w:t>influence on groups or industry sectors of relatively low economic impact</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BoldandItalics"/>
              </w:rPr>
              <w:t xml:space="preserve">Advice </w:t>
            </w:r>
            <w:r w:rsidRPr="00D322B7">
              <w:t>may include:</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Bullet2"/>
            </w:pPr>
            <w:r w:rsidRPr="00D322B7">
              <w:t>aspects of the industry</w:t>
            </w:r>
          </w:p>
          <w:p w:rsidR="00000000" w:rsidRPr="00D322B7" w:rsidP="00D322B7">
            <w:pPr>
              <w:pStyle w:val="ListBullet2"/>
            </w:pPr>
            <w:r w:rsidRPr="00D322B7">
              <w:t>productivity</w:t>
            </w:r>
          </w:p>
          <w:p w:rsidR="00000000" w:rsidRPr="00D322B7" w:rsidP="00D322B7">
            <w:pPr>
              <w:pStyle w:val="ListBullet2"/>
            </w:pPr>
            <w:r w:rsidRPr="00D322B7">
              <w:t>efficiency</w:t>
            </w:r>
          </w:p>
          <w:p w:rsidR="00000000" w:rsidRPr="00D322B7" w:rsidP="00D322B7">
            <w:pPr>
              <w:pStyle w:val="ListBullet2"/>
            </w:pPr>
            <w:r w:rsidRPr="00D322B7">
              <w:t>environmental sustainability</w:t>
            </w:r>
          </w:p>
          <w:p w:rsidR="00000000" w:rsidRPr="00D322B7" w:rsidP="00D322B7">
            <w:pPr>
              <w:pStyle w:val="ListBullet2"/>
            </w:pPr>
            <w:r w:rsidRPr="00D322B7">
              <w:t>marketing</w:t>
            </w:r>
          </w:p>
          <w:p w:rsidR="00000000" w:rsidRPr="00D322B7" w:rsidP="00D322B7">
            <w:pPr>
              <w:pStyle w:val="ListBullet2"/>
            </w:pPr>
            <w:r w:rsidRPr="00D322B7">
              <w:t>group management advice</w:t>
            </w:r>
          </w:p>
          <w:p w:rsidR="00000000" w:rsidRPr="00D322B7" w:rsidP="00D322B7">
            <w:pPr>
              <w:pStyle w:val="ListBullet2"/>
            </w:pPr>
            <w:r w:rsidRPr="00D322B7">
              <w:t>community development advice</w:t>
            </w:r>
          </w:p>
          <w:p w:rsidR="00000000" w:rsidRPr="00D322B7" w:rsidP="00D322B7">
            <w:pPr>
              <w:pStyle w:val="ListBullet2"/>
            </w:pPr>
            <w:r w:rsidRPr="00D322B7">
              <w:t>strategic planning advice</w:t>
            </w:r>
          </w:p>
          <w:p w:rsidR="00000000" w:rsidRPr="00D322B7" w:rsidP="00D322B7">
            <w:pPr>
              <w:pStyle w:val="ListBullet2"/>
            </w:pPr>
            <w:r w:rsidRPr="00D322B7">
              <w:t>security</w:t>
            </w:r>
          </w:p>
          <w:p w:rsidR="00000000" w:rsidP="00D322B7">
            <w:pPr>
              <w:pStyle w:val="ListBullet2"/>
              <w:rPr>
                <w:lang w:val="en-NZ"/>
              </w:rPr>
            </w:pPr>
            <w:r w:rsidRPr="00D322B7">
              <w:t>deeper systems issues that may need to change</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BoldandItalics"/>
              </w:rPr>
              <w:t>Information medium</w:t>
            </w:r>
            <w:r w:rsidRPr="00D322B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Bullet2"/>
            </w:pPr>
            <w:r w:rsidRPr="00D322B7">
              <w:t>personal presentation</w:t>
            </w:r>
          </w:p>
          <w:p w:rsidR="00000000" w:rsidRPr="00D322B7" w:rsidP="00D322B7">
            <w:pPr>
              <w:pStyle w:val="ListBullet2"/>
            </w:pPr>
            <w:r w:rsidRPr="00D322B7">
              <w:t xml:space="preserve">posters </w:t>
            </w:r>
          </w:p>
          <w:p w:rsidR="00000000" w:rsidRPr="00D322B7" w:rsidP="00D322B7">
            <w:pPr>
              <w:pStyle w:val="ListBullet2"/>
            </w:pPr>
            <w:r w:rsidRPr="00D322B7">
              <w:t>journals</w:t>
            </w:r>
          </w:p>
          <w:p w:rsidR="00000000" w:rsidRPr="00D322B7" w:rsidP="00D322B7">
            <w:pPr>
              <w:pStyle w:val="ListBullet2"/>
            </w:pPr>
            <w:r w:rsidRPr="00D322B7">
              <w:t>press</w:t>
            </w:r>
          </w:p>
          <w:p w:rsidR="00000000" w:rsidRPr="00D322B7" w:rsidP="00D322B7">
            <w:pPr>
              <w:pStyle w:val="ListBullet2"/>
            </w:pPr>
            <w:r w:rsidRPr="00D322B7">
              <w:t>radio</w:t>
            </w:r>
          </w:p>
          <w:p w:rsidR="00000000" w:rsidRPr="00D322B7" w:rsidP="00D322B7">
            <w:pPr>
              <w:pStyle w:val="ListBullet2"/>
            </w:pPr>
            <w:r w:rsidRPr="00D322B7">
              <w:t>television</w:t>
            </w:r>
          </w:p>
          <w:p w:rsidR="00000000" w:rsidP="00D322B7">
            <w:pPr>
              <w:pStyle w:val="ListBullet2"/>
              <w:rPr>
                <w:lang w:val="en-NZ"/>
              </w:rPr>
            </w:pPr>
            <w:r w:rsidRPr="00D322B7">
              <w:t>peer reviewed publications</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BoldandItalics"/>
              </w:rPr>
              <w:t>Presentation standards</w:t>
            </w:r>
            <w:r w:rsidRPr="00D322B7">
              <w:t xml:space="preserve"> may include:</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Bullet2"/>
            </w:pPr>
            <w:r w:rsidRPr="00D322B7">
              <w:t>design of materials</w:t>
            </w:r>
          </w:p>
          <w:p w:rsidR="00000000" w:rsidRPr="00D322B7" w:rsidP="00D322B7">
            <w:pPr>
              <w:pStyle w:val="ListBullet2"/>
            </w:pPr>
            <w:r w:rsidRPr="00D322B7">
              <w:t>dress</w:t>
            </w:r>
          </w:p>
          <w:p w:rsidR="00000000" w:rsidRPr="00D322B7" w:rsidP="00D322B7">
            <w:pPr>
              <w:pStyle w:val="ListBullet2"/>
            </w:pPr>
            <w:r w:rsidRPr="00D322B7">
              <w:t>punctuality</w:t>
            </w:r>
          </w:p>
          <w:p w:rsidR="00000000" w:rsidRPr="00D322B7" w:rsidP="00D322B7">
            <w:pPr>
              <w:pStyle w:val="ListBullet2"/>
            </w:pPr>
            <w:r w:rsidRPr="00D322B7">
              <w:t>preparedness</w:t>
            </w:r>
          </w:p>
          <w:p w:rsidR="00000000" w:rsidRPr="00D322B7" w:rsidP="00D322B7">
            <w:pPr>
              <w:pStyle w:val="ListBullet2"/>
            </w:pPr>
            <w:r w:rsidRPr="00D322B7">
              <w:t>manner</w:t>
            </w:r>
          </w:p>
          <w:p w:rsidR="00000000" w:rsidRPr="00D322B7" w:rsidP="00D322B7">
            <w:pPr>
              <w:pStyle w:val="ListBullet2"/>
            </w:pPr>
            <w:r w:rsidRPr="00D322B7">
              <w:t>handouts</w:t>
            </w:r>
          </w:p>
          <w:p w:rsidR="00000000" w:rsidRPr="00D322B7" w:rsidP="00D322B7">
            <w:pPr>
              <w:pStyle w:val="ListBullet2"/>
            </w:pPr>
            <w:r w:rsidRPr="00D322B7">
              <w:t>overhead transparencies/slide shows</w:t>
            </w:r>
          </w:p>
          <w:p w:rsidR="00000000" w:rsidRPr="00D322B7" w:rsidP="00D322B7">
            <w:pPr>
              <w:pStyle w:val="ListBullet2"/>
            </w:pPr>
            <w:r w:rsidRPr="00D322B7">
              <w:t>questioning techniques</w:t>
            </w:r>
          </w:p>
          <w:p w:rsidR="00000000" w:rsidRPr="00D322B7" w:rsidP="00D322B7">
            <w:pPr>
              <w:pStyle w:val="ListBullet2"/>
            </w:pPr>
            <w:r w:rsidRPr="00D322B7">
              <w:t>customisation to meet the needs of a diverse industry/community</w:t>
            </w:r>
          </w:p>
          <w:p w:rsidR="00000000" w:rsidRPr="00D322B7" w:rsidP="00D322B7">
            <w:pPr>
              <w:pStyle w:val="ListBullet2"/>
            </w:pPr>
            <w:r w:rsidRPr="00D322B7">
              <w:t>conflict resolution</w:t>
            </w:r>
          </w:p>
          <w:p w:rsidR="00000000" w:rsidP="00D322B7">
            <w:pPr>
              <w:pStyle w:val="ListBullet2"/>
              <w:rPr>
                <w:lang w:val="en-NZ"/>
              </w:rPr>
            </w:pPr>
            <w:r w:rsidRPr="00D322B7">
              <w:t>mediation</w:t>
            </w:r>
          </w:p>
        </w:tc>
      </w:tr>
      <w:tr w:rsidTr="00643583">
        <w:tblPrEx>
          <w:tblW w:w="9322" w:type="dxa"/>
          <w:tblLayout w:type="fixed"/>
          <w:tblCellMar>
            <w:left w:w="62" w:type="dxa"/>
            <w:right w:w="62" w:type="dxa"/>
          </w:tblCellMar>
          <w:tblLook w:val="0000"/>
        </w:tblPrEx>
        <w:tc>
          <w:tcPr>
            <w:tcW w:w="2660" w:type="dxa"/>
            <w:tcBorders>
              <w:top w:val="nil"/>
              <w:left w:val="nil"/>
              <w:bottom w:val="nil"/>
              <w:right w:val="nil"/>
            </w:tcBorders>
            <w:tcMar>
              <w:top w:w="0" w:type="dxa"/>
              <w:left w:w="62" w:type="dxa"/>
              <w:bottom w:w="0" w:type="dxa"/>
              <w:right w:w="62" w:type="dxa"/>
            </w:tcMar>
          </w:tcPr>
          <w:p w:rsidR="00000000" w:rsidP="00D322B7">
            <w:pPr>
              <w:pStyle w:val="BodyText"/>
              <w:rPr>
                <w:lang w:val="en-NZ"/>
              </w:rPr>
            </w:pPr>
            <w:r w:rsidRPr="00D322B7">
              <w:rPr>
                <w:rStyle w:val="BoldandItalics"/>
              </w:rPr>
              <w:t>Resistance to change</w:t>
            </w:r>
            <w:r w:rsidRPr="00D322B7">
              <w:t xml:space="preserve"> may be:</w:t>
            </w:r>
          </w:p>
        </w:tc>
        <w:tc>
          <w:tcPr>
            <w:tcW w:w="6662" w:type="dxa"/>
            <w:tcBorders>
              <w:top w:val="nil"/>
              <w:left w:val="nil"/>
              <w:bottom w:val="nil"/>
              <w:right w:val="nil"/>
            </w:tcBorders>
            <w:tcMar>
              <w:top w:w="0" w:type="dxa"/>
              <w:left w:w="62" w:type="dxa"/>
              <w:bottom w:w="0" w:type="dxa"/>
              <w:right w:w="62" w:type="dxa"/>
            </w:tcMar>
          </w:tcPr>
          <w:p w:rsidR="00000000" w:rsidRPr="00D322B7" w:rsidP="00D322B7">
            <w:pPr>
              <w:pStyle w:val="ListBullet2"/>
            </w:pPr>
            <w:r w:rsidRPr="00D322B7">
              <w:t>low to moderate, with independent judgment used to make decisions</w:t>
            </w:r>
          </w:p>
        </w:tc>
      </w:tr>
    </w:tbl>
    <w:p w:rsidR="00643583" w:rsidP="00D322B7">
      <w:pPr>
        <w:pStyle w:val="BodyText"/>
      </w:pPr>
    </w:p>
    <w:p w:rsidR="00643583" w:rsidP="00D322B7">
      <w:pPr>
        <w:pStyle w:val="BodyText"/>
      </w:pPr>
    </w:p>
    <w:p w:rsidR="00000000" w:rsidRPr="00D322B7" w:rsidP="00D322B7">
      <w:pPr>
        <w:pStyle w:val="Heading1"/>
      </w:pPr>
      <w:bookmarkStart w:id="12" w:name="O_499439"/>
      <w:bookmarkEnd w:id="12"/>
      <w:r w:rsidRPr="00D322B7">
        <w:t>Unit Sector(s)</w:t>
      </w:r>
    </w:p>
    <w:p w:rsidR="00000000" w:rsidRPr="00D322B7" w:rsidP="00D322B7">
      <w:pPr>
        <w:pStyle w:val="BodyText"/>
      </w:pPr>
      <w:r w:rsidRPr="00D322B7">
        <w:t>Not applicable.</w:t>
      </w:r>
    </w:p>
    <w:p w:rsidR="00000000" w:rsidRPr="00D322B7" w:rsidP="00D322B7">
      <w:pPr>
        <w:pStyle w:val="AllowPageBreak"/>
      </w:pPr>
    </w:p>
    <w:p w:rsidR="00000000" w:rsidRPr="00D322B7" w:rsidP="00D322B7">
      <w:pPr>
        <w:pStyle w:val="Heading1"/>
      </w:pPr>
      <w:bookmarkStart w:id="13" w:name="O_499448"/>
      <w:bookmarkEnd w:id="13"/>
      <w:r w:rsidRPr="00D322B7">
        <w:t>Competency field</w:t>
      </w:r>
    </w:p>
    <w:p w:rsidR="00000000" w:rsidRPr="00D322B7" w:rsidP="00D322B7">
      <w:pPr>
        <w:pStyle w:val="BodyText"/>
      </w:pPr>
      <w:r w:rsidRPr="00D322B7">
        <w:t>Government Science &amp; Technology.</w:t>
      </w:r>
    </w:p>
    <w:p w:rsidR="00000000" w:rsidRPr="00D322B7" w:rsidP="00D322B7"/>
    <w:sectPr w:rsidSect="00D322B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2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43583" w:rsidP="0064358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2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83" w:rsidP="00D322B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643583" w:rsidP="00D322B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43583" w:rsidP="00D322B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2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2B7" w:rsidRPr="00643583" w:rsidP="0064358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22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3583" w:rsidRPr="002D2AF8" w:rsidP="00D322B7">
    <w:pPr>
      <w:pStyle w:val="Header"/>
      <w:framePr w:wrap="around"/>
    </w:pPr>
    <w:r>
      <w:fldChar w:fldCharType="begin"/>
    </w:r>
    <w:r>
      <w:instrText xml:space="preserve"> TITLE   \* MERGEFORMAT </w:instrText>
    </w:r>
    <w:r>
      <w:fldChar w:fldCharType="separate"/>
    </w:r>
    <w:r>
      <w:t>PSPSCI402A Promote innovation and change through extension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643583" w:rsidP="00D322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0635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FE"/>
    <w:multiLevelType w:val="singleLevel"/>
    <w:tmpl w:val="9C90EA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5"/>
  </w:num>
  <w:num w:numId="3">
    <w:abstractNumId w:val="4"/>
  </w:num>
  <w:num w:numId="4">
    <w:abstractNumId w:val="3"/>
  </w:num>
  <w:num w:numId="5">
    <w:abstractNumId w:val="2"/>
  </w:num>
  <w:num w:numId="6">
    <w:abstractNumId w:val="1"/>
  </w:num>
  <w:num w:numId="7">
    <w:abstractNumId w:val="0"/>
  </w:num>
  <w:num w:numId="8">
    <w:abstractNumId w:val="13"/>
  </w:num>
  <w:num w:numId="9">
    <w:abstractNumId w:val="10"/>
  </w:num>
  <w:num w:numId="10">
    <w:abstractNumId w:val="14"/>
  </w:num>
  <w:num w:numId="11">
    <w:abstractNumId w:val="12"/>
  </w:num>
  <w:num w:numId="12">
    <w:abstractNumId w:val="8"/>
  </w:num>
  <w:num w:numId="13">
    <w:abstractNumId w:val="11"/>
  </w:num>
  <w:num w:numId="14">
    <w:abstractNumId w:val="9"/>
  </w:num>
  <w:num w:numId="15">
    <w:abstractNumId w:val="5"/>
  </w:num>
  <w:num w:numId="16">
    <w:abstractNumId w:val="7"/>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22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22B7"/>
    <w:pPr>
      <w:spacing w:before="360" w:after="60"/>
      <w:outlineLvl w:val="0"/>
    </w:pPr>
    <w:rPr>
      <w:sz w:val="32"/>
    </w:rPr>
  </w:style>
  <w:style w:type="paragraph" w:styleId="Heading2">
    <w:name w:val="heading 2"/>
    <w:basedOn w:val="HeadingBase"/>
    <w:next w:val="BodyText"/>
    <w:link w:val="Heading2Char"/>
    <w:qFormat/>
    <w:rsid w:val="00D322B7"/>
    <w:pPr>
      <w:keepLines/>
      <w:spacing w:before="240" w:after="120"/>
      <w:outlineLvl w:val="1"/>
    </w:pPr>
    <w:rPr>
      <w:sz w:val="28"/>
      <w:szCs w:val="40"/>
    </w:rPr>
  </w:style>
  <w:style w:type="paragraph" w:styleId="Heading3">
    <w:name w:val="heading 3"/>
    <w:basedOn w:val="HeadingBase"/>
    <w:next w:val="BodyText"/>
    <w:link w:val="Heading3Char"/>
    <w:qFormat/>
    <w:rsid w:val="00D322B7"/>
    <w:pPr>
      <w:spacing w:before="180" w:after="120"/>
      <w:outlineLvl w:val="2"/>
    </w:pPr>
    <w:rPr>
      <w:spacing w:val="-10"/>
      <w:kern w:val="32"/>
    </w:rPr>
  </w:style>
  <w:style w:type="paragraph" w:styleId="Heading4">
    <w:name w:val="heading 4"/>
    <w:basedOn w:val="HeadingBase"/>
    <w:next w:val="BodyText"/>
    <w:link w:val="Heading4Char"/>
    <w:qFormat/>
    <w:rsid w:val="00D322B7"/>
    <w:pPr>
      <w:spacing w:before="160" w:after="120"/>
      <w:outlineLvl w:val="3"/>
    </w:pPr>
    <w:rPr>
      <w:sz w:val="22"/>
    </w:rPr>
  </w:style>
  <w:style w:type="paragraph" w:styleId="Heading5">
    <w:name w:val="heading 5"/>
    <w:basedOn w:val="HeadingBase"/>
    <w:next w:val="Normal"/>
    <w:link w:val="Heading5Char"/>
    <w:qFormat/>
    <w:rsid w:val="00D322B7"/>
    <w:pPr>
      <w:spacing w:before="80"/>
      <w:outlineLvl w:val="4"/>
    </w:pPr>
    <w:rPr>
      <w:color w:val="918585"/>
      <w:sz w:val="20"/>
    </w:rPr>
  </w:style>
  <w:style w:type="paragraph" w:styleId="Heading6">
    <w:name w:val="heading 6"/>
    <w:basedOn w:val="HeadingBase"/>
    <w:next w:val="Normal"/>
    <w:link w:val="Heading6Char"/>
    <w:qFormat/>
    <w:rsid w:val="00D322B7"/>
    <w:pPr>
      <w:spacing w:before="60"/>
      <w:outlineLvl w:val="5"/>
    </w:pPr>
    <w:rPr>
      <w:color w:val="918585"/>
      <w:sz w:val="20"/>
    </w:rPr>
  </w:style>
  <w:style w:type="paragraph" w:styleId="Heading7">
    <w:name w:val="heading 7"/>
    <w:basedOn w:val="Normal"/>
    <w:next w:val="Normal"/>
    <w:link w:val="Heading7Char"/>
    <w:qFormat/>
    <w:rsid w:val="00D322B7"/>
    <w:pPr>
      <w:ind w:left="720"/>
      <w:outlineLvl w:val="6"/>
    </w:pPr>
    <w:rPr>
      <w:i/>
    </w:rPr>
  </w:style>
  <w:style w:type="paragraph" w:styleId="Heading8">
    <w:name w:val="heading 8"/>
    <w:basedOn w:val="Normal"/>
    <w:next w:val="Normal"/>
    <w:link w:val="Heading8Char"/>
    <w:qFormat/>
    <w:rsid w:val="00D322B7"/>
    <w:pPr>
      <w:ind w:left="720"/>
      <w:outlineLvl w:val="7"/>
    </w:pPr>
    <w:rPr>
      <w:i/>
    </w:rPr>
  </w:style>
  <w:style w:type="paragraph" w:styleId="Heading9">
    <w:name w:val="heading 9"/>
    <w:basedOn w:val="Normal"/>
    <w:next w:val="Normal"/>
    <w:link w:val="Heading9Char"/>
    <w:qFormat/>
    <w:rsid w:val="00D322B7"/>
    <w:pPr>
      <w:ind w:left="720"/>
      <w:outlineLvl w:val="8"/>
    </w:pPr>
    <w:rPr>
      <w:i/>
    </w:rPr>
  </w:style>
  <w:style w:type="character" w:default="1" w:styleId="DefaultParagraphFont">
    <w:name w:val="Default Paragraph Font"/>
    <w:uiPriority w:val="1"/>
    <w:unhideWhenUsed/>
    <w:rsid w:val="00D322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22B7"/>
  </w:style>
  <w:style w:type="character" w:customStyle="1" w:styleId="Heading1Char">
    <w:name w:val="Heading 1 Char"/>
    <w:basedOn w:val="DefaultParagraphFont"/>
    <w:link w:val="Heading1"/>
    <w:rsid w:val="00D322B7"/>
    <w:rPr>
      <w:rFonts w:ascii="Times New Roman" w:eastAsia="Times New Roman" w:hAnsi="Times New Roman" w:cs="Times New Roman"/>
      <w:b/>
      <w:sz w:val="32"/>
      <w:szCs w:val="20"/>
      <w:lang w:eastAsia="en-US"/>
    </w:rPr>
  </w:style>
  <w:style w:type="paragraph" w:styleId="BodyText">
    <w:name w:val="Body Text"/>
    <w:basedOn w:val="Normal"/>
    <w:link w:val="BodyTextChar"/>
    <w:rsid w:val="00D322B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322B7"/>
    <w:rPr>
      <w:rFonts w:ascii="Times New Roman" w:eastAsia="Times New Roman" w:hAnsi="Times New Roman" w:cs="Times New Roman"/>
      <w:sz w:val="24"/>
      <w:lang w:eastAsia="en-US"/>
    </w:rPr>
  </w:style>
  <w:style w:type="paragraph" w:styleId="Footer">
    <w:name w:val="footer"/>
    <w:basedOn w:val="Normal"/>
    <w:link w:val="FooterChar"/>
    <w:rsid w:val="00D322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22B7"/>
    <w:rPr>
      <w:rFonts w:ascii="Times New Roman" w:eastAsia="Times New Roman" w:hAnsi="Times New Roman" w:cs="Times New Roman"/>
      <w:sz w:val="16"/>
      <w:lang w:eastAsia="en-US"/>
    </w:rPr>
  </w:style>
  <w:style w:type="paragraph" w:styleId="List">
    <w:name w:val="List"/>
    <w:basedOn w:val="BodyText"/>
    <w:next w:val="BodyText"/>
    <w:rsid w:val="00D322B7"/>
    <w:pPr>
      <w:tabs>
        <w:tab w:val="left" w:pos="340"/>
      </w:tabs>
      <w:spacing w:before="60" w:after="60"/>
      <w:ind w:left="340" w:hanging="340"/>
    </w:pPr>
  </w:style>
  <w:style w:type="character" w:customStyle="1" w:styleId="SpecialBold">
    <w:name w:val="Special Bold"/>
    <w:basedOn w:val="DefaultParagraphFont"/>
    <w:rsid w:val="00D322B7"/>
    <w:rPr>
      <w:b/>
      <w:spacing w:val="0"/>
    </w:rPr>
  </w:style>
  <w:style w:type="paragraph" w:styleId="ListBullet2">
    <w:name w:val="List Bullet 2"/>
    <w:basedOn w:val="List2"/>
    <w:rsid w:val="00D322B7"/>
    <w:pPr>
      <w:numPr>
        <w:numId w:val="14"/>
      </w:numPr>
      <w:tabs>
        <w:tab w:val="clear" w:pos="680"/>
      </w:tabs>
    </w:pPr>
  </w:style>
  <w:style w:type="character" w:styleId="Emphasis">
    <w:name w:val="Emphasis"/>
    <w:basedOn w:val="DefaultParagraphFont"/>
    <w:qFormat/>
    <w:rsid w:val="00D322B7"/>
    <w:rPr>
      <w:i/>
    </w:rPr>
  </w:style>
  <w:style w:type="paragraph" w:customStyle="1" w:styleId="SuperHeading">
    <w:name w:val="SuperHeading"/>
    <w:basedOn w:val="Normal"/>
    <w:rsid w:val="00D322B7"/>
    <w:pPr>
      <w:spacing w:before="240" w:after="120"/>
      <w:outlineLvl w:val="0"/>
    </w:pPr>
    <w:rPr>
      <w:rFonts w:ascii="Times New Roman" w:hAnsi="Times New Roman"/>
      <w:b/>
      <w:sz w:val="28"/>
    </w:rPr>
  </w:style>
  <w:style w:type="paragraph" w:customStyle="1" w:styleId="AllowPageBreak">
    <w:name w:val="AllowPageBreak"/>
    <w:rsid w:val="00D322B7"/>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322B7"/>
    <w:pPr>
      <w:numPr>
        <w:numId w:val="2"/>
      </w:numPr>
      <w:tabs>
        <w:tab w:val="clear" w:pos="1021"/>
      </w:tabs>
      <w:ind w:left="1037" w:hanging="357"/>
    </w:pPr>
  </w:style>
  <w:style w:type="character" w:customStyle="1" w:styleId="BoldandItalics">
    <w:name w:val="Bold and Italics"/>
    <w:qFormat/>
    <w:rsid w:val="00D322B7"/>
    <w:rPr>
      <w:b/>
      <w:i/>
      <w:u w:val="none"/>
    </w:rPr>
  </w:style>
  <w:style w:type="character" w:customStyle="1" w:styleId="Heading2Char">
    <w:name w:val="Heading 2 Char"/>
    <w:basedOn w:val="DefaultParagraphFont"/>
    <w:link w:val="Heading2"/>
    <w:rsid w:val="00D322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22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322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322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22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22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22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22B7"/>
    <w:rPr>
      <w:rFonts w:ascii="Courier New" w:eastAsia="Times New Roman" w:hAnsi="Courier New" w:cs="Times New Roman"/>
      <w:i/>
      <w:szCs w:val="20"/>
      <w:lang w:eastAsia="en-US"/>
    </w:rPr>
  </w:style>
  <w:style w:type="paragraph" w:customStyle="1" w:styleId="HeadingBase">
    <w:name w:val="Heading Base"/>
    <w:rsid w:val="00D322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22B7"/>
    <w:pPr>
      <w:tabs>
        <w:tab w:val="right" w:leader="dot" w:pos="9072"/>
      </w:tabs>
      <w:ind w:left="567"/>
    </w:pPr>
    <w:rPr>
      <w:szCs w:val="22"/>
    </w:rPr>
  </w:style>
  <w:style w:type="paragraph" w:customStyle="1" w:styleId="TOCBase">
    <w:name w:val="TOC Base"/>
    <w:rsid w:val="00D322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22B7"/>
    <w:pPr>
      <w:tabs>
        <w:tab w:val="right" w:leader="dot" w:pos="9072"/>
      </w:tabs>
      <w:spacing w:before="40" w:after="40"/>
      <w:ind w:left="284"/>
    </w:pPr>
    <w:rPr>
      <w:rFonts w:ascii="Times New Roman" w:hAnsi="Times New Roman"/>
    </w:rPr>
  </w:style>
  <w:style w:type="paragraph" w:styleId="TOC1">
    <w:name w:val="toc 1"/>
    <w:basedOn w:val="TOCBase"/>
    <w:next w:val="Normal"/>
    <w:rsid w:val="00D322B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322B7"/>
    <w:pPr>
      <w:spacing w:before="5040"/>
      <w:jc w:val="center"/>
    </w:pPr>
    <w:rPr>
      <w:sz w:val="48"/>
      <w:szCs w:val="72"/>
      <w:lang w:val="en-US"/>
    </w:rPr>
  </w:style>
  <w:style w:type="character" w:customStyle="1" w:styleId="TitleChar">
    <w:name w:val="Title Char"/>
    <w:basedOn w:val="DefaultParagraphFont"/>
    <w:link w:val="Title"/>
    <w:rsid w:val="00D322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22B7"/>
    <w:pPr>
      <w:tabs>
        <w:tab w:val="left" w:pos="3600"/>
        <w:tab w:val="left" w:pos="3958"/>
      </w:tabs>
    </w:pPr>
  </w:style>
  <w:style w:type="paragraph" w:styleId="ListBullet">
    <w:name w:val="List Bullet"/>
    <w:basedOn w:val="List"/>
    <w:rsid w:val="00D322B7"/>
    <w:pPr>
      <w:numPr>
        <w:numId w:val="13"/>
      </w:numPr>
      <w:tabs>
        <w:tab w:val="clear" w:pos="340"/>
      </w:tabs>
      <w:spacing w:before="40" w:after="40"/>
    </w:pPr>
  </w:style>
  <w:style w:type="paragraph" w:customStyle="1" w:styleId="Note">
    <w:name w:val="Note"/>
    <w:basedOn w:val="BodyText"/>
    <w:rsid w:val="00D322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22B7"/>
    <w:pPr>
      <w:framePr w:wrap="auto" w:hAnchor="text" w:y="6049"/>
    </w:pPr>
    <w:rPr>
      <w:color w:val="000000"/>
      <w:sz w:val="40"/>
    </w:rPr>
  </w:style>
  <w:style w:type="paragraph" w:customStyle="1" w:styleId="TOCTitle">
    <w:name w:val="TOCTitle"/>
    <w:basedOn w:val="Heading1"/>
    <w:rsid w:val="00D322B7"/>
    <w:pPr>
      <w:spacing w:after="240"/>
      <w:jc w:val="center"/>
      <w:outlineLvl w:val="9"/>
    </w:pPr>
    <w:rPr>
      <w:caps/>
    </w:rPr>
  </w:style>
  <w:style w:type="paragraph" w:customStyle="1" w:styleId="Version">
    <w:name w:val="Version"/>
    <w:rsid w:val="00D322B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22B7"/>
    <w:pPr>
      <w:keepNext w:val="0"/>
      <w:tabs>
        <w:tab w:val="right" w:pos="4176"/>
      </w:tabs>
      <w:ind w:left="198" w:hanging="198"/>
    </w:pPr>
    <w:rPr>
      <w:rFonts w:ascii="Garamond" w:hAnsi="Garamond"/>
    </w:rPr>
  </w:style>
  <w:style w:type="paragraph" w:styleId="IndexHeading">
    <w:name w:val="index heading"/>
    <w:basedOn w:val="Normal"/>
    <w:next w:val="Index1"/>
    <w:semiHidden/>
    <w:rsid w:val="00D322B7"/>
    <w:pPr>
      <w:spacing w:before="120" w:after="120"/>
    </w:pPr>
    <w:rPr>
      <w:rFonts w:ascii="Arial" w:hAnsi="Arial"/>
      <w:b/>
      <w:color w:val="918585"/>
      <w:sz w:val="24"/>
    </w:rPr>
  </w:style>
  <w:style w:type="paragraph" w:styleId="Header">
    <w:name w:val="header"/>
    <w:basedOn w:val="Normal"/>
    <w:link w:val="HeaderChar"/>
    <w:rsid w:val="00D322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22B7"/>
    <w:rPr>
      <w:rFonts w:ascii="Times New Roman" w:eastAsia="Times New Roman" w:hAnsi="Times New Roman" w:cs="Times New Roman"/>
      <w:sz w:val="16"/>
      <w:szCs w:val="20"/>
      <w:lang w:val="en-GB" w:eastAsia="en-US"/>
    </w:rPr>
  </w:style>
  <w:style w:type="paragraph" w:customStyle="1" w:styleId="Chapter">
    <w:name w:val="Chapter"/>
    <w:basedOn w:val="Normal"/>
    <w:rsid w:val="00D322B7"/>
    <w:pPr>
      <w:spacing w:before="240"/>
    </w:pPr>
    <w:rPr>
      <w:rFonts w:ascii="Times New Roman" w:hAnsi="Times New Roman"/>
      <w:smallCaps/>
      <w:spacing w:val="80"/>
      <w:sz w:val="28"/>
    </w:rPr>
  </w:style>
  <w:style w:type="paragraph" w:customStyle="1" w:styleId="InChapter">
    <w:name w:val="InChapter"/>
    <w:basedOn w:val="Heading3"/>
    <w:rsid w:val="00D322B7"/>
    <w:pPr>
      <w:spacing w:after="240"/>
      <w:outlineLvl w:val="9"/>
    </w:pPr>
    <w:rPr>
      <w:noProof/>
    </w:rPr>
  </w:style>
  <w:style w:type="paragraph" w:styleId="Index2">
    <w:name w:val="index 2"/>
    <w:basedOn w:val="Normal"/>
    <w:next w:val="Normal"/>
    <w:semiHidden/>
    <w:rsid w:val="00D322B7"/>
    <w:pPr>
      <w:tabs>
        <w:tab w:val="right" w:pos="4176"/>
      </w:tabs>
      <w:ind w:left="568" w:hanging="284"/>
    </w:pPr>
    <w:rPr>
      <w:rFonts w:ascii="Garamond" w:hAnsi="Garamond"/>
    </w:rPr>
  </w:style>
  <w:style w:type="paragraph" w:customStyle="1" w:styleId="Byline">
    <w:name w:val="Byline"/>
    <w:rsid w:val="00D322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22B7"/>
    <w:pPr>
      <w:tabs>
        <w:tab w:val="clear" w:pos="3600"/>
        <w:tab w:val="clear" w:pos="3958"/>
      </w:tabs>
      <w:jc w:val="right"/>
    </w:pPr>
  </w:style>
  <w:style w:type="paragraph" w:styleId="Caption">
    <w:name w:val="caption"/>
    <w:basedOn w:val="BodyText"/>
    <w:next w:val="Normal"/>
    <w:qFormat/>
    <w:rsid w:val="00D322B7"/>
    <w:pPr>
      <w:framePr w:w="2268" w:hSpace="181" w:vSpace="181" w:wrap="around" w:vAnchor="text" w:hAnchor="page" w:x="1135" w:y="285" w:anchorLock="1"/>
    </w:pPr>
    <w:rPr>
      <w:i/>
    </w:rPr>
  </w:style>
  <w:style w:type="paragraph" w:customStyle="1" w:styleId="MiniTOCTitle">
    <w:name w:val="MiniTOCTitle"/>
    <w:basedOn w:val="Heading4"/>
    <w:rsid w:val="00D322B7"/>
    <w:pPr>
      <w:spacing w:before="240"/>
      <w:outlineLvl w:val="9"/>
    </w:pPr>
    <w:rPr>
      <w:noProof/>
      <w:sz w:val="24"/>
    </w:rPr>
  </w:style>
  <w:style w:type="paragraph" w:customStyle="1" w:styleId="MiniTOCItem">
    <w:name w:val="MiniTOCItem"/>
    <w:basedOn w:val="ListBullet"/>
    <w:rsid w:val="00D322B7"/>
    <w:pPr>
      <w:numPr>
        <w:numId w:val="0"/>
      </w:numPr>
      <w:tabs>
        <w:tab w:val="right" w:leader="dot" w:pos="6521"/>
      </w:tabs>
      <w:spacing w:before="0" w:after="0"/>
    </w:pPr>
  </w:style>
  <w:style w:type="paragraph" w:customStyle="1" w:styleId="TOFTitle">
    <w:name w:val="TOFTitle"/>
    <w:basedOn w:val="TOCTitle"/>
    <w:rsid w:val="00D322B7"/>
  </w:style>
  <w:style w:type="paragraph" w:styleId="TableofFigures">
    <w:name w:val="table of figures"/>
    <w:basedOn w:val="Normal"/>
    <w:next w:val="Normal"/>
    <w:semiHidden/>
    <w:rsid w:val="00D322B7"/>
    <w:pPr>
      <w:tabs>
        <w:tab w:val="right" w:leader="dot" w:pos="9072"/>
      </w:tabs>
      <w:ind w:left="970" w:hanging="403"/>
    </w:pPr>
    <w:rPr>
      <w:rFonts w:ascii="Times New Roman" w:hAnsi="Times New Roman"/>
      <w:b/>
    </w:rPr>
  </w:style>
  <w:style w:type="paragraph" w:styleId="ListNumber">
    <w:name w:val="List Number"/>
    <w:basedOn w:val="List"/>
    <w:rsid w:val="00D322B7"/>
    <w:pPr>
      <w:numPr>
        <w:numId w:val="11"/>
      </w:numPr>
    </w:pPr>
  </w:style>
  <w:style w:type="character" w:customStyle="1" w:styleId="WingdingSymbols">
    <w:name w:val="Wingding Symbols"/>
    <w:rsid w:val="00D322B7"/>
    <w:rPr>
      <w:rFonts w:ascii="Wingdings" w:hAnsi="Wingdings"/>
    </w:rPr>
  </w:style>
  <w:style w:type="paragraph" w:customStyle="1" w:styleId="TableHeading">
    <w:name w:val="Table Heading"/>
    <w:basedOn w:val="HeadingBase"/>
    <w:rsid w:val="00D322B7"/>
    <w:pPr>
      <w:keepLines/>
      <w:pBdr>
        <w:bottom w:val="single" w:sz="6" w:space="1" w:color="918585"/>
      </w:pBdr>
      <w:spacing w:before="240"/>
    </w:pPr>
  </w:style>
  <w:style w:type="character" w:customStyle="1" w:styleId="HotSpot">
    <w:name w:val="HotSpot"/>
    <w:rsid w:val="00D322B7"/>
    <w:rPr>
      <w:color w:val="0033CC"/>
      <w:u w:val="none"/>
    </w:rPr>
  </w:style>
  <w:style w:type="paragraph" w:customStyle="1" w:styleId="BodyTextRight">
    <w:name w:val="Body Text Right"/>
    <w:basedOn w:val="BodyText"/>
    <w:rsid w:val="00D322B7"/>
    <w:pPr>
      <w:spacing w:before="0" w:after="0"/>
      <w:jc w:val="right"/>
    </w:pPr>
  </w:style>
  <w:style w:type="paragraph" w:styleId="Index3">
    <w:name w:val="index 3"/>
    <w:basedOn w:val="ListNumber2"/>
    <w:next w:val="Normal"/>
    <w:semiHidden/>
    <w:rsid w:val="00D322B7"/>
    <w:pPr>
      <w:numPr>
        <w:numId w:val="0"/>
      </w:numPr>
      <w:tabs>
        <w:tab w:val="right" w:leader="dot" w:pos="4176"/>
      </w:tabs>
    </w:pPr>
  </w:style>
  <w:style w:type="paragraph" w:styleId="ListNumber2">
    <w:name w:val="List Number 2"/>
    <w:basedOn w:val="List2"/>
    <w:rsid w:val="00D322B7"/>
    <w:pPr>
      <w:numPr>
        <w:numId w:val="10"/>
      </w:numPr>
      <w:tabs>
        <w:tab w:val="clear" w:pos="1060"/>
      </w:tabs>
    </w:pPr>
  </w:style>
  <w:style w:type="paragraph" w:customStyle="1" w:styleId="MarginNote">
    <w:name w:val="Margin Note"/>
    <w:basedOn w:val="BodyText"/>
    <w:rsid w:val="00D322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22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22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22B7"/>
    <w:rPr>
      <w:sz w:val="32"/>
    </w:rPr>
  </w:style>
  <w:style w:type="paragraph" w:customStyle="1" w:styleId="HeadingProcedure">
    <w:name w:val="Heading Procedure"/>
    <w:basedOn w:val="HeadingBase"/>
    <w:next w:val="Normal"/>
    <w:rsid w:val="00D322B7"/>
    <w:pPr>
      <w:tabs>
        <w:tab w:val="left" w:pos="0"/>
      </w:tabs>
      <w:spacing w:before="120" w:after="60"/>
    </w:pPr>
    <w:rPr>
      <w:i/>
      <w:color w:val="918585"/>
      <w:sz w:val="22"/>
    </w:rPr>
  </w:style>
  <w:style w:type="paragraph" w:customStyle="1" w:styleId="TableBodyText">
    <w:name w:val="Table Body Text"/>
    <w:basedOn w:val="BodyText"/>
    <w:rsid w:val="00D322B7"/>
    <w:pPr>
      <w:spacing w:before="60" w:after="60"/>
    </w:pPr>
  </w:style>
  <w:style w:type="paragraph" w:styleId="ListContinue">
    <w:name w:val="List Continue"/>
    <w:basedOn w:val="List"/>
    <w:rsid w:val="00D322B7"/>
    <w:pPr>
      <w:ind w:firstLine="0"/>
    </w:pPr>
  </w:style>
  <w:style w:type="paragraph" w:customStyle="1" w:styleId="ListNote">
    <w:name w:val="List Note"/>
    <w:basedOn w:val="List"/>
    <w:rsid w:val="00D322B7"/>
    <w:pPr>
      <w:pBdr>
        <w:top w:val="single" w:sz="6" w:space="2" w:color="918585"/>
        <w:bottom w:val="single" w:sz="6" w:space="2" w:color="918585"/>
      </w:pBdr>
      <w:tabs>
        <w:tab w:val="left" w:pos="1021"/>
      </w:tabs>
      <w:ind w:firstLine="0"/>
    </w:pPr>
  </w:style>
  <w:style w:type="paragraph" w:customStyle="1" w:styleId="Warning">
    <w:name w:val="Warning"/>
    <w:basedOn w:val="BodyText"/>
    <w:rsid w:val="00D322B7"/>
    <w:pPr>
      <w:shd w:val="clear" w:color="auto" w:fill="D9D9D9"/>
      <w:tabs>
        <w:tab w:val="left" w:pos="992"/>
      </w:tabs>
      <w:ind w:left="119" w:right="119"/>
    </w:pPr>
    <w:rPr>
      <w:sz w:val="20"/>
    </w:rPr>
  </w:style>
  <w:style w:type="paragraph" w:customStyle="1" w:styleId="MarginIcons">
    <w:name w:val="Margin Icons"/>
    <w:basedOn w:val="BodyText"/>
    <w:rsid w:val="00D322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22B7"/>
    <w:rPr>
      <w:rFonts w:ascii="Courier New" w:hAnsi="Courier New"/>
    </w:rPr>
  </w:style>
  <w:style w:type="paragraph" w:customStyle="1" w:styleId="NoteBullet">
    <w:name w:val="Note Bullet"/>
    <w:basedOn w:val="Note"/>
    <w:rsid w:val="00D322B7"/>
    <w:pPr>
      <w:tabs>
        <w:tab w:val="clear" w:pos="680"/>
      </w:tabs>
      <w:spacing w:before="60" w:after="60"/>
    </w:pPr>
  </w:style>
  <w:style w:type="paragraph" w:customStyle="1" w:styleId="SubHeading2">
    <w:name w:val="SubHeading2"/>
    <w:basedOn w:val="HeadingBase"/>
    <w:rsid w:val="00D322B7"/>
    <w:pPr>
      <w:spacing w:before="240" w:after="60"/>
    </w:pPr>
    <w:rPr>
      <w:sz w:val="20"/>
    </w:rPr>
  </w:style>
  <w:style w:type="paragraph" w:customStyle="1" w:styleId="SubHeading1">
    <w:name w:val="SubHeading1"/>
    <w:basedOn w:val="HeadingBase"/>
    <w:rsid w:val="00D322B7"/>
    <w:pPr>
      <w:spacing w:before="240" w:after="60"/>
    </w:pPr>
    <w:rPr>
      <w:color w:val="918585"/>
      <w:sz w:val="22"/>
    </w:rPr>
  </w:style>
  <w:style w:type="paragraph" w:customStyle="1" w:styleId="SideHeading">
    <w:name w:val="Side Heading"/>
    <w:basedOn w:val="HeadingBase"/>
    <w:rsid w:val="00D322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22B7"/>
    <w:pPr>
      <w:numPr>
        <w:numId w:val="12"/>
      </w:numPr>
    </w:pPr>
  </w:style>
  <w:style w:type="paragraph" w:styleId="PlainText">
    <w:name w:val="Plain Text"/>
    <w:basedOn w:val="Normal"/>
    <w:link w:val="PlainTextChar"/>
    <w:rsid w:val="00D322B7"/>
    <w:rPr>
      <w:sz w:val="20"/>
    </w:rPr>
  </w:style>
  <w:style w:type="character" w:customStyle="1" w:styleId="PlainTextChar">
    <w:name w:val="Plain Text Char"/>
    <w:basedOn w:val="DefaultParagraphFont"/>
    <w:link w:val="PlainText"/>
    <w:rsid w:val="00D322B7"/>
    <w:rPr>
      <w:rFonts w:ascii="Courier New" w:eastAsia="Times New Roman" w:hAnsi="Courier New" w:cs="Times New Roman"/>
      <w:sz w:val="20"/>
      <w:szCs w:val="20"/>
      <w:lang w:eastAsia="en-US"/>
    </w:rPr>
  </w:style>
  <w:style w:type="character" w:customStyle="1" w:styleId="MenuOption">
    <w:name w:val="Menu Option"/>
    <w:basedOn w:val="DefaultParagraphFont"/>
    <w:rsid w:val="00D322B7"/>
    <w:rPr>
      <w:b/>
      <w:smallCaps/>
    </w:rPr>
  </w:style>
  <w:style w:type="paragraph" w:customStyle="1" w:styleId="TableListNumber">
    <w:name w:val="Table List Number"/>
    <w:basedOn w:val="ListNumber"/>
    <w:rsid w:val="00D322B7"/>
    <w:pPr>
      <w:numPr>
        <w:numId w:val="0"/>
      </w:numPr>
    </w:pPr>
  </w:style>
  <w:style w:type="paragraph" w:styleId="TOC4">
    <w:name w:val="toc 4"/>
    <w:basedOn w:val="TOCBase"/>
    <w:next w:val="Normal"/>
    <w:semiHidden/>
    <w:rsid w:val="00D322B7"/>
    <w:pPr>
      <w:tabs>
        <w:tab w:val="right" w:leader="dot" w:pos="9071"/>
      </w:tabs>
      <w:ind w:left="1701"/>
    </w:pPr>
  </w:style>
  <w:style w:type="paragraph" w:customStyle="1" w:styleId="ListAlpha">
    <w:name w:val="List Alpha"/>
    <w:basedOn w:val="List"/>
    <w:rsid w:val="00D322B7"/>
    <w:pPr>
      <w:numPr>
        <w:numId w:val="9"/>
      </w:numPr>
    </w:pPr>
  </w:style>
  <w:style w:type="paragraph" w:customStyle="1" w:styleId="ListAlpha2">
    <w:name w:val="List Alpha 2"/>
    <w:basedOn w:val="List2"/>
    <w:rsid w:val="00D322B7"/>
    <w:pPr>
      <w:numPr>
        <w:numId w:val="8"/>
      </w:numPr>
    </w:pPr>
  </w:style>
  <w:style w:type="paragraph" w:styleId="List2">
    <w:name w:val="List 2"/>
    <w:basedOn w:val="BodyText"/>
    <w:rsid w:val="00D322B7"/>
    <w:pPr>
      <w:tabs>
        <w:tab w:val="left" w:pos="680"/>
      </w:tabs>
      <w:spacing w:before="60" w:after="60"/>
      <w:ind w:left="680" w:hanging="340"/>
    </w:pPr>
  </w:style>
  <w:style w:type="paragraph" w:styleId="List3">
    <w:name w:val="List 3"/>
    <w:basedOn w:val="BodyText"/>
    <w:rsid w:val="00D322B7"/>
    <w:pPr>
      <w:tabs>
        <w:tab w:val="left" w:pos="1021"/>
      </w:tabs>
      <w:spacing w:before="60" w:after="60"/>
      <w:ind w:left="1020" w:hanging="340"/>
    </w:pPr>
  </w:style>
  <w:style w:type="paragraph" w:styleId="List4">
    <w:name w:val="List 4"/>
    <w:basedOn w:val="BodyText"/>
    <w:rsid w:val="00D322B7"/>
    <w:pPr>
      <w:tabs>
        <w:tab w:val="left" w:pos="1361"/>
      </w:tabs>
      <w:spacing w:before="60" w:after="60"/>
      <w:ind w:left="1361" w:hanging="340"/>
    </w:pPr>
  </w:style>
  <w:style w:type="paragraph" w:styleId="List5">
    <w:name w:val="List 5"/>
    <w:basedOn w:val="BodyText"/>
    <w:rsid w:val="00D322B7"/>
    <w:pPr>
      <w:tabs>
        <w:tab w:val="left" w:pos="1701"/>
      </w:tabs>
      <w:spacing w:before="60" w:after="60"/>
      <w:ind w:left="1701" w:hanging="340"/>
    </w:pPr>
  </w:style>
  <w:style w:type="paragraph" w:styleId="ListBullet4">
    <w:name w:val="List Bullet 4"/>
    <w:basedOn w:val="List4"/>
    <w:rsid w:val="00D322B7"/>
    <w:pPr>
      <w:numPr>
        <w:numId w:val="3"/>
      </w:numPr>
    </w:pPr>
  </w:style>
  <w:style w:type="paragraph" w:styleId="ListBullet5">
    <w:name w:val="List Bullet 5"/>
    <w:basedOn w:val="List5"/>
    <w:rsid w:val="00D322B7"/>
    <w:pPr>
      <w:numPr>
        <w:numId w:val="4"/>
      </w:numPr>
    </w:pPr>
  </w:style>
  <w:style w:type="paragraph" w:styleId="ListContinue2">
    <w:name w:val="List Continue 2"/>
    <w:basedOn w:val="List2"/>
    <w:rsid w:val="00D322B7"/>
    <w:pPr>
      <w:ind w:firstLine="0"/>
    </w:pPr>
  </w:style>
  <w:style w:type="paragraph" w:styleId="ListContinue3">
    <w:name w:val="List Continue 3"/>
    <w:basedOn w:val="List3"/>
    <w:rsid w:val="00D322B7"/>
    <w:pPr>
      <w:ind w:left="1021" w:firstLine="0"/>
    </w:pPr>
  </w:style>
  <w:style w:type="paragraph" w:styleId="ListContinue4">
    <w:name w:val="List Continue 4"/>
    <w:basedOn w:val="List4"/>
    <w:rsid w:val="00D322B7"/>
    <w:pPr>
      <w:ind w:firstLine="0"/>
    </w:pPr>
  </w:style>
  <w:style w:type="paragraph" w:styleId="ListContinue5">
    <w:name w:val="List Continue 5"/>
    <w:basedOn w:val="List5"/>
    <w:rsid w:val="00D322B7"/>
    <w:pPr>
      <w:ind w:firstLine="0"/>
    </w:pPr>
  </w:style>
  <w:style w:type="paragraph" w:styleId="ListNumber3">
    <w:name w:val="List Number 3"/>
    <w:basedOn w:val="List3"/>
    <w:rsid w:val="00D322B7"/>
    <w:pPr>
      <w:numPr>
        <w:numId w:val="5"/>
      </w:numPr>
    </w:pPr>
  </w:style>
  <w:style w:type="paragraph" w:styleId="ListNumber4">
    <w:name w:val="List Number 4"/>
    <w:basedOn w:val="List4"/>
    <w:rsid w:val="00D322B7"/>
    <w:pPr>
      <w:numPr>
        <w:numId w:val="6"/>
      </w:numPr>
    </w:pPr>
  </w:style>
  <w:style w:type="paragraph" w:styleId="ListNumber5">
    <w:name w:val="List Number 5"/>
    <w:basedOn w:val="List5"/>
    <w:rsid w:val="00D322B7"/>
    <w:pPr>
      <w:numPr>
        <w:numId w:val="7"/>
      </w:numPr>
    </w:pPr>
  </w:style>
  <w:style w:type="paragraph" w:styleId="BlockText">
    <w:name w:val="Block Text"/>
    <w:basedOn w:val="Normal"/>
    <w:rsid w:val="00D322B7"/>
    <w:pPr>
      <w:spacing w:after="120"/>
      <w:ind w:left="1440" w:right="1440"/>
    </w:pPr>
  </w:style>
  <w:style w:type="character" w:customStyle="1" w:styleId="Subscript">
    <w:name w:val="Subscript"/>
    <w:basedOn w:val="DefaultParagraphFont"/>
    <w:rsid w:val="00D322B7"/>
    <w:rPr>
      <w:sz w:val="16"/>
      <w:vertAlign w:val="subscript"/>
    </w:rPr>
  </w:style>
  <w:style w:type="character" w:customStyle="1" w:styleId="Superscript">
    <w:name w:val="Superscript"/>
    <w:basedOn w:val="DefaultParagraphFont"/>
    <w:rsid w:val="00D322B7"/>
    <w:rPr>
      <w:sz w:val="16"/>
      <w:vertAlign w:val="superscript"/>
    </w:rPr>
  </w:style>
  <w:style w:type="character" w:customStyle="1" w:styleId="Symbols">
    <w:name w:val="Symbols"/>
    <w:basedOn w:val="DefaultParagraphFont"/>
    <w:rsid w:val="00D322B7"/>
    <w:rPr>
      <w:rFonts w:ascii="Symbol" w:hAnsi="Symbol"/>
    </w:rPr>
  </w:style>
  <w:style w:type="character" w:customStyle="1" w:styleId="MenuOptions">
    <w:name w:val="Menu Options"/>
    <w:basedOn w:val="DefaultParagraphFont"/>
    <w:rsid w:val="00D322B7"/>
    <w:rPr>
      <w:rFonts w:ascii="Arial Narrow" w:hAnsi="Arial Narrow"/>
      <w:smallCaps/>
    </w:rPr>
  </w:style>
  <w:style w:type="character" w:customStyle="1" w:styleId="Buttons">
    <w:name w:val="Buttons"/>
    <w:basedOn w:val="DefaultParagraphFont"/>
    <w:rsid w:val="00D322B7"/>
    <w:rPr>
      <w:b/>
    </w:rPr>
  </w:style>
  <w:style w:type="character" w:customStyle="1" w:styleId="Underlined">
    <w:name w:val="Underlined"/>
    <w:basedOn w:val="DefaultParagraphFont"/>
    <w:rsid w:val="00D322B7"/>
    <w:rPr>
      <w:u w:val="single"/>
    </w:rPr>
  </w:style>
  <w:style w:type="paragraph" w:customStyle="1" w:styleId="TableBodyTextRight">
    <w:name w:val="Table Body Text Right"/>
    <w:basedOn w:val="TableBodyText"/>
    <w:rsid w:val="00D322B7"/>
    <w:pPr>
      <w:widowControl w:val="0"/>
      <w:autoSpaceDE w:val="0"/>
      <w:autoSpaceDN w:val="0"/>
      <w:adjustRightInd w:val="0"/>
      <w:jc w:val="right"/>
    </w:pPr>
    <w:rPr>
      <w:rFonts w:cs="Arial"/>
      <w:szCs w:val="18"/>
    </w:rPr>
  </w:style>
  <w:style w:type="paragraph" w:customStyle="1" w:styleId="CopyrightText">
    <w:name w:val="Copyright Text"/>
    <w:basedOn w:val="BodyText"/>
    <w:rsid w:val="00D322B7"/>
    <w:rPr>
      <w:sz w:val="18"/>
    </w:rPr>
  </w:style>
  <w:style w:type="paragraph" w:customStyle="1" w:styleId="BodySmallRight">
    <w:name w:val="Body Small Right"/>
    <w:basedOn w:val="BodyTextRight"/>
    <w:rsid w:val="00D322B7"/>
    <w:rPr>
      <w:sz w:val="18"/>
      <w:szCs w:val="18"/>
    </w:rPr>
  </w:style>
  <w:style w:type="paragraph" w:customStyle="1" w:styleId="MarginEdition">
    <w:name w:val="Margin Edition"/>
    <w:basedOn w:val="MarginNote"/>
    <w:rsid w:val="00D322B7"/>
    <w:pPr>
      <w:spacing w:before="0" w:after="0"/>
    </w:pPr>
    <w:rPr>
      <w:rFonts w:ascii="Times New Roman" w:hAnsi="Times New Roman"/>
      <w:color w:val="999999"/>
    </w:rPr>
  </w:style>
  <w:style w:type="paragraph" w:customStyle="1" w:styleId="Spacer">
    <w:name w:val="Spacer"/>
    <w:basedOn w:val="Normal"/>
    <w:rsid w:val="00D322B7"/>
    <w:rPr>
      <w:sz w:val="2"/>
      <w:szCs w:val="2"/>
    </w:rPr>
  </w:style>
  <w:style w:type="character" w:customStyle="1" w:styleId="Small">
    <w:name w:val="Small"/>
    <w:basedOn w:val="DefaultParagraphFont"/>
    <w:rsid w:val="00D322B7"/>
    <w:rPr>
      <w:sz w:val="16"/>
    </w:rPr>
  </w:style>
  <w:style w:type="paragraph" w:customStyle="1" w:styleId="WideTable">
    <w:name w:val="Wide Table"/>
    <w:basedOn w:val="Normal"/>
    <w:rsid w:val="00D322B7"/>
    <w:pPr>
      <w:ind w:left="-1418"/>
    </w:pPr>
    <w:rPr>
      <w:sz w:val="2"/>
      <w:szCs w:val="2"/>
    </w:rPr>
  </w:style>
  <w:style w:type="character" w:styleId="PageNumber">
    <w:name w:val="page number"/>
    <w:basedOn w:val="DefaultParagraphFont"/>
    <w:rsid w:val="00D322B7"/>
  </w:style>
  <w:style w:type="paragraph" w:styleId="Quote">
    <w:name w:val="Quote"/>
    <w:basedOn w:val="Heading1"/>
    <w:link w:val="QuoteChar"/>
    <w:qFormat/>
    <w:rsid w:val="00D322B7"/>
    <w:rPr>
      <w:b w:val="0"/>
      <w:sz w:val="72"/>
      <w:szCs w:val="72"/>
      <w:lang w:val="en-NZ"/>
    </w:rPr>
  </w:style>
  <w:style w:type="character" w:customStyle="1" w:styleId="QuoteChar">
    <w:name w:val="Quote Char"/>
    <w:basedOn w:val="DefaultParagraphFont"/>
    <w:link w:val="Quote"/>
    <w:rsid w:val="00D322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22B7"/>
    <w:pPr>
      <w:pageBreakBefore/>
    </w:pPr>
  </w:style>
  <w:style w:type="paragraph" w:customStyle="1" w:styleId="Border">
    <w:name w:val="Border"/>
    <w:basedOn w:val="Normal"/>
    <w:qFormat/>
    <w:rsid w:val="00D322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22B7"/>
    <w:rPr>
      <w:b/>
      <w:bCs/>
      <w:i/>
      <w:iCs/>
      <w:color w:val="auto"/>
    </w:rPr>
  </w:style>
  <w:style w:type="paragraph" w:styleId="IntenseQuote">
    <w:name w:val="Intense Quote"/>
    <w:basedOn w:val="Normal"/>
    <w:next w:val="Normal"/>
    <w:link w:val="IntenseQuoteChar"/>
    <w:uiPriority w:val="30"/>
    <w:qFormat/>
    <w:rsid w:val="00D322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22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22B7"/>
    <w:rPr>
      <w:smallCaps/>
      <w:color w:val="auto"/>
      <w:u w:val="single"/>
    </w:rPr>
  </w:style>
  <w:style w:type="character" w:styleId="IntenseReference">
    <w:name w:val="Intense Reference"/>
    <w:basedOn w:val="DefaultParagraphFont"/>
    <w:uiPriority w:val="32"/>
    <w:qFormat/>
    <w:rsid w:val="00D322B7"/>
    <w:rPr>
      <w:b/>
      <w:bCs/>
      <w:smallCaps/>
      <w:color w:val="auto"/>
      <w:spacing w:val="5"/>
      <w:u w:val="single"/>
    </w:rPr>
  </w:style>
  <w:style w:type="paragraph" w:customStyle="1" w:styleId="2ColumnHeading">
    <w:name w:val="2Column Heading"/>
    <w:basedOn w:val="BodyText"/>
    <w:qFormat/>
    <w:rsid w:val="00D322B7"/>
    <w:pPr>
      <w:spacing w:after="60"/>
      <w:ind w:left="-2268"/>
    </w:pPr>
    <w:rPr>
      <w:b/>
    </w:rPr>
  </w:style>
  <w:style w:type="paragraph" w:customStyle="1" w:styleId="Heading1TOC">
    <w:name w:val="Heading1 TOC"/>
    <w:basedOn w:val="Normal"/>
    <w:qFormat/>
    <w:rsid w:val="00D322B7"/>
    <w:pPr>
      <w:spacing w:before="240" w:after="120"/>
    </w:pPr>
    <w:rPr>
      <w:rFonts w:ascii="Times New Roman" w:hAnsi="Times New Roman"/>
      <w:b/>
      <w:sz w:val="32"/>
    </w:rPr>
  </w:style>
  <w:style w:type="paragraph" w:customStyle="1" w:styleId="Heading2TOC">
    <w:name w:val="Heading2 TOC"/>
    <w:basedOn w:val="Normal"/>
    <w:qFormat/>
    <w:rsid w:val="00D322B7"/>
    <w:pPr>
      <w:spacing w:before="240" w:after="60"/>
    </w:pPr>
    <w:rPr>
      <w:rFonts w:ascii="Times New Roman" w:hAnsi="Times New Roman"/>
      <w:b/>
      <w:sz w:val="28"/>
    </w:rPr>
  </w:style>
  <w:style w:type="character" w:customStyle="1" w:styleId="Underline">
    <w:name w:val="Underline"/>
    <w:basedOn w:val="DefaultParagraphFont"/>
    <w:qFormat/>
    <w:rsid w:val="00D322B7"/>
    <w:rPr>
      <w:u w:val="single"/>
    </w:rPr>
  </w:style>
  <w:style w:type="paragraph" w:styleId="BalloonText">
    <w:name w:val="Balloon Text"/>
    <w:basedOn w:val="Normal"/>
    <w:link w:val="BalloonTextChar"/>
    <w:rsid w:val="00D322B7"/>
    <w:rPr>
      <w:rFonts w:ascii="Tahoma" w:hAnsi="Tahoma" w:cs="Tahoma"/>
      <w:sz w:val="16"/>
      <w:szCs w:val="16"/>
    </w:rPr>
  </w:style>
  <w:style w:type="character" w:customStyle="1" w:styleId="BalloonTextChar">
    <w:name w:val="Balloon Text Char"/>
    <w:basedOn w:val="DefaultParagraphFont"/>
    <w:link w:val="BalloonText"/>
    <w:rsid w:val="00D322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22B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322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22B7"/>
    <w:rPr>
      <w:b/>
      <w:color w:val="660033"/>
      <w:spacing w:val="0"/>
    </w:rPr>
  </w:style>
  <w:style w:type="paragraph" w:customStyle="1" w:styleId="Nameditemlist">
    <w:name w:val="Named item list"/>
    <w:basedOn w:val="BodyText"/>
    <w:qFormat/>
    <w:rsid w:val="00D322B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1473</Words>
  <Characters>9637</Characters>
  <Application>Microsoft Office Word</Application>
  <DocSecurity>0</DocSecurity>
  <Lines>324</Lines>
  <Paragraphs>198</Paragraphs>
  <ScaleCrop>false</ScaleCrop>
  <Company>Author-it Software Corporation Ltd.</Company>
  <LinksUpToDate>false</LinksUpToDate>
  <CharactersWithSpaces>11036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PSPSCI402A Promote innovation and change through extension</dc:title>
  <dc:subject>Approved</dc:subject>
  <dc:creator>Government Skills Australia</dc:creator>
  <cp:keywords>Revision Number: 3</cp:keywords>
  <dc:description>Copyright © 1996-2007 Author-it Software Corporation Ltd., all rights reserved.</dc:description>
  <cp:lastModifiedBy>TPCMS</cp:lastModifiedBy>
  <cp:revision>3</cp:revision>
  <dcterms:created xsi:type="dcterms:W3CDTF">2012-11-01T18:11:00Z</dcterms:created>
  <dcterms:modified xsi:type="dcterms:W3CDTF">2012-11-01T18:11:00Z</dcterms:modified>
</cp:coreProperties>
</file>