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9C8" w:rsidP="00F109C8">
      <w:pPr>
        <w:pStyle w:val="Title"/>
      </w:pPr>
      <w:bookmarkStart w:id="0" w:name="_GoBack"/>
      <w:bookmarkEnd w:id="0"/>
      <w:r>
        <w:fldChar w:fldCharType="begin"/>
      </w:r>
      <w:r>
        <w:instrText xml:space="preserve"> TITLE   \* MERGEFORMAT </w:instrText>
      </w:r>
      <w:r>
        <w:fldChar w:fldCharType="separate"/>
      </w:r>
      <w:r>
        <w:t>PSPREV409A Administer levies, fines and other taxes</w:t>
      </w:r>
      <w:r>
        <w:fldChar w:fldCharType="end"/>
      </w:r>
    </w:p>
    <w:p w:rsidR="00F109C8" w:rsidP="00F109C8">
      <w:pPr>
        <w:pStyle w:val="Version"/>
        <w:sectPr w:rsidSect="00194D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194D1F" w:rsidP="00194D1F">
      <w:pPr>
        <w:pStyle w:val="SuperHeading"/>
      </w:pPr>
      <w:r w:rsidRPr="00194D1F">
        <w:t>PSPREV409A Administer levies, fines and other taxes</w:t>
      </w:r>
    </w:p>
    <w:p w:rsidR="00000000" w:rsidRPr="00194D1F" w:rsidP="00194D1F">
      <w:pPr>
        <w:pStyle w:val="SuperHeading"/>
      </w:pPr>
    </w:p>
    <w:p w:rsidR="00000000" w:rsidRPr="00194D1F" w:rsidP="00194D1F">
      <w:pPr>
        <w:pStyle w:val="Heading1"/>
      </w:pPr>
      <w:bookmarkStart w:id="1" w:name="O_499228"/>
      <w:bookmarkEnd w:id="1"/>
      <w:r w:rsidRPr="00194D1F">
        <w:t>Modification History</w:t>
      </w:r>
    </w:p>
    <w:tbl>
      <w:tblPr>
        <w:tblW w:w="0" w:type="auto"/>
        <w:tblLayout w:type="fixed"/>
        <w:tblCellMar>
          <w:left w:w="62" w:type="dxa"/>
          <w:right w:w="62" w:type="dxa"/>
        </w:tblCellMar>
        <w:tblLook w:val="0000"/>
      </w:tblPr>
      <w:tblGrid>
        <w:gridCol w:w="3052"/>
        <w:gridCol w:w="3052"/>
        <w:gridCol w:w="3052"/>
      </w:tblGrid>
      <w:tr w:rsidTr="00F109C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D1F" w:rsidP="00194D1F">
            <w:pPr>
              <w:pStyle w:val="BodyText"/>
            </w:pPr>
            <w:r w:rsidRPr="00194D1F">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D1F" w:rsidP="00194D1F">
            <w:pPr>
              <w:pStyle w:val="BodyText"/>
            </w:pPr>
            <w:r w:rsidRPr="00194D1F">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D1F">
            <w:pPr>
              <w:pStyle w:val="BodyText"/>
              <w:rPr>
                <w:lang w:val="en-NZ"/>
              </w:rPr>
            </w:pPr>
            <w:r w:rsidRPr="00194D1F">
              <w:rPr>
                <w:rStyle w:val="SpecialBold"/>
              </w:rPr>
              <w:t>Comments</w:t>
            </w:r>
          </w:p>
        </w:tc>
      </w:tr>
      <w:tr w:rsidTr="00F109C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D1F">
            <w:pPr>
              <w:pStyle w:val="BodyText"/>
              <w:rPr>
                <w:lang w:val="en-NZ"/>
              </w:rPr>
            </w:pPr>
            <w:r w:rsidRPr="00194D1F">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D1F">
            <w:pPr>
              <w:pStyle w:val="BodyText"/>
              <w:rPr>
                <w:lang w:val="en-NZ"/>
              </w:rPr>
            </w:pPr>
            <w:r w:rsidRPr="00194D1F">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D1F">
            <w:pPr>
              <w:pStyle w:val="BodyText"/>
              <w:rPr>
                <w:lang w:val="en-NZ"/>
              </w:rPr>
            </w:pPr>
            <w:r w:rsidRPr="00194D1F">
              <w:t xml:space="preserve">Unit descriptor edited. </w:t>
            </w:r>
          </w:p>
        </w:tc>
      </w:tr>
      <w:tr w:rsidTr="00F109C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D1F">
            <w:pPr>
              <w:pStyle w:val="BodyText"/>
              <w:rPr>
                <w:lang w:val="en-NZ"/>
              </w:rPr>
            </w:pPr>
            <w:r w:rsidRPr="00194D1F">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D1F">
            <w:pPr>
              <w:pStyle w:val="BodyText"/>
              <w:rPr>
                <w:lang w:val="en-NZ"/>
              </w:rPr>
            </w:pPr>
            <w:r w:rsidRPr="00194D1F">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D1F">
            <w:pPr>
              <w:pStyle w:val="BodyText"/>
              <w:rPr>
                <w:lang w:val="en-NZ"/>
              </w:rPr>
            </w:pPr>
            <w:r w:rsidRPr="00194D1F">
              <w:t>Layout adjusted. No changes to content.</w:t>
            </w:r>
          </w:p>
        </w:tc>
      </w:tr>
      <w:tr w:rsidTr="00F109C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D1F">
            <w:pPr>
              <w:pStyle w:val="BodyText"/>
              <w:rPr>
                <w:lang w:val="en-NZ"/>
              </w:rPr>
            </w:pPr>
            <w:r w:rsidRPr="00194D1F">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D1F">
            <w:pPr>
              <w:pStyle w:val="BodyText"/>
              <w:rPr>
                <w:lang w:val="en-NZ"/>
              </w:rPr>
            </w:pPr>
            <w:r w:rsidRPr="00194D1F">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D1F" w:rsidP="00194D1F">
            <w:pPr>
              <w:pStyle w:val="BodyText"/>
            </w:pPr>
            <w:r w:rsidRPr="00194D1F">
              <w:t>Primary release.</w:t>
            </w:r>
          </w:p>
        </w:tc>
      </w:tr>
    </w:tbl>
    <w:p w:rsidR="00F109C8" w:rsidP="00194D1F">
      <w:pPr>
        <w:pStyle w:val="BodyText"/>
      </w:pPr>
    </w:p>
    <w:p w:rsidR="00F109C8" w:rsidP="00194D1F">
      <w:pPr>
        <w:pStyle w:val="BodyText"/>
      </w:pPr>
    </w:p>
    <w:p w:rsidR="00000000" w:rsidRPr="00194D1F" w:rsidP="00194D1F">
      <w:pPr>
        <w:pStyle w:val="Heading1"/>
      </w:pPr>
      <w:bookmarkStart w:id="2" w:name="O_499225"/>
      <w:bookmarkEnd w:id="2"/>
      <w:r w:rsidRPr="00194D1F">
        <w:t>Unit Descriptor</w:t>
      </w:r>
    </w:p>
    <w:p w:rsidR="00000000" w:rsidRPr="00194D1F" w:rsidP="00194D1F">
      <w:pPr>
        <w:pStyle w:val="BodyText"/>
      </w:pPr>
      <w:r w:rsidRPr="00194D1F">
        <w:t>This unit covers the knowledge and skills to administer levies, fines and other taxes.</w:t>
      </w:r>
    </w:p>
    <w:p w:rsidR="00000000" w:rsidRPr="00194D1F" w:rsidP="00194D1F">
      <w:pPr>
        <w:pStyle w:val="BodyText"/>
      </w:pPr>
      <w:r w:rsidRPr="00194D1F">
        <w:t>In practice, administering levies, fines and o</w:t>
      </w:r>
      <w:r w:rsidRPr="00194D1F">
        <w:t>ther taxes overlaps with other generalist or specialist work activities, such as acting ethically, applying government processes, communicating, and gathering and analysing information. Co-assessment with units of competency addressing these other activiti</w:t>
      </w:r>
      <w:r w:rsidRPr="00194D1F">
        <w:t>es could be considered.</w:t>
      </w:r>
    </w:p>
    <w:p w:rsidR="00000000" w:rsidRPr="00194D1F" w:rsidP="00194D1F">
      <w:pPr>
        <w:pStyle w:val="BodyText"/>
      </w:pPr>
      <w:r w:rsidRPr="00194D1F">
        <w:t>No licensing, legislative, regulatory or certification requirements apply to this unit at the time of endorsement.</w:t>
      </w:r>
    </w:p>
    <w:p w:rsidR="00000000" w:rsidRPr="00194D1F" w:rsidP="00194D1F">
      <w:pPr>
        <w:pStyle w:val="AllowPageBreak"/>
      </w:pPr>
    </w:p>
    <w:p w:rsidR="00000000" w:rsidRPr="00194D1F" w:rsidP="00194D1F">
      <w:pPr>
        <w:pStyle w:val="Heading1"/>
      </w:pPr>
      <w:bookmarkStart w:id="3" w:name="O_499238"/>
      <w:bookmarkEnd w:id="3"/>
      <w:r w:rsidRPr="00194D1F">
        <w:t>Application of the Unit</w:t>
      </w:r>
    </w:p>
    <w:p w:rsidR="00000000" w:rsidRPr="00194D1F" w:rsidP="00194D1F">
      <w:pPr>
        <w:pStyle w:val="BodyText"/>
      </w:pPr>
      <w:r w:rsidRPr="00194D1F">
        <w:t>In the workplace, staff typically confirm and evaluate situations where levies, fines and other taxes apply; apply criteria and exemptions contained in legislation, regulations, rulings and Commissioner's practices; and evaluate requests for exemptions, co</w:t>
      </w:r>
      <w:r w:rsidRPr="00194D1F">
        <w:t xml:space="preserve">ncessions, remissions and reductions if applicable. </w:t>
      </w:r>
    </w:p>
    <w:p w:rsidR="00000000" w:rsidRPr="00194D1F" w:rsidP="00194D1F">
      <w:pPr>
        <w:pStyle w:val="BodyText"/>
      </w:pPr>
      <w:r w:rsidRPr="00194D1F">
        <w:t>Staff require a sound knowledge of the legislative requirements related to levies, fines and other taxes and the skill to apply rates (sliding scale or otherwise) or penalties to determine amounts payabl</w:t>
      </w:r>
      <w:r w:rsidRPr="00194D1F">
        <w:t>e. In addition, they must deal with complaints and enquiries, providing information and explanation of both the assessment and any further action customers may take if dissatisfied with the decision.</w:t>
      </w:r>
    </w:p>
    <w:p w:rsidR="00000000" w:rsidRPr="00194D1F" w:rsidP="00194D1F">
      <w:pPr>
        <w:pStyle w:val="AllowPageBreak"/>
      </w:pPr>
    </w:p>
    <w:p w:rsidR="00000000" w:rsidRPr="00194D1F" w:rsidP="00194D1F">
      <w:pPr>
        <w:pStyle w:val="Heading1"/>
      </w:pPr>
      <w:bookmarkStart w:id="4" w:name="O_499230"/>
      <w:bookmarkEnd w:id="4"/>
      <w:r w:rsidRPr="00194D1F">
        <w:t>Licensing/Regulatory Information</w:t>
      </w:r>
    </w:p>
    <w:p w:rsidR="00000000" w:rsidRPr="00194D1F" w:rsidP="00194D1F">
      <w:pPr>
        <w:pStyle w:val="BodyText"/>
      </w:pPr>
      <w:r w:rsidRPr="00194D1F">
        <w:t>Not ap</w:t>
      </w:r>
      <w:r w:rsidRPr="00194D1F">
        <w:t>plicable.</w:t>
      </w:r>
    </w:p>
    <w:p w:rsidR="00000000" w:rsidRPr="00194D1F" w:rsidP="00194D1F">
      <w:pPr>
        <w:pStyle w:val="AllowPageBreak"/>
      </w:pPr>
    </w:p>
    <w:p w:rsidR="00000000" w:rsidRPr="00194D1F" w:rsidP="00194D1F">
      <w:pPr>
        <w:pStyle w:val="Heading1"/>
      </w:pPr>
      <w:bookmarkStart w:id="5" w:name="O_499233"/>
      <w:bookmarkEnd w:id="5"/>
      <w:r w:rsidRPr="00194D1F">
        <w:t>Pre-Requisites</w:t>
      </w:r>
    </w:p>
    <w:p w:rsidR="00000000" w:rsidRPr="00194D1F" w:rsidP="00194D1F">
      <w:pPr>
        <w:pStyle w:val="BodyText"/>
      </w:pPr>
      <w:r w:rsidRPr="00194D1F">
        <w:t>Not applicable.</w:t>
      </w:r>
    </w:p>
    <w:p w:rsidR="00000000" w:rsidRPr="00194D1F" w:rsidP="00194D1F">
      <w:pPr>
        <w:pStyle w:val="AllowPageBreak"/>
      </w:pPr>
    </w:p>
    <w:p w:rsidR="00000000" w:rsidRPr="00194D1F" w:rsidP="00194D1F">
      <w:pPr>
        <w:pStyle w:val="Heading1"/>
      </w:pPr>
      <w:bookmarkStart w:id="6" w:name="O_499234"/>
      <w:bookmarkEnd w:id="6"/>
      <w:r w:rsidRPr="00194D1F">
        <w:t>Employability Skills Information</w:t>
      </w:r>
    </w:p>
    <w:p w:rsidR="00000000" w:rsidRPr="00194D1F" w:rsidP="00194D1F">
      <w:pPr>
        <w:pStyle w:val="BodyText"/>
      </w:pPr>
      <w:r w:rsidRPr="00194D1F">
        <w:t>This unit contains employability skills.</w:t>
      </w:r>
    </w:p>
    <w:p w:rsidR="00000000" w:rsidRPr="00194D1F" w:rsidP="00194D1F">
      <w:pPr>
        <w:pStyle w:val="AllowPageBreak"/>
      </w:pPr>
    </w:p>
    <w:p w:rsidR="00000000" w:rsidRPr="00194D1F" w:rsidP="00194D1F">
      <w:pPr>
        <w:pStyle w:val="Heading1"/>
      </w:pPr>
      <w:bookmarkStart w:id="7" w:name="O_499235"/>
      <w:bookmarkEnd w:id="7"/>
      <w:r w:rsidRPr="00194D1F">
        <w:t>Elements and Performance Criteria Pre-Content</w:t>
      </w:r>
    </w:p>
    <w:tbl>
      <w:tblPr>
        <w:tblW w:w="9322" w:type="dxa"/>
        <w:tblLayout w:type="fixed"/>
        <w:tblCellMar>
          <w:left w:w="62" w:type="dxa"/>
          <w:right w:w="62" w:type="dxa"/>
        </w:tblCellMar>
        <w:tblLook w:val="0000"/>
      </w:tblPr>
      <w:tblGrid>
        <w:gridCol w:w="2660"/>
        <w:gridCol w:w="6662"/>
      </w:tblGrid>
      <w:tr w:rsidTr="00F109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1F">
            <w:pPr>
              <w:pStyle w:val="BodyText"/>
              <w:rPr>
                <w:lang w:val="en-NZ"/>
              </w:rPr>
            </w:pPr>
            <w:r w:rsidRPr="00194D1F">
              <w:t>Elements are the essential outcomes of the u</w:t>
            </w:r>
            <w:r w:rsidRPr="00194D1F">
              <w:t>nit of competency.</w:t>
            </w:r>
          </w:p>
        </w:tc>
        <w:tc>
          <w:tcPr>
            <w:tcW w:w="6662" w:type="dxa"/>
            <w:tcBorders>
              <w:top w:val="nil"/>
              <w:left w:val="nil"/>
              <w:bottom w:val="nil"/>
              <w:right w:val="nil"/>
            </w:tcBorders>
            <w:tcMar>
              <w:top w:w="0" w:type="dxa"/>
              <w:left w:w="62" w:type="dxa"/>
              <w:bottom w:w="0" w:type="dxa"/>
              <w:right w:w="62" w:type="dxa"/>
            </w:tcMar>
          </w:tcPr>
          <w:p w:rsidR="00000000" w:rsidRPr="00194D1F" w:rsidP="00194D1F">
            <w:pPr>
              <w:pStyle w:val="BodyText"/>
            </w:pPr>
            <w:r w:rsidRPr="00194D1F">
              <w:t xml:space="preserve">Performance criteria describe the required performance needed to demonstrate achievement of the element. Where </w:t>
            </w:r>
            <w:r w:rsidRPr="00194D1F">
              <w:rPr>
                <w:rStyle w:val="BoldandItalics"/>
              </w:rPr>
              <w:t xml:space="preserve">bold italicised </w:t>
            </w:r>
            <w:r w:rsidRPr="00194D1F">
              <w:t>text is use</w:t>
            </w:r>
            <w:r w:rsidRPr="00194D1F">
              <w:t>d, further information is detailed in the range statement. Assessment of performance is to be consistent with the evidence guide.</w:t>
            </w:r>
          </w:p>
        </w:tc>
      </w:tr>
    </w:tbl>
    <w:p w:rsidR="00000000" w:rsidRPr="00194D1F" w:rsidP="00194D1F">
      <w:pPr>
        <w:pStyle w:val="BodyText"/>
      </w:pPr>
    </w:p>
    <w:p w:rsidR="00000000" w:rsidRPr="00194D1F" w:rsidP="00194D1F">
      <w:pPr>
        <w:pStyle w:val="AllowPageBreak"/>
      </w:pPr>
    </w:p>
    <w:p w:rsidR="00000000" w:rsidRPr="00194D1F" w:rsidP="00194D1F">
      <w:pPr>
        <w:pStyle w:val="Heading1"/>
      </w:pPr>
      <w:bookmarkStart w:id="8" w:name="O_499236"/>
      <w:bookmarkEnd w:id="8"/>
      <w:r w:rsidRPr="00194D1F">
        <w:t>Elements and Performance Criteria</w:t>
      </w:r>
    </w:p>
    <w:tbl>
      <w:tblPr>
        <w:tblW w:w="9322" w:type="dxa"/>
        <w:tblLayout w:type="fixed"/>
        <w:tblCellMar>
          <w:left w:w="62" w:type="dxa"/>
          <w:right w:w="62" w:type="dxa"/>
        </w:tblCellMar>
        <w:tblLook w:val="0000"/>
      </w:tblPr>
      <w:tblGrid>
        <w:gridCol w:w="2943"/>
        <w:gridCol w:w="6379"/>
      </w:tblGrid>
      <w:tr w:rsidTr="00F109C8">
        <w:tblPrEx>
          <w:tblW w:w="9322" w:type="dxa"/>
          <w:tblLayout w:type="fixed"/>
          <w:tblCellMar>
            <w:left w:w="62" w:type="dxa"/>
            <w:right w:w="62" w:type="dxa"/>
          </w:tblCellMar>
          <w:tblLook w:val="0000"/>
        </w:tblPrEx>
        <w:trPr>
          <w:tblHeader/>
        </w:trPr>
        <w:tc>
          <w:tcPr>
            <w:tcW w:w="2943" w:type="dxa"/>
            <w:tcBorders>
              <w:top w:val="nil"/>
              <w:left w:val="nil"/>
              <w:bottom w:val="nil"/>
              <w:right w:val="nil"/>
            </w:tcBorders>
            <w:tcMar>
              <w:top w:w="0" w:type="dxa"/>
              <w:left w:w="62" w:type="dxa"/>
              <w:bottom w:w="0" w:type="dxa"/>
              <w:right w:w="62" w:type="dxa"/>
            </w:tcMar>
          </w:tcPr>
          <w:p w:rsidR="00000000" w:rsidRPr="00194D1F" w:rsidP="00194D1F">
            <w:pPr>
              <w:pStyle w:val="BodyText"/>
            </w:pPr>
            <w:r w:rsidRPr="00194D1F">
              <w:rPr>
                <w:rStyle w:val="SpecialBold"/>
              </w:rPr>
              <w:t>ELEMENT</w:t>
            </w:r>
          </w:p>
        </w:tc>
        <w:tc>
          <w:tcPr>
            <w:tcW w:w="6379" w:type="dxa"/>
            <w:tcBorders>
              <w:top w:val="nil"/>
              <w:left w:val="nil"/>
              <w:bottom w:val="nil"/>
              <w:right w:val="nil"/>
            </w:tcBorders>
            <w:tcMar>
              <w:top w:w="0" w:type="dxa"/>
              <w:left w:w="62" w:type="dxa"/>
              <w:bottom w:w="0" w:type="dxa"/>
              <w:right w:w="62" w:type="dxa"/>
            </w:tcMar>
          </w:tcPr>
          <w:p w:rsidR="00000000" w:rsidP="00194D1F">
            <w:pPr>
              <w:pStyle w:val="BodyText"/>
              <w:rPr>
                <w:lang w:val="en-NZ"/>
              </w:rPr>
            </w:pPr>
            <w:r w:rsidRPr="00194D1F">
              <w:rPr>
                <w:rStyle w:val="SpecialBold"/>
              </w:rPr>
              <w:t>PERFORMANCE CRITERIA</w:t>
            </w:r>
          </w:p>
        </w:tc>
      </w:tr>
      <w:tr w:rsidTr="00F109C8">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194D1F">
            <w:pPr>
              <w:pStyle w:val="List"/>
              <w:rPr>
                <w:lang w:val="en-NZ"/>
              </w:rPr>
            </w:pPr>
            <w:r w:rsidRPr="00194D1F">
              <w:rPr>
                <w:rStyle w:val="SpecialBold"/>
              </w:rPr>
              <w:t>1</w:t>
            </w:r>
            <w:r w:rsidRPr="00194D1F">
              <w:t>.</w:t>
            </w:r>
            <w:r w:rsidRPr="00194D1F">
              <w:tab/>
            </w:r>
            <w:r w:rsidRPr="00194D1F">
              <w:rPr>
                <w:rStyle w:val="SpecialBold"/>
              </w:rPr>
              <w:t>Assess liability for payment of levies</w:t>
            </w:r>
            <w:r w:rsidRPr="00194D1F">
              <w:t xml:space="preserve">, </w:t>
            </w:r>
            <w:r w:rsidRPr="00194D1F">
              <w:rPr>
                <w:rStyle w:val="SpecialBold"/>
              </w:rPr>
              <w:t>fines and other taxes</w:t>
            </w:r>
          </w:p>
        </w:tc>
        <w:tc>
          <w:tcPr>
            <w:tcW w:w="6379" w:type="dxa"/>
            <w:tcBorders>
              <w:top w:val="nil"/>
              <w:left w:val="nil"/>
              <w:bottom w:val="nil"/>
              <w:right w:val="nil"/>
            </w:tcBorders>
            <w:tcMar>
              <w:top w:w="0" w:type="dxa"/>
              <w:left w:w="62" w:type="dxa"/>
              <w:bottom w:w="0" w:type="dxa"/>
              <w:right w:w="62" w:type="dxa"/>
            </w:tcMar>
          </w:tcPr>
          <w:p w:rsidR="00000000" w:rsidRPr="00194D1F" w:rsidP="00194D1F">
            <w:pPr>
              <w:pStyle w:val="List"/>
            </w:pPr>
            <w:r w:rsidRPr="00194D1F">
              <w:t>1.1</w:t>
            </w:r>
            <w:r w:rsidRPr="00194D1F">
              <w:tab/>
              <w:t xml:space="preserve">Situations that attract imposition of </w:t>
            </w:r>
            <w:r w:rsidRPr="00194D1F">
              <w:rPr>
                <w:rStyle w:val="BoldandItalics"/>
              </w:rPr>
              <w:t>levies, fines and other taxes</w:t>
            </w:r>
            <w:r w:rsidRPr="00194D1F">
              <w:t xml:space="preserve"> are identified and confirmed in accordance with legislation, regulations, </w:t>
            </w:r>
            <w:r w:rsidRPr="00194D1F">
              <w:rPr>
                <w:rStyle w:val="BoldandItalics"/>
              </w:rPr>
              <w:t xml:space="preserve">rulings </w:t>
            </w:r>
            <w:r w:rsidRPr="00194D1F">
              <w:t xml:space="preserve">and </w:t>
            </w:r>
            <w:r w:rsidRPr="00194D1F">
              <w:rPr>
                <w:rStyle w:val="BoldandItalics"/>
              </w:rPr>
              <w:t>Commissioner's practices</w:t>
            </w:r>
            <w:r w:rsidRPr="00194D1F">
              <w:t>.</w:t>
            </w:r>
          </w:p>
          <w:p w:rsidR="00000000" w:rsidRPr="00194D1F" w:rsidP="00194D1F">
            <w:pPr>
              <w:pStyle w:val="List"/>
            </w:pPr>
            <w:r w:rsidRPr="00194D1F">
              <w:t>1.2</w:t>
            </w:r>
            <w:r w:rsidRPr="00194D1F">
              <w:tab/>
            </w:r>
            <w:r w:rsidRPr="00194D1F">
              <w:rPr>
                <w:rStyle w:val="BoldandItalics"/>
              </w:rPr>
              <w:t xml:space="preserve">Exemptions </w:t>
            </w:r>
            <w:r w:rsidRPr="00194D1F">
              <w:t>are identified or confirmed in acco</w:t>
            </w:r>
            <w:r w:rsidRPr="00194D1F">
              <w:t>rdance with legislation, regulations, rulings and Commissioner's practices.</w:t>
            </w:r>
          </w:p>
          <w:p w:rsidR="00000000" w:rsidRPr="00194D1F" w:rsidP="00194D1F">
            <w:pPr>
              <w:pStyle w:val="List"/>
            </w:pPr>
            <w:r w:rsidRPr="00194D1F">
              <w:t>1.3</w:t>
            </w:r>
            <w:r w:rsidRPr="00194D1F">
              <w:tab/>
              <w:t>Situations are identified where concessions, or remission of or reduction in liability may apply.</w:t>
            </w:r>
          </w:p>
          <w:p w:rsidR="00000000" w:rsidRPr="00194D1F" w:rsidP="00194D1F">
            <w:pPr>
              <w:pStyle w:val="List"/>
            </w:pPr>
            <w:r w:rsidRPr="00194D1F">
              <w:t>1.4</w:t>
            </w:r>
            <w:r w:rsidRPr="00194D1F">
              <w:tab/>
              <w:t>Facts applicable to situation are confirmed and evaluated.</w:t>
            </w:r>
          </w:p>
          <w:p w:rsidR="00000000" w:rsidP="00194D1F">
            <w:pPr>
              <w:pStyle w:val="List"/>
              <w:rPr>
                <w:lang w:val="en-NZ"/>
              </w:rPr>
            </w:pPr>
            <w:r w:rsidRPr="00194D1F">
              <w:t>1.5</w:t>
            </w:r>
            <w:r w:rsidRPr="00194D1F">
              <w:tab/>
              <w:t>Criteria fo</w:t>
            </w:r>
            <w:r w:rsidRPr="00194D1F">
              <w:t>r assessing liability are identified and applied in accordance with legislation, regulations, rulings and Commissioner's practices.</w:t>
            </w:r>
          </w:p>
        </w:tc>
      </w:tr>
      <w:tr w:rsidTr="00F109C8">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194D1F">
            <w:pPr>
              <w:pStyle w:val="List"/>
              <w:rPr>
                <w:lang w:val="en-NZ"/>
              </w:rPr>
            </w:pPr>
            <w:r w:rsidRPr="00194D1F">
              <w:rPr>
                <w:rStyle w:val="SpecialBold"/>
              </w:rPr>
              <w:t>2</w:t>
            </w:r>
            <w:r w:rsidRPr="00194D1F">
              <w:t>.</w:t>
            </w:r>
            <w:r w:rsidRPr="00194D1F">
              <w:tab/>
            </w:r>
            <w:r w:rsidRPr="00194D1F">
              <w:rPr>
                <w:rStyle w:val="SpecialBold"/>
              </w:rPr>
              <w:t>Determine amount payable</w:t>
            </w:r>
          </w:p>
        </w:tc>
        <w:tc>
          <w:tcPr>
            <w:tcW w:w="6379" w:type="dxa"/>
            <w:tcBorders>
              <w:top w:val="nil"/>
              <w:left w:val="nil"/>
              <w:bottom w:val="nil"/>
              <w:right w:val="nil"/>
            </w:tcBorders>
            <w:tcMar>
              <w:top w:w="0" w:type="dxa"/>
              <w:left w:w="62" w:type="dxa"/>
              <w:bottom w:w="0" w:type="dxa"/>
              <w:right w:w="62" w:type="dxa"/>
            </w:tcMar>
          </w:tcPr>
          <w:p w:rsidR="00000000" w:rsidRPr="00194D1F" w:rsidP="00194D1F">
            <w:pPr>
              <w:pStyle w:val="List"/>
            </w:pPr>
            <w:r w:rsidRPr="00194D1F">
              <w:t>2.1</w:t>
            </w:r>
            <w:r w:rsidRPr="00194D1F">
              <w:tab/>
              <w:t xml:space="preserve">Information and schedules are located and consulted to determine rate, penalty or interest </w:t>
            </w:r>
            <w:r w:rsidRPr="00194D1F">
              <w:t>applicable.</w:t>
            </w:r>
          </w:p>
          <w:p w:rsidR="00000000" w:rsidRPr="00194D1F" w:rsidP="00194D1F">
            <w:pPr>
              <w:pStyle w:val="List"/>
            </w:pPr>
            <w:r w:rsidRPr="00194D1F">
              <w:t>2.2</w:t>
            </w:r>
            <w:r w:rsidRPr="00194D1F">
              <w:tab/>
              <w:t>Exemptions,</w:t>
            </w:r>
            <w:r w:rsidRPr="00194D1F">
              <w:rPr>
                <w:rStyle w:val="BoldandItalics"/>
              </w:rPr>
              <w:t xml:space="preserve"> remissions or reductions </w:t>
            </w:r>
            <w:r w:rsidRPr="00194D1F">
              <w:t>are applied in accordance with legislation, regulations, rulings, Commissioner's practices and relevant case law.</w:t>
            </w:r>
          </w:p>
          <w:p w:rsidR="00000000" w:rsidRPr="00194D1F" w:rsidP="00194D1F">
            <w:pPr>
              <w:pStyle w:val="List"/>
            </w:pPr>
            <w:r w:rsidRPr="00194D1F">
              <w:t>2.3</w:t>
            </w:r>
            <w:r w:rsidRPr="00194D1F">
              <w:tab/>
            </w:r>
            <w:r w:rsidRPr="00194D1F">
              <w:t>Applicable rates are applied in accordance with legislation and regulations, to confirm assessments of liability.</w:t>
            </w:r>
          </w:p>
          <w:p w:rsidR="00000000" w:rsidP="00194D1F">
            <w:pPr>
              <w:pStyle w:val="List"/>
              <w:rPr>
                <w:lang w:val="en-NZ"/>
              </w:rPr>
            </w:pPr>
            <w:r w:rsidRPr="00194D1F">
              <w:t>2.4</w:t>
            </w:r>
            <w:r w:rsidRPr="00194D1F">
              <w:rPr>
                <w:rStyle w:val="BoldandItalics"/>
              </w:rPr>
              <w:tab/>
              <w:t xml:space="preserve">Documentary requirements </w:t>
            </w:r>
            <w:r w:rsidRPr="00194D1F">
              <w:t>are completed in accordance with legislation and organisational procedures.</w:t>
            </w:r>
          </w:p>
        </w:tc>
      </w:tr>
      <w:tr w:rsidTr="00F109C8">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194D1F">
            <w:pPr>
              <w:pStyle w:val="List"/>
              <w:rPr>
                <w:lang w:val="en-NZ"/>
              </w:rPr>
            </w:pPr>
            <w:r w:rsidRPr="00194D1F">
              <w:rPr>
                <w:rStyle w:val="SpecialBold"/>
              </w:rPr>
              <w:t>3</w:t>
            </w:r>
            <w:r w:rsidRPr="00194D1F">
              <w:t>.</w:t>
            </w:r>
            <w:r w:rsidRPr="00194D1F">
              <w:tab/>
            </w:r>
            <w:r w:rsidRPr="00194D1F">
              <w:rPr>
                <w:rStyle w:val="SpecialBold"/>
              </w:rPr>
              <w:t>Deal with enquiries and complaint</w:t>
            </w:r>
            <w:r w:rsidRPr="00194D1F">
              <w:rPr>
                <w:rStyle w:val="SpecialBold"/>
              </w:rPr>
              <w:t>s</w:t>
            </w:r>
          </w:p>
        </w:tc>
        <w:tc>
          <w:tcPr>
            <w:tcW w:w="6379" w:type="dxa"/>
            <w:tcBorders>
              <w:top w:val="nil"/>
              <w:left w:val="nil"/>
              <w:bottom w:val="nil"/>
              <w:right w:val="nil"/>
            </w:tcBorders>
            <w:tcMar>
              <w:top w:w="0" w:type="dxa"/>
              <w:left w:w="62" w:type="dxa"/>
              <w:bottom w:w="0" w:type="dxa"/>
              <w:right w:w="62" w:type="dxa"/>
            </w:tcMar>
          </w:tcPr>
          <w:p w:rsidR="00000000" w:rsidRPr="00194D1F" w:rsidP="00194D1F">
            <w:pPr>
              <w:pStyle w:val="List"/>
            </w:pPr>
            <w:r w:rsidRPr="00194D1F">
              <w:t>3.1</w:t>
            </w:r>
            <w:r w:rsidRPr="00194D1F">
              <w:tab/>
              <w:t>Enquiries are dealt with in accordance with organisational procedures.</w:t>
            </w:r>
          </w:p>
          <w:p w:rsidR="00000000" w:rsidRPr="00194D1F" w:rsidP="00194D1F">
            <w:pPr>
              <w:pStyle w:val="List"/>
            </w:pPr>
            <w:r w:rsidRPr="00194D1F">
              <w:t>3.2</w:t>
            </w:r>
            <w:r w:rsidRPr="00194D1F">
              <w:tab/>
              <w:t>Payment options, due dates and record-keeping requirements are explained, tailoring communication to suit diverse customer needs.</w:t>
            </w:r>
          </w:p>
          <w:p w:rsidR="00000000" w:rsidRPr="00194D1F" w:rsidP="00194D1F">
            <w:pPr>
              <w:pStyle w:val="List"/>
            </w:pPr>
            <w:r w:rsidRPr="00194D1F">
              <w:t>3.3</w:t>
            </w:r>
            <w:r w:rsidRPr="00194D1F">
              <w:tab/>
            </w:r>
            <w:r w:rsidRPr="00194D1F">
              <w:rPr>
                <w:rStyle w:val="BoldandItalics"/>
              </w:rPr>
              <w:t xml:space="preserve">Complaints </w:t>
            </w:r>
            <w:r w:rsidRPr="00194D1F">
              <w:t>are dealt with and decisions r</w:t>
            </w:r>
            <w:r w:rsidRPr="00194D1F">
              <w:t>ecorded and notified in accordance with legislation, regulations and organisational procedures.</w:t>
            </w:r>
          </w:p>
          <w:p w:rsidR="00000000" w:rsidRPr="00194D1F" w:rsidP="00194D1F">
            <w:pPr>
              <w:pStyle w:val="List"/>
            </w:pPr>
            <w:r w:rsidRPr="00194D1F">
              <w:t>3.4</w:t>
            </w:r>
            <w:r w:rsidRPr="00194D1F">
              <w:tab/>
              <w:t>If customers are dissatisfied with a decision, their rights to have decision reviewed are explained in accordance with organisational procedures.</w:t>
            </w:r>
          </w:p>
        </w:tc>
      </w:tr>
    </w:tbl>
    <w:p w:rsidR="00000000" w:rsidRPr="00194D1F" w:rsidP="00194D1F">
      <w:pPr>
        <w:pStyle w:val="BodyText"/>
      </w:pPr>
    </w:p>
    <w:p w:rsidR="00000000" w:rsidRPr="00194D1F" w:rsidP="00194D1F">
      <w:pPr>
        <w:pStyle w:val="AllowPageBreak"/>
      </w:pPr>
    </w:p>
    <w:p w:rsidR="00000000" w:rsidRPr="00194D1F" w:rsidP="00194D1F">
      <w:pPr>
        <w:pStyle w:val="Heading1"/>
      </w:pPr>
      <w:bookmarkStart w:id="9" w:name="O_499227"/>
      <w:bookmarkEnd w:id="9"/>
      <w:r w:rsidRPr="00194D1F">
        <w:t>Required Skills and Knowledge</w:t>
      </w:r>
    </w:p>
    <w:tbl>
      <w:tblPr>
        <w:tblW w:w="0" w:type="auto"/>
        <w:tblLayout w:type="fixed"/>
        <w:tblCellMar>
          <w:left w:w="62" w:type="dxa"/>
          <w:right w:w="62" w:type="dxa"/>
        </w:tblCellMar>
        <w:tblLook w:val="0000"/>
      </w:tblPr>
      <w:tblGrid>
        <w:gridCol w:w="8512"/>
        <w:gridCol w:w="41"/>
      </w:tblGrid>
      <w:tr w:rsidTr="00F109C8">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194D1F">
            <w:pPr>
              <w:pStyle w:val="BodyText"/>
              <w:rPr>
                <w:lang w:val="en-NZ"/>
              </w:rPr>
            </w:pPr>
            <w:r w:rsidRPr="00194D1F">
              <w:t>This section describes the essential skills and knowledge and their level, required for this unit.</w:t>
            </w:r>
          </w:p>
        </w:tc>
      </w:tr>
      <w:tr w:rsidTr="00F109C8">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194D1F" w:rsidP="00194D1F">
            <w:pPr>
              <w:pStyle w:val="BodyText"/>
            </w:pPr>
            <w:r w:rsidRPr="00194D1F">
              <w:rPr>
                <w:rStyle w:val="SpecialBold"/>
              </w:rPr>
              <w:t>Required skills</w:t>
            </w:r>
            <w:r w:rsidRPr="00194D1F">
              <w:t>:</w:t>
            </w:r>
          </w:p>
          <w:p w:rsidR="00000000" w:rsidRPr="00194D1F" w:rsidP="00194D1F">
            <w:pPr>
              <w:pStyle w:val="BodyText"/>
            </w:pPr>
            <w:r w:rsidRPr="00194D1F">
              <w:t>Look for evidence that confirms skills in:</w:t>
            </w:r>
          </w:p>
          <w:p w:rsidR="00000000" w:rsidRPr="00194D1F" w:rsidP="00194D1F">
            <w:pPr>
              <w:pStyle w:val="ListBullet2"/>
            </w:pPr>
            <w:r w:rsidRPr="00194D1F">
              <w:t>navigating complex legislation,</w:t>
            </w:r>
            <w:r w:rsidRPr="00194D1F">
              <w:t xml:space="preserve"> judicial decisions, rulings, Commissioner's practices and related materials and applying them to situations relating to levies, fines and other taxes</w:t>
            </w:r>
          </w:p>
          <w:p w:rsidR="00000000" w:rsidRPr="00194D1F" w:rsidP="00194D1F">
            <w:pPr>
              <w:pStyle w:val="ListBullet2"/>
            </w:pPr>
            <w:r w:rsidRPr="00194D1F">
              <w:t>researching information related to application of levies, fines and other taxes</w:t>
            </w:r>
          </w:p>
          <w:p w:rsidR="00000000" w:rsidRPr="00194D1F" w:rsidP="00194D1F">
            <w:pPr>
              <w:pStyle w:val="ListBullet2"/>
            </w:pPr>
            <w:r w:rsidRPr="00194D1F">
              <w:t>numeracy to confirm accur</w:t>
            </w:r>
            <w:r w:rsidRPr="00194D1F">
              <w:t>acy of assessments</w:t>
            </w:r>
          </w:p>
          <w:p w:rsidR="00000000" w:rsidRPr="00194D1F" w:rsidP="00194D1F">
            <w:pPr>
              <w:pStyle w:val="ListBullet2"/>
            </w:pPr>
            <w:r w:rsidRPr="00194D1F">
              <w:t>communicating with others involving exchanges of complex information relating to liability, exemptions, remissions and reductions</w:t>
            </w:r>
          </w:p>
          <w:p w:rsidR="00000000" w:rsidRPr="00194D1F" w:rsidP="00194D1F">
            <w:pPr>
              <w:pStyle w:val="ListBullet2"/>
            </w:pPr>
            <w:r w:rsidRPr="00194D1F">
              <w:t>dealing with complaints and difficult customers</w:t>
            </w:r>
          </w:p>
          <w:p w:rsidR="00000000" w:rsidRPr="00194D1F" w:rsidP="00194D1F">
            <w:pPr>
              <w:pStyle w:val="ListBullet2"/>
            </w:pPr>
            <w:r w:rsidRPr="00194D1F">
              <w:t>using technology to locate requirements and schedules, cond</w:t>
            </w:r>
            <w:r w:rsidRPr="00194D1F">
              <w:t>uct research, make enquiries, review available data, access legislative requirements and record outcomes</w:t>
            </w:r>
          </w:p>
          <w:p w:rsidR="00000000" w:rsidRPr="00194D1F" w:rsidP="00194D1F">
            <w:pPr>
              <w:pStyle w:val="ListBullet2"/>
            </w:pPr>
            <w:r w:rsidRPr="00194D1F">
              <w:t>responding to diversity, including gender and disability, in the context of dealing with requirements of levies, fines and other taxes (this may involv</w:t>
            </w:r>
            <w:r w:rsidRPr="00194D1F">
              <w:t>e accessing interpreter services if necessary)</w:t>
            </w:r>
          </w:p>
          <w:p w:rsidR="00000000" w:rsidP="00194D1F">
            <w:pPr>
              <w:pStyle w:val="ListBullet2"/>
              <w:rPr>
                <w:lang w:val="en-NZ"/>
              </w:rPr>
            </w:pPr>
            <w:r w:rsidRPr="00194D1F">
              <w:t>applying environmental, sustainability and occupational health and safety procedures to administrative work and when dealing with customers</w:t>
            </w:r>
          </w:p>
        </w:tc>
      </w:tr>
      <w:tr w:rsidTr="00F109C8">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194D1F" w:rsidP="00194D1F">
            <w:pPr>
              <w:pStyle w:val="BodyText"/>
            </w:pPr>
            <w:r w:rsidRPr="00194D1F">
              <w:rPr>
                <w:rStyle w:val="SpecialBold"/>
              </w:rPr>
              <w:t>Required knowledge</w:t>
            </w:r>
            <w:r w:rsidRPr="00194D1F">
              <w:t>:</w:t>
            </w:r>
          </w:p>
          <w:p w:rsidR="00000000" w:rsidRPr="00194D1F" w:rsidP="00194D1F">
            <w:pPr>
              <w:pStyle w:val="BodyText"/>
            </w:pPr>
            <w:r w:rsidRPr="00194D1F">
              <w:t>Look for evidence that confirms knowledge and understanding of:</w:t>
            </w:r>
          </w:p>
          <w:p w:rsidR="00000000" w:rsidRPr="00194D1F" w:rsidP="00194D1F">
            <w:pPr>
              <w:pStyle w:val="ListBullet2"/>
            </w:pPr>
            <w:r w:rsidRPr="00194D1F">
              <w:t>legislation, regulations, rulings and Commissioner's practices relating to levies, fines and other taxes</w:t>
            </w:r>
          </w:p>
          <w:p w:rsidR="00000000" w:rsidRPr="00194D1F" w:rsidP="00194D1F">
            <w:pPr>
              <w:pStyle w:val="ListBullet2"/>
            </w:pPr>
            <w:r w:rsidRPr="00194D1F">
              <w:t>situations where levies, fines and other taxes apply</w:t>
            </w:r>
          </w:p>
          <w:p w:rsidR="00000000" w:rsidRPr="00194D1F" w:rsidP="00194D1F">
            <w:pPr>
              <w:pStyle w:val="ListBullet2"/>
            </w:pPr>
            <w:r w:rsidRPr="00194D1F">
              <w:t>liability, exemptions, remissions</w:t>
            </w:r>
            <w:r w:rsidRPr="00194D1F">
              <w:t xml:space="preserve"> and reductions relevant to different levies, fines and other taxes</w:t>
            </w:r>
          </w:p>
          <w:p w:rsidR="00000000" w:rsidRPr="00194D1F" w:rsidP="00194D1F">
            <w:pPr>
              <w:pStyle w:val="ListBullet2"/>
            </w:pPr>
            <w:r w:rsidRPr="00194D1F">
              <w:t>application of sliding scales or other structures of rates for levies, fines and other taxes</w:t>
            </w:r>
          </w:p>
          <w:p w:rsidR="00000000" w:rsidRPr="00194D1F" w:rsidP="00194D1F">
            <w:pPr>
              <w:pStyle w:val="ListBullet2"/>
            </w:pPr>
            <w:r w:rsidRPr="00194D1F">
              <w:t>legislative decision making process</w:t>
            </w:r>
          </w:p>
          <w:p w:rsidR="00000000" w:rsidRPr="00194D1F" w:rsidP="00194D1F">
            <w:pPr>
              <w:pStyle w:val="ListBullet2"/>
            </w:pPr>
            <w:r w:rsidRPr="00194D1F">
              <w:t>confidentiality provisions</w:t>
            </w:r>
          </w:p>
        </w:tc>
      </w:tr>
    </w:tbl>
    <w:p w:rsidR="00000000" w:rsidRPr="00194D1F" w:rsidP="00194D1F">
      <w:pPr>
        <w:pStyle w:val="BodyText"/>
      </w:pPr>
    </w:p>
    <w:p w:rsidR="00000000" w:rsidRPr="00194D1F" w:rsidP="00194D1F">
      <w:pPr>
        <w:pStyle w:val="AllowPageBreak"/>
      </w:pPr>
    </w:p>
    <w:p w:rsidR="00000000" w:rsidRPr="00194D1F" w:rsidP="00194D1F">
      <w:pPr>
        <w:pStyle w:val="Heading1"/>
      </w:pPr>
      <w:bookmarkStart w:id="10" w:name="O_499232"/>
      <w:bookmarkEnd w:id="10"/>
      <w:r w:rsidRPr="00194D1F">
        <w:t>Evidence Guid</w:t>
      </w:r>
      <w:r w:rsidRPr="00194D1F">
        <w:t>e</w:t>
      </w:r>
    </w:p>
    <w:tbl>
      <w:tblPr>
        <w:tblW w:w="9322" w:type="dxa"/>
        <w:tblLayout w:type="fixed"/>
        <w:tblCellMar>
          <w:left w:w="62" w:type="dxa"/>
          <w:right w:w="62" w:type="dxa"/>
        </w:tblCellMar>
        <w:tblLook w:val="0000"/>
      </w:tblPr>
      <w:tblGrid>
        <w:gridCol w:w="2660"/>
        <w:gridCol w:w="6662"/>
      </w:tblGrid>
      <w:tr w:rsidTr="00F109C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94D1F">
            <w:pPr>
              <w:pStyle w:val="BodyText"/>
              <w:rPr>
                <w:lang w:val="en-NZ"/>
              </w:rPr>
            </w:pPr>
            <w:r w:rsidRPr="00194D1F">
              <w:t>The Evidence Guide specifies the evidence required to demonstrate achievement in the unit of competency as a whole. It must be read in conjunction with the unit descriptor, performance criteria, The range statement and the Assessment Guidelines for the P</w:t>
            </w:r>
            <w:r w:rsidRPr="00194D1F">
              <w:t>ublic Sector Training Package.</w:t>
            </w:r>
          </w:p>
        </w:tc>
      </w:tr>
      <w:tr w:rsidTr="00F109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1F">
            <w:pPr>
              <w:pStyle w:val="BodyText"/>
              <w:rPr>
                <w:lang w:val="en-NZ"/>
              </w:rPr>
            </w:pPr>
            <w:r w:rsidRPr="00194D1F">
              <w:rPr>
                <w:rStyle w:val="SpecialBold"/>
              </w:rPr>
              <w:t>Units to be assessed together</w:t>
            </w:r>
            <w:r w:rsidRPr="00194D1F">
              <w:t xml:space="preserve"> </w:t>
            </w:r>
          </w:p>
        </w:tc>
        <w:tc>
          <w:tcPr>
            <w:tcW w:w="6662" w:type="dxa"/>
            <w:tcBorders>
              <w:top w:val="nil"/>
              <w:left w:val="nil"/>
              <w:bottom w:val="nil"/>
              <w:right w:val="nil"/>
            </w:tcBorders>
            <w:tcMar>
              <w:top w:w="0" w:type="dxa"/>
              <w:left w:w="62" w:type="dxa"/>
              <w:bottom w:w="0" w:type="dxa"/>
              <w:right w:w="62" w:type="dxa"/>
            </w:tcMar>
          </w:tcPr>
          <w:p w:rsidR="00000000" w:rsidRPr="00194D1F" w:rsidP="00194D1F">
            <w:pPr>
              <w:pStyle w:val="BodyText"/>
            </w:pPr>
            <w:r w:rsidRPr="00194D1F">
              <w:t>Co-assessed units that may be assessed with this unit to increase the efficiency and realism of the assessment process include:</w:t>
            </w:r>
          </w:p>
          <w:p w:rsidR="00000000" w:rsidRPr="00194D1F" w:rsidP="00194D1F">
            <w:pPr>
              <w:pStyle w:val="ListBullet2"/>
            </w:pPr>
            <w:r w:rsidRPr="00194D1F">
              <w:t>PSPETHC401A Uphold and support the values and principles of public service</w:t>
            </w:r>
          </w:p>
          <w:p w:rsidR="00000000" w:rsidRPr="00194D1F" w:rsidP="00194D1F">
            <w:pPr>
              <w:pStyle w:val="ListBullet2"/>
            </w:pPr>
            <w:r w:rsidRPr="00194D1F">
              <w:t>PSPGOV402B Deliver and monitor service to clients</w:t>
            </w:r>
          </w:p>
          <w:p w:rsidR="00000000" w:rsidRPr="00194D1F" w:rsidP="00194D1F">
            <w:pPr>
              <w:pStyle w:val="ListBullet2"/>
            </w:pPr>
            <w:r w:rsidRPr="00194D1F">
              <w:t>PSPGOV422A Apply government processes</w:t>
            </w:r>
          </w:p>
          <w:p w:rsidR="00000000" w:rsidRPr="00194D1F" w:rsidP="00194D1F">
            <w:pPr>
              <w:pStyle w:val="ListBullet2"/>
            </w:pPr>
            <w:r w:rsidRPr="00194D1F">
              <w:t>PSPGOV412A Use advanced workplace communication strategies</w:t>
            </w:r>
          </w:p>
          <w:p w:rsidR="00000000" w:rsidP="00194D1F">
            <w:pPr>
              <w:pStyle w:val="ListBullet2"/>
              <w:rPr>
                <w:lang w:val="en-NZ"/>
              </w:rPr>
            </w:pPr>
            <w:r w:rsidRPr="00194D1F">
              <w:t>PSPGOV406B Gather and analyse info</w:t>
            </w:r>
            <w:r w:rsidRPr="00194D1F">
              <w:t>rmation.</w:t>
            </w:r>
          </w:p>
        </w:tc>
      </w:tr>
      <w:tr w:rsidTr="00F109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1F">
            <w:pPr>
              <w:pStyle w:val="BodyText"/>
              <w:rPr>
                <w:lang w:val="en-NZ"/>
              </w:rPr>
            </w:pPr>
            <w:r w:rsidRPr="00194D1F">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194D1F" w:rsidP="00194D1F">
            <w:pPr>
              <w:pStyle w:val="BodyText"/>
            </w:pPr>
            <w:r w:rsidRPr="00194D1F">
              <w:t>In addition to integrated demonstration of the elements and their related performance criteria, look for evidence that confirms:</w:t>
            </w:r>
          </w:p>
          <w:p w:rsidR="00000000" w:rsidRPr="00194D1F" w:rsidP="00194D1F">
            <w:pPr>
              <w:pStyle w:val="ListBullet2"/>
            </w:pPr>
            <w:r w:rsidRPr="00194D1F">
              <w:t>knowledge requirements of this unit</w:t>
            </w:r>
          </w:p>
          <w:p w:rsidR="00000000" w:rsidRPr="00194D1F" w:rsidP="00194D1F">
            <w:pPr>
              <w:pStyle w:val="ListBullet2"/>
            </w:pPr>
            <w:r w:rsidRPr="00194D1F">
              <w:t>skill requirements of this unit</w:t>
            </w:r>
          </w:p>
          <w:p w:rsidR="00000000" w:rsidRPr="00194D1F" w:rsidP="00194D1F">
            <w:pPr>
              <w:pStyle w:val="ListBullet2"/>
            </w:pPr>
            <w:r w:rsidRPr="00194D1F">
              <w:t>application of employability skills as they relate to this unit.</w:t>
            </w:r>
          </w:p>
          <w:p w:rsidR="00000000" w:rsidP="00194D1F">
            <w:pPr>
              <w:pStyle w:val="BodyText"/>
              <w:rPr>
                <w:lang w:val="en-NZ"/>
              </w:rPr>
            </w:pPr>
            <w:r w:rsidRPr="00194D1F">
              <w:t>The assessment environment should not disadvantage the candidate and where the person has a disability the principle of reasonable adjustment should be applied during assessment.</w:t>
            </w:r>
          </w:p>
        </w:tc>
      </w:tr>
      <w:tr w:rsidTr="00F109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1F">
            <w:pPr>
              <w:pStyle w:val="BodyText"/>
              <w:rPr>
                <w:lang w:val="en-NZ"/>
              </w:rPr>
            </w:pPr>
            <w:r w:rsidRPr="00194D1F">
              <w:rPr>
                <w:rStyle w:val="SpecialBold"/>
              </w:rPr>
              <w:t>Resources r</w:t>
            </w:r>
            <w:r w:rsidRPr="00194D1F">
              <w:rPr>
                <w:rStyle w:val="SpecialBold"/>
              </w:rPr>
              <w:t>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194D1F" w:rsidP="00194D1F">
            <w:pPr>
              <w:pStyle w:val="BodyText"/>
            </w:pPr>
            <w:r w:rsidRPr="00194D1F">
              <w:t>These resources include:</w:t>
            </w:r>
          </w:p>
          <w:p w:rsidR="00000000" w:rsidRPr="00194D1F" w:rsidP="00194D1F">
            <w:pPr>
              <w:pStyle w:val="ListBullet2"/>
            </w:pPr>
            <w:r w:rsidRPr="00194D1F">
              <w:t>government legislation, regulations, rulings, Commissioner's practices and other applicable case law relating to levies, fines and other taxes</w:t>
            </w:r>
          </w:p>
          <w:p w:rsidR="00000000" w:rsidRPr="00194D1F" w:rsidP="00194D1F">
            <w:pPr>
              <w:pStyle w:val="ListBullet2"/>
            </w:pPr>
            <w:r w:rsidRPr="00194D1F">
              <w:t>organisational procedures and protocols relating to lev</w:t>
            </w:r>
            <w:r w:rsidRPr="00194D1F">
              <w:t>ies, fines and other taxes</w:t>
            </w:r>
          </w:p>
          <w:p w:rsidR="00000000" w:rsidRPr="00194D1F" w:rsidP="00194D1F">
            <w:pPr>
              <w:pStyle w:val="ListBullet2"/>
            </w:pPr>
            <w:r w:rsidRPr="00194D1F">
              <w:t>scenarios and case studies to capture the range of situations likely to be encountered when administering levies, fines and other taxes</w:t>
            </w:r>
          </w:p>
          <w:p w:rsidR="00000000" w:rsidP="00194D1F">
            <w:pPr>
              <w:pStyle w:val="ListBullet2"/>
              <w:rPr>
                <w:lang w:val="en-NZ"/>
              </w:rPr>
            </w:pPr>
            <w:r w:rsidRPr="00194D1F">
              <w:t>access to relevant systems.</w:t>
            </w:r>
          </w:p>
        </w:tc>
      </w:tr>
      <w:tr w:rsidTr="00F109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1F">
            <w:pPr>
              <w:pStyle w:val="BodyText"/>
              <w:rPr>
                <w:lang w:val="en-NZ"/>
              </w:rPr>
            </w:pPr>
            <w:r w:rsidRPr="00194D1F">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194D1F" w:rsidP="00194D1F">
            <w:pPr>
              <w:pStyle w:val="BodyText"/>
            </w:pPr>
            <w:r w:rsidRPr="00194D1F">
              <w:t xml:space="preserve">Valid assessment of this unit requires: </w:t>
            </w:r>
          </w:p>
          <w:p w:rsidR="00000000" w:rsidRPr="00194D1F" w:rsidP="00194D1F">
            <w:pPr>
              <w:pStyle w:val="ListBullet2"/>
            </w:pPr>
            <w:r w:rsidRPr="00194D1F">
              <w:t>a workplace environment or one that closely resembles normal work practice and replicates the range of conditions likely to be encountered when administering levies, fines and other taxes, including coping with dif</w:t>
            </w:r>
            <w:r w:rsidRPr="00194D1F">
              <w:t>ficulties, irregularities and breakdowns in routine</w:t>
            </w:r>
          </w:p>
          <w:p w:rsidR="00000000" w:rsidRPr="00194D1F" w:rsidP="00194D1F">
            <w:pPr>
              <w:pStyle w:val="ListBullet2"/>
            </w:pPr>
            <w:r w:rsidRPr="00194D1F">
              <w:t>administration of levies, fines and other taxes relating to a range of three or more contexts or occasions, over time.</w:t>
            </w:r>
          </w:p>
          <w:p w:rsidR="00000000" w:rsidRPr="00194D1F" w:rsidP="00194D1F">
            <w:pPr>
              <w:pStyle w:val="BodyText"/>
            </w:pPr>
            <w:r w:rsidRPr="00194D1F">
              <w:t>Assessment methods should reflect but not exceed workplace demands, such as literacy,</w:t>
            </w:r>
            <w:r w:rsidRPr="00194D1F">
              <w:t xml:space="preserve"> and the needs of individuals who might be disadvantaged.</w:t>
            </w:r>
          </w:p>
          <w:p w:rsidR="00000000" w:rsidRPr="00194D1F" w:rsidP="00194D1F">
            <w:pPr>
              <w:pStyle w:val="BodyText"/>
            </w:pPr>
            <w:r w:rsidRPr="00194D1F">
              <w:t>Assessment methods suitable for valid and reliable assessment of this unit must use authenticated evidence from the workplace and/or training courses and may include a combination of two or more of:</w:t>
            </w:r>
            <w:r w:rsidRPr="00194D1F">
              <w:t xml:space="preserve"> </w:t>
            </w:r>
          </w:p>
          <w:p w:rsidR="00000000" w:rsidRPr="00194D1F" w:rsidP="00194D1F">
            <w:pPr>
              <w:pStyle w:val="ListBullet2"/>
            </w:pPr>
            <w:r w:rsidRPr="00194D1F">
              <w:t>workplace projects</w:t>
            </w:r>
          </w:p>
          <w:p w:rsidR="00000000" w:rsidRPr="00194D1F" w:rsidP="00194D1F">
            <w:pPr>
              <w:pStyle w:val="ListBullet2"/>
            </w:pPr>
            <w:r w:rsidRPr="00194D1F">
              <w:t>simulation or role plays</w:t>
            </w:r>
          </w:p>
          <w:p w:rsidR="00000000" w:rsidRPr="00194D1F" w:rsidP="00194D1F">
            <w:pPr>
              <w:pStyle w:val="ListBullet2"/>
            </w:pPr>
            <w:r w:rsidRPr="00194D1F">
              <w:t>case studies and scenarios</w:t>
            </w:r>
          </w:p>
          <w:p w:rsidR="00000000" w:rsidRPr="00194D1F" w:rsidP="00194D1F">
            <w:pPr>
              <w:pStyle w:val="ListBullet2"/>
            </w:pPr>
            <w:r w:rsidRPr="00194D1F">
              <w:t>observation</w:t>
            </w:r>
          </w:p>
          <w:p w:rsidR="00000000" w:rsidRPr="00194D1F" w:rsidP="00194D1F">
            <w:pPr>
              <w:pStyle w:val="ListBullet2"/>
            </w:pPr>
            <w:r w:rsidRPr="00194D1F">
              <w:t>portfolios.</w:t>
            </w:r>
          </w:p>
          <w:p w:rsidR="00000000" w:rsidP="00194D1F">
            <w:pPr>
              <w:pStyle w:val="BodyText"/>
              <w:rPr>
                <w:lang w:val="en-NZ"/>
              </w:rPr>
            </w:pPr>
            <w:r w:rsidRPr="00194D1F">
              <w:t>The assessment environment should not disadvantage the candidate and where the person has a disability the principle of reasonable adjustment should be applie</w:t>
            </w:r>
            <w:r w:rsidRPr="00194D1F">
              <w:t>d during assessment.</w:t>
            </w:r>
          </w:p>
        </w:tc>
      </w:tr>
      <w:tr w:rsidTr="00F109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1F">
            <w:pPr>
              <w:pStyle w:val="BodyText"/>
              <w:rPr>
                <w:lang w:val="en-NZ"/>
              </w:rPr>
            </w:pPr>
            <w:r w:rsidRPr="00194D1F">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194D1F" w:rsidP="00194D1F">
            <w:pPr>
              <w:pStyle w:val="BodyText"/>
            </w:pPr>
            <w:r w:rsidRPr="00194D1F">
              <w:t>Evidence must be gathered over time in a range of contexts to ensure the person can achieve the unit outcome and apply the competency in different situations or environments.</w:t>
            </w:r>
          </w:p>
        </w:tc>
      </w:tr>
    </w:tbl>
    <w:p w:rsidR="00000000" w:rsidRPr="00194D1F" w:rsidP="00194D1F">
      <w:pPr>
        <w:pStyle w:val="BodyText"/>
      </w:pPr>
    </w:p>
    <w:p w:rsidR="00000000" w:rsidRPr="00194D1F" w:rsidP="00194D1F">
      <w:pPr>
        <w:pStyle w:val="AllowPageBreak"/>
      </w:pPr>
    </w:p>
    <w:p w:rsidR="00000000" w:rsidRPr="00194D1F" w:rsidP="00194D1F">
      <w:pPr>
        <w:pStyle w:val="Heading1"/>
      </w:pPr>
      <w:bookmarkStart w:id="11" w:name="O_499226"/>
      <w:bookmarkEnd w:id="11"/>
      <w:r w:rsidRPr="00194D1F">
        <w:t>Range Statement</w:t>
      </w:r>
    </w:p>
    <w:tbl>
      <w:tblPr>
        <w:tblW w:w="9322" w:type="dxa"/>
        <w:tblLayout w:type="fixed"/>
        <w:tblCellMar>
          <w:left w:w="62" w:type="dxa"/>
          <w:right w:w="62" w:type="dxa"/>
        </w:tblCellMar>
        <w:tblLook w:val="0000"/>
      </w:tblPr>
      <w:tblGrid>
        <w:gridCol w:w="2660"/>
        <w:gridCol w:w="6662"/>
      </w:tblGrid>
      <w:tr w:rsidTr="00F109C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94D1F">
            <w:pPr>
              <w:pStyle w:val="BodyText"/>
              <w:rPr>
                <w:lang w:val="en-NZ"/>
              </w:rPr>
            </w:pPr>
            <w:r w:rsidRPr="00194D1F">
              <w:t>The range statement provides information about the context in which the unit of competency is carried out. The variables cater for differences between States and Territories and the Commonwealth, and between organisations and workplaces. Th</w:t>
            </w:r>
            <w:r w:rsidRPr="00194D1F">
              <w:t xml:space="preserve">ey allow for different work requirements, work practices and knowledge. The range statement also provides a focus for assessment. It relates to the unit as a whole. Text in </w:t>
            </w:r>
            <w:r w:rsidRPr="00194D1F">
              <w:rPr>
                <w:rStyle w:val="BoldandItalics"/>
              </w:rPr>
              <w:t xml:space="preserve">bold italics </w:t>
            </w:r>
            <w:r w:rsidRPr="00194D1F">
              <w:t>in the Performance criteria is explained here.</w:t>
            </w:r>
          </w:p>
        </w:tc>
      </w:tr>
      <w:tr w:rsidTr="00F109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1F">
            <w:pPr>
              <w:pStyle w:val="BodyText"/>
              <w:rPr>
                <w:lang w:val="en-NZ"/>
              </w:rPr>
            </w:pPr>
            <w:r w:rsidRPr="00194D1F">
              <w:rPr>
                <w:rStyle w:val="BoldandItalics"/>
              </w:rPr>
              <w:t>Levies</w:t>
            </w:r>
            <w:r w:rsidRPr="00194D1F">
              <w:t xml:space="preserve">, </w:t>
            </w:r>
            <w:r w:rsidRPr="00194D1F">
              <w:rPr>
                <w:rStyle w:val="BoldandItalics"/>
              </w:rPr>
              <w:t>fines and oth</w:t>
            </w:r>
            <w:r w:rsidRPr="00194D1F">
              <w:rPr>
                <w:rStyle w:val="BoldandItalics"/>
              </w:rPr>
              <w:t>er taxes</w:t>
            </w:r>
            <w:r w:rsidRPr="00194D1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94D1F" w:rsidP="00194D1F">
            <w:pPr>
              <w:pStyle w:val="ListBullet2"/>
            </w:pPr>
            <w:r w:rsidRPr="00194D1F">
              <w:t>community ambulance cover levy</w:t>
            </w:r>
          </w:p>
          <w:p w:rsidR="00000000" w:rsidRPr="00194D1F" w:rsidP="00194D1F">
            <w:pPr>
              <w:pStyle w:val="ListBullet2"/>
            </w:pPr>
            <w:r w:rsidRPr="00194D1F">
              <w:t>fire services levy</w:t>
            </w:r>
          </w:p>
          <w:p w:rsidR="00000000" w:rsidRPr="00194D1F" w:rsidP="00194D1F">
            <w:pPr>
              <w:pStyle w:val="ListBullet2"/>
            </w:pPr>
            <w:r w:rsidRPr="00194D1F">
              <w:t>emergency services levy</w:t>
            </w:r>
          </w:p>
          <w:p w:rsidR="00000000" w:rsidRPr="00194D1F" w:rsidP="00194D1F">
            <w:pPr>
              <w:pStyle w:val="ListBullet2"/>
            </w:pPr>
            <w:r w:rsidRPr="00194D1F">
              <w:t>fire and emergency services levy</w:t>
            </w:r>
          </w:p>
          <w:p w:rsidR="00000000" w:rsidRPr="00194D1F" w:rsidP="00194D1F">
            <w:pPr>
              <w:pStyle w:val="ListBullet2"/>
            </w:pPr>
            <w:r w:rsidRPr="00194D1F">
              <w:t>health insurance levy</w:t>
            </w:r>
          </w:p>
          <w:p w:rsidR="00000000" w:rsidRPr="00194D1F" w:rsidP="00194D1F">
            <w:pPr>
              <w:pStyle w:val="ListBullet2"/>
            </w:pPr>
            <w:r w:rsidRPr="00194D1F">
              <w:t>Medicare levy</w:t>
            </w:r>
          </w:p>
          <w:p w:rsidR="00000000" w:rsidRPr="00194D1F" w:rsidP="00194D1F">
            <w:pPr>
              <w:pStyle w:val="ListBullet2"/>
            </w:pPr>
            <w:r w:rsidRPr="00194D1F">
              <w:t>agricultural protection scheme</w:t>
            </w:r>
          </w:p>
          <w:p w:rsidR="00000000" w:rsidRPr="00194D1F" w:rsidP="00194D1F">
            <w:pPr>
              <w:pStyle w:val="ListBullet2"/>
            </w:pPr>
            <w:r w:rsidRPr="00194D1F">
              <w:t>parking space levy</w:t>
            </w:r>
          </w:p>
          <w:p w:rsidR="00000000" w:rsidRPr="00194D1F" w:rsidP="00194D1F">
            <w:pPr>
              <w:pStyle w:val="ListBullet2"/>
            </w:pPr>
            <w:r w:rsidRPr="00194D1F">
              <w:t>metropolitan regional improvement tax</w:t>
            </w:r>
          </w:p>
          <w:p w:rsidR="00000000" w:rsidRPr="00194D1F" w:rsidP="00194D1F">
            <w:pPr>
              <w:pStyle w:val="ListBullet2"/>
            </w:pPr>
            <w:r w:rsidRPr="00194D1F">
              <w:t>city centre marketing and improvement levy</w:t>
            </w:r>
          </w:p>
          <w:p w:rsidR="00000000" w:rsidRPr="00194D1F" w:rsidP="00194D1F">
            <w:pPr>
              <w:pStyle w:val="ListBullet2"/>
            </w:pPr>
            <w:r w:rsidRPr="00194D1F">
              <w:t>fuel subsidies</w:t>
            </w:r>
          </w:p>
          <w:p w:rsidR="00000000" w:rsidRPr="00194D1F" w:rsidP="00194D1F">
            <w:pPr>
              <w:pStyle w:val="ListBullet2"/>
            </w:pPr>
            <w:r w:rsidRPr="00194D1F">
              <w:t>speeding fines</w:t>
            </w:r>
          </w:p>
          <w:p w:rsidR="00000000" w:rsidRPr="00194D1F" w:rsidP="00194D1F">
            <w:pPr>
              <w:pStyle w:val="ListBullet2"/>
            </w:pPr>
            <w:r w:rsidRPr="00194D1F">
              <w:t>red light camera fines</w:t>
            </w:r>
          </w:p>
          <w:p w:rsidR="00000000" w:rsidRPr="00194D1F" w:rsidP="00194D1F">
            <w:pPr>
              <w:pStyle w:val="ListBullet2"/>
            </w:pPr>
            <w:r w:rsidRPr="00194D1F">
              <w:t>parking fines</w:t>
            </w:r>
          </w:p>
          <w:p w:rsidR="00000000" w:rsidRPr="00194D1F" w:rsidP="00194D1F">
            <w:pPr>
              <w:pStyle w:val="ListBullet2"/>
            </w:pPr>
            <w:r w:rsidRPr="00194D1F">
              <w:t>council infringement fines</w:t>
            </w:r>
          </w:p>
          <w:p w:rsidR="00000000" w:rsidP="00194D1F">
            <w:pPr>
              <w:pStyle w:val="ListBullet2"/>
              <w:rPr>
                <w:lang w:val="en-NZ"/>
              </w:rPr>
            </w:pPr>
            <w:r w:rsidRPr="00194D1F">
              <w:t>court imposed fines</w:t>
            </w:r>
          </w:p>
        </w:tc>
      </w:tr>
      <w:tr w:rsidTr="00F109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1F">
            <w:pPr>
              <w:pStyle w:val="BodyText"/>
              <w:rPr>
                <w:lang w:val="en-NZ"/>
              </w:rPr>
            </w:pPr>
            <w:r w:rsidRPr="00194D1F">
              <w:rPr>
                <w:rStyle w:val="BoldandItalics"/>
              </w:rPr>
              <w:t>Rulings</w:t>
            </w:r>
            <w:r w:rsidRPr="00194D1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94D1F" w:rsidP="00194D1F">
            <w:pPr>
              <w:pStyle w:val="ListBullet2"/>
            </w:pPr>
            <w:r w:rsidRPr="00194D1F">
              <w:t>revenue rulings</w:t>
            </w:r>
          </w:p>
          <w:p w:rsidR="00000000" w:rsidRPr="00194D1F" w:rsidP="00194D1F">
            <w:pPr>
              <w:pStyle w:val="ListBullet2"/>
            </w:pPr>
            <w:r w:rsidRPr="00194D1F">
              <w:t>tax rulings</w:t>
            </w:r>
          </w:p>
          <w:p w:rsidR="00000000" w:rsidRPr="00194D1F" w:rsidP="00194D1F">
            <w:pPr>
              <w:pStyle w:val="ListBullet2"/>
            </w:pPr>
            <w:r w:rsidRPr="00194D1F">
              <w:t>public rulings</w:t>
            </w:r>
          </w:p>
          <w:p w:rsidR="00000000" w:rsidRPr="00194D1F" w:rsidP="00194D1F">
            <w:pPr>
              <w:pStyle w:val="ListBullet2"/>
            </w:pPr>
            <w:r w:rsidRPr="00194D1F">
              <w:t>circulars</w:t>
            </w:r>
          </w:p>
          <w:p w:rsidR="00000000" w:rsidP="00194D1F">
            <w:pPr>
              <w:pStyle w:val="ListBullet2"/>
              <w:rPr>
                <w:lang w:val="en-NZ"/>
              </w:rPr>
            </w:pPr>
            <w:r w:rsidRPr="00194D1F">
              <w:t>Commissioner's determinations</w:t>
            </w:r>
          </w:p>
        </w:tc>
      </w:tr>
      <w:tr w:rsidTr="00F109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1F">
            <w:pPr>
              <w:pStyle w:val="BodyText"/>
              <w:rPr>
                <w:lang w:val="en-NZ"/>
              </w:rPr>
            </w:pPr>
            <w:r w:rsidRPr="00194D1F">
              <w:rPr>
                <w:rStyle w:val="BoldandItalics"/>
              </w:rPr>
              <w:t>Commissioner's practices</w:t>
            </w:r>
            <w:r w:rsidRPr="00194D1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94D1F" w:rsidP="00194D1F">
            <w:pPr>
              <w:pStyle w:val="ListBullet2"/>
            </w:pPr>
            <w:r w:rsidRPr="00194D1F">
              <w:t>practices designated by Commissioner of Revenue or Australian Taxation Commissioner</w:t>
            </w:r>
          </w:p>
          <w:p w:rsidR="00000000" w:rsidRPr="00194D1F" w:rsidP="00194D1F">
            <w:pPr>
              <w:pStyle w:val="ListBullet2"/>
            </w:pPr>
            <w:r w:rsidRPr="00194D1F">
              <w:t>Commissioner's Guidelines and Circulars</w:t>
            </w:r>
          </w:p>
          <w:p w:rsidR="00000000" w:rsidRPr="00194D1F" w:rsidP="00194D1F">
            <w:pPr>
              <w:pStyle w:val="ListBullet2"/>
            </w:pPr>
            <w:r w:rsidRPr="00194D1F">
              <w:t>practice directions</w:t>
            </w:r>
          </w:p>
          <w:p w:rsidR="00000000" w:rsidRPr="00194D1F" w:rsidP="00194D1F">
            <w:pPr>
              <w:pStyle w:val="ListBullet2"/>
            </w:pPr>
            <w:r w:rsidRPr="00194D1F">
              <w:t>public guidelines</w:t>
            </w:r>
          </w:p>
          <w:p w:rsidR="00000000" w:rsidRPr="00194D1F" w:rsidP="00194D1F">
            <w:pPr>
              <w:pStyle w:val="ListBullet2"/>
            </w:pPr>
            <w:r w:rsidRPr="00194D1F">
              <w:t>public practices</w:t>
            </w:r>
          </w:p>
          <w:p w:rsidR="00000000" w:rsidRPr="00194D1F" w:rsidP="00194D1F">
            <w:pPr>
              <w:pStyle w:val="ListBullet2"/>
            </w:pPr>
            <w:r w:rsidRPr="00194D1F">
              <w:t>Treasur</w:t>
            </w:r>
            <w:r w:rsidRPr="00194D1F">
              <w:t>er's directions</w:t>
            </w:r>
          </w:p>
          <w:p w:rsidR="00000000" w:rsidRPr="00194D1F" w:rsidP="00194D1F">
            <w:pPr>
              <w:pStyle w:val="ListBullet2"/>
            </w:pPr>
            <w:r w:rsidRPr="00194D1F">
              <w:t>business rules</w:t>
            </w:r>
          </w:p>
          <w:p w:rsidR="00000000" w:rsidRPr="00194D1F" w:rsidP="00194D1F">
            <w:pPr>
              <w:pStyle w:val="ListBullet2"/>
            </w:pPr>
            <w:r w:rsidRPr="00194D1F">
              <w:t>circulars</w:t>
            </w:r>
          </w:p>
          <w:p w:rsidR="00000000" w:rsidRPr="00194D1F" w:rsidP="00194D1F">
            <w:pPr>
              <w:pStyle w:val="ListBullet2"/>
            </w:pPr>
            <w:r w:rsidRPr="00194D1F">
              <w:t>operating policies</w:t>
            </w:r>
          </w:p>
          <w:p w:rsidR="00000000" w:rsidP="00194D1F">
            <w:pPr>
              <w:pStyle w:val="ListBullet2"/>
              <w:rPr>
                <w:lang w:val="en-NZ"/>
              </w:rPr>
            </w:pPr>
            <w:r w:rsidRPr="00194D1F">
              <w:t>technical and procedural instructions</w:t>
            </w:r>
          </w:p>
        </w:tc>
      </w:tr>
      <w:tr w:rsidTr="00F109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1F">
            <w:pPr>
              <w:pStyle w:val="BodyText"/>
              <w:rPr>
                <w:lang w:val="en-NZ"/>
              </w:rPr>
            </w:pPr>
            <w:r w:rsidRPr="00194D1F">
              <w:rPr>
                <w:rStyle w:val="BoldandItalics"/>
              </w:rPr>
              <w:t>Exemptions</w:t>
            </w:r>
            <w:r w:rsidRPr="00194D1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94D1F" w:rsidP="00194D1F">
            <w:pPr>
              <w:pStyle w:val="ListBullet2"/>
            </w:pPr>
            <w:r w:rsidRPr="00194D1F">
              <w:t>threshold exemptions</w:t>
            </w:r>
          </w:p>
          <w:p w:rsidR="00000000" w:rsidRPr="00194D1F" w:rsidP="00194D1F">
            <w:pPr>
              <w:pStyle w:val="ListBullet2"/>
            </w:pPr>
            <w:r w:rsidRPr="00194D1F">
              <w:t>pensioner exemptions</w:t>
            </w:r>
          </w:p>
          <w:p w:rsidR="00000000" w:rsidRPr="00194D1F" w:rsidP="00194D1F">
            <w:pPr>
              <w:pStyle w:val="ListBullet2"/>
            </w:pPr>
            <w:r w:rsidRPr="00194D1F">
              <w:t>farming shed exemptions</w:t>
            </w:r>
          </w:p>
          <w:p w:rsidR="00000000" w:rsidRPr="00194D1F" w:rsidP="00194D1F">
            <w:pPr>
              <w:pStyle w:val="ListBullet2"/>
            </w:pPr>
            <w:r w:rsidRPr="00194D1F">
              <w:t>pump exemptions</w:t>
            </w:r>
          </w:p>
          <w:p w:rsidR="00000000" w:rsidP="00194D1F">
            <w:pPr>
              <w:pStyle w:val="ListBullet2"/>
              <w:rPr>
                <w:lang w:val="en-NZ"/>
              </w:rPr>
            </w:pPr>
            <w:r w:rsidRPr="00194D1F">
              <w:t>exemptions under retail parking levy</w:t>
            </w:r>
          </w:p>
        </w:tc>
      </w:tr>
      <w:tr w:rsidTr="00F109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1F">
            <w:pPr>
              <w:pStyle w:val="BodyText"/>
              <w:rPr>
                <w:lang w:val="en-NZ"/>
              </w:rPr>
            </w:pPr>
            <w:r w:rsidRPr="00194D1F">
              <w:rPr>
                <w:rStyle w:val="BoldandItalics"/>
              </w:rPr>
              <w:t>Remissions or reductions</w:t>
            </w:r>
            <w:r w:rsidRPr="00194D1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94D1F" w:rsidP="00194D1F">
            <w:pPr>
              <w:pStyle w:val="ListBullet2"/>
            </w:pPr>
            <w:r w:rsidRPr="00194D1F">
              <w:t>land usage</w:t>
            </w:r>
          </w:p>
          <w:p w:rsidR="00000000" w:rsidRPr="00194D1F" w:rsidP="00194D1F">
            <w:pPr>
              <w:pStyle w:val="ListBullet2"/>
            </w:pPr>
            <w:r w:rsidRPr="00194D1F">
              <w:t>regional area</w:t>
            </w:r>
          </w:p>
          <w:p w:rsidR="00000000" w:rsidRPr="00194D1F" w:rsidP="00194D1F">
            <w:pPr>
              <w:pStyle w:val="ListBullet2"/>
            </w:pPr>
            <w:r w:rsidRPr="00194D1F">
              <w:t>single farming enterprise</w:t>
            </w:r>
          </w:p>
          <w:p w:rsidR="00000000" w:rsidRPr="00194D1F" w:rsidP="00194D1F">
            <w:pPr>
              <w:pStyle w:val="ListBullet2"/>
            </w:pPr>
            <w:r w:rsidRPr="00194D1F">
              <w:t>contiguous land</w:t>
            </w:r>
          </w:p>
          <w:p w:rsidR="00000000" w:rsidRPr="00194D1F" w:rsidP="00194D1F">
            <w:pPr>
              <w:pStyle w:val="ListBullet2"/>
            </w:pPr>
            <w:r w:rsidRPr="00194D1F">
              <w:t>concessions</w:t>
            </w:r>
          </w:p>
          <w:p w:rsidR="00000000" w:rsidRPr="00194D1F" w:rsidP="00194D1F">
            <w:pPr>
              <w:pStyle w:val="ListBullet2"/>
            </w:pPr>
            <w:r w:rsidRPr="00194D1F">
              <w:t xml:space="preserve">business rules </w:t>
            </w:r>
          </w:p>
          <w:p w:rsidR="00000000" w:rsidRPr="00194D1F" w:rsidP="00194D1F">
            <w:pPr>
              <w:pStyle w:val="ListBullet2"/>
            </w:pPr>
            <w:r w:rsidRPr="00194D1F">
              <w:t>reasonable care</w:t>
            </w:r>
          </w:p>
          <w:p w:rsidR="00000000" w:rsidRPr="00194D1F" w:rsidP="00194D1F">
            <w:pPr>
              <w:pStyle w:val="ListBullet2"/>
            </w:pPr>
            <w:r w:rsidRPr="00194D1F">
              <w:t>matters beyond control of customer</w:t>
            </w:r>
          </w:p>
          <w:p w:rsidR="00000000" w:rsidRPr="00194D1F" w:rsidP="00194D1F">
            <w:pPr>
              <w:pStyle w:val="ListBullet2"/>
            </w:pPr>
            <w:r w:rsidRPr="00194D1F">
              <w:t>first offence applications</w:t>
            </w:r>
          </w:p>
          <w:p w:rsidR="00000000" w:rsidRPr="00194D1F" w:rsidP="00194D1F">
            <w:pPr>
              <w:pStyle w:val="ListBullet2"/>
            </w:pPr>
            <w:r w:rsidRPr="00194D1F">
              <w:t>driving offences</w:t>
            </w:r>
          </w:p>
          <w:p w:rsidR="00000000" w:rsidP="00194D1F">
            <w:pPr>
              <w:pStyle w:val="ListBullet2"/>
              <w:rPr>
                <w:lang w:val="en-NZ"/>
              </w:rPr>
            </w:pPr>
            <w:r w:rsidRPr="00194D1F">
              <w:t>government remissions</w:t>
            </w:r>
          </w:p>
        </w:tc>
      </w:tr>
      <w:tr w:rsidTr="00F109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1F">
            <w:pPr>
              <w:pStyle w:val="BodyText"/>
              <w:rPr>
                <w:lang w:val="en-NZ"/>
              </w:rPr>
            </w:pPr>
            <w:r w:rsidRPr="00194D1F">
              <w:rPr>
                <w:rStyle w:val="BoldandItalics"/>
              </w:rPr>
              <w:t>Documentary requirements</w:t>
            </w:r>
            <w:r w:rsidRPr="00194D1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94D1F" w:rsidP="00194D1F">
            <w:pPr>
              <w:pStyle w:val="ListBullet2"/>
            </w:pPr>
            <w:r w:rsidRPr="00194D1F">
              <w:t>record keeping</w:t>
            </w:r>
          </w:p>
          <w:p w:rsidR="00000000" w:rsidRPr="00194D1F" w:rsidP="00194D1F">
            <w:pPr>
              <w:pStyle w:val="ListBullet2"/>
            </w:pPr>
            <w:r w:rsidRPr="00194D1F">
              <w:t>report writing</w:t>
            </w:r>
          </w:p>
          <w:p w:rsidR="00000000" w:rsidRPr="00194D1F" w:rsidP="00194D1F">
            <w:pPr>
              <w:pStyle w:val="ListBullet2"/>
            </w:pPr>
            <w:r w:rsidRPr="00194D1F">
              <w:t>correspondence</w:t>
            </w:r>
          </w:p>
          <w:p w:rsidR="00000000" w:rsidRPr="00194D1F" w:rsidP="00194D1F">
            <w:pPr>
              <w:pStyle w:val="ListBullet2"/>
            </w:pPr>
            <w:r w:rsidRPr="00194D1F">
              <w:t>approved forms</w:t>
            </w:r>
          </w:p>
          <w:p w:rsidR="00000000" w:rsidRPr="00194D1F" w:rsidP="00194D1F">
            <w:pPr>
              <w:pStyle w:val="ListBullet2"/>
            </w:pPr>
            <w:r w:rsidRPr="00194D1F">
              <w:t>required supporting documentation</w:t>
            </w:r>
          </w:p>
          <w:p w:rsidR="00000000" w:rsidRPr="00194D1F" w:rsidP="00194D1F">
            <w:pPr>
              <w:pStyle w:val="ListBullet2"/>
            </w:pPr>
            <w:r w:rsidRPr="00194D1F">
              <w:t>photographic evidence</w:t>
            </w:r>
          </w:p>
          <w:p w:rsidR="00000000" w:rsidRPr="00194D1F" w:rsidP="00194D1F">
            <w:pPr>
              <w:pStyle w:val="ListBullet2"/>
            </w:pPr>
            <w:r w:rsidRPr="00194D1F">
              <w:t>speed and traffic light cameras</w:t>
            </w:r>
          </w:p>
          <w:p w:rsidR="00000000" w:rsidRPr="00194D1F" w:rsidP="00194D1F">
            <w:pPr>
              <w:pStyle w:val="ListBullet2"/>
            </w:pPr>
            <w:r w:rsidRPr="00194D1F">
              <w:t>imaging of returns and correspondence</w:t>
            </w:r>
          </w:p>
          <w:p w:rsidR="00000000" w:rsidP="00194D1F">
            <w:pPr>
              <w:pStyle w:val="ListBullet2"/>
              <w:rPr>
                <w:lang w:val="en-NZ"/>
              </w:rPr>
            </w:pPr>
            <w:r w:rsidRPr="00194D1F">
              <w:t>formal notices of service to produce (for court proceedings)</w:t>
            </w:r>
          </w:p>
        </w:tc>
      </w:tr>
      <w:tr w:rsidTr="00F109C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94D1F">
            <w:pPr>
              <w:pStyle w:val="BodyText"/>
              <w:rPr>
                <w:lang w:val="en-NZ"/>
              </w:rPr>
            </w:pPr>
            <w:r w:rsidRPr="00194D1F">
              <w:rPr>
                <w:rStyle w:val="BoldandItalics"/>
              </w:rPr>
              <w:t>Complaints</w:t>
            </w:r>
            <w:r w:rsidRPr="00194D1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94D1F" w:rsidP="00194D1F">
            <w:pPr>
              <w:pStyle w:val="ListBullet2"/>
            </w:pPr>
            <w:r w:rsidRPr="00194D1F">
              <w:t>objections, e.g. those relating to community ambulance levy</w:t>
            </w:r>
          </w:p>
        </w:tc>
      </w:tr>
    </w:tbl>
    <w:p w:rsidR="00F109C8" w:rsidP="00194D1F">
      <w:pPr>
        <w:pStyle w:val="BodyText"/>
      </w:pPr>
    </w:p>
    <w:p w:rsidR="00F109C8" w:rsidP="00194D1F">
      <w:pPr>
        <w:pStyle w:val="BodyText"/>
      </w:pPr>
    </w:p>
    <w:p w:rsidR="00000000" w:rsidRPr="00194D1F" w:rsidP="00194D1F">
      <w:pPr>
        <w:pStyle w:val="Heading1"/>
      </w:pPr>
      <w:bookmarkStart w:id="12" w:name="O_499229"/>
      <w:bookmarkEnd w:id="12"/>
      <w:r w:rsidRPr="00194D1F">
        <w:t>Unit Sector(s)</w:t>
      </w:r>
    </w:p>
    <w:p w:rsidR="00000000" w:rsidRPr="00194D1F" w:rsidP="00194D1F">
      <w:pPr>
        <w:pStyle w:val="BodyText"/>
      </w:pPr>
      <w:r w:rsidRPr="00194D1F">
        <w:t>Not applicable.</w:t>
      </w:r>
    </w:p>
    <w:p w:rsidR="00000000" w:rsidRPr="00194D1F" w:rsidP="00194D1F">
      <w:pPr>
        <w:pStyle w:val="AllowPageBreak"/>
      </w:pPr>
    </w:p>
    <w:p w:rsidR="00000000" w:rsidRPr="00194D1F" w:rsidP="00194D1F">
      <w:pPr>
        <w:pStyle w:val="Heading1"/>
      </w:pPr>
      <w:bookmarkStart w:id="13" w:name="O_499237"/>
      <w:bookmarkEnd w:id="13"/>
      <w:r w:rsidRPr="00194D1F">
        <w:t>Competency field</w:t>
      </w:r>
    </w:p>
    <w:p w:rsidR="00000000" w:rsidRPr="00194D1F" w:rsidP="00194D1F">
      <w:pPr>
        <w:pStyle w:val="BodyText"/>
      </w:pPr>
      <w:r w:rsidRPr="00194D1F">
        <w:t>Revenue Administration.</w:t>
      </w:r>
    </w:p>
    <w:p w:rsidR="00000000" w:rsidRPr="00194D1F" w:rsidP="00194D1F"/>
    <w:sectPr w:rsidSect="00194D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D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09C8" w:rsidP="00F109C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D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9C8" w:rsidP="00194D1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109C8" w:rsidP="00194D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109C8" w:rsidP="00194D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D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D1F" w:rsidRPr="00F109C8" w:rsidP="00F109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D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9C8" w:rsidRPr="002D2AF8" w:rsidP="00194D1F">
    <w:pPr>
      <w:pStyle w:val="Header"/>
      <w:framePr w:wrap="around"/>
    </w:pPr>
    <w:r>
      <w:fldChar w:fldCharType="begin"/>
    </w:r>
    <w:r>
      <w:instrText xml:space="preserve"> TITLE   \* MERGEFORMAT </w:instrText>
    </w:r>
    <w:r>
      <w:fldChar w:fldCharType="separate"/>
    </w:r>
    <w:r>
      <w:t>PSPREV409A Administer levies, fines and other taxes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F109C8" w:rsidP="00194D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5082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B17439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D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D1F"/>
    <w:pPr>
      <w:spacing w:before="360" w:after="60"/>
      <w:outlineLvl w:val="0"/>
    </w:pPr>
    <w:rPr>
      <w:sz w:val="32"/>
    </w:rPr>
  </w:style>
  <w:style w:type="paragraph" w:styleId="Heading2">
    <w:name w:val="heading 2"/>
    <w:basedOn w:val="HeadingBase"/>
    <w:next w:val="BodyText"/>
    <w:link w:val="Heading2Char"/>
    <w:qFormat/>
    <w:rsid w:val="00194D1F"/>
    <w:pPr>
      <w:keepLines/>
      <w:spacing w:before="240" w:after="120"/>
      <w:outlineLvl w:val="1"/>
    </w:pPr>
    <w:rPr>
      <w:sz w:val="28"/>
      <w:szCs w:val="40"/>
    </w:rPr>
  </w:style>
  <w:style w:type="paragraph" w:styleId="Heading3">
    <w:name w:val="heading 3"/>
    <w:basedOn w:val="HeadingBase"/>
    <w:next w:val="BodyText"/>
    <w:link w:val="Heading3Char"/>
    <w:qFormat/>
    <w:rsid w:val="00194D1F"/>
    <w:pPr>
      <w:spacing w:before="180" w:after="120"/>
      <w:outlineLvl w:val="2"/>
    </w:pPr>
    <w:rPr>
      <w:spacing w:val="-10"/>
      <w:kern w:val="32"/>
    </w:rPr>
  </w:style>
  <w:style w:type="paragraph" w:styleId="Heading4">
    <w:name w:val="heading 4"/>
    <w:basedOn w:val="HeadingBase"/>
    <w:next w:val="BodyText"/>
    <w:link w:val="Heading4Char"/>
    <w:qFormat/>
    <w:rsid w:val="00194D1F"/>
    <w:pPr>
      <w:spacing w:before="160" w:after="120"/>
      <w:outlineLvl w:val="3"/>
    </w:pPr>
    <w:rPr>
      <w:sz w:val="22"/>
    </w:rPr>
  </w:style>
  <w:style w:type="paragraph" w:styleId="Heading5">
    <w:name w:val="heading 5"/>
    <w:basedOn w:val="HeadingBase"/>
    <w:next w:val="Normal"/>
    <w:link w:val="Heading5Char"/>
    <w:qFormat/>
    <w:rsid w:val="00194D1F"/>
    <w:pPr>
      <w:spacing w:before="80"/>
      <w:outlineLvl w:val="4"/>
    </w:pPr>
    <w:rPr>
      <w:color w:val="918585"/>
      <w:sz w:val="20"/>
    </w:rPr>
  </w:style>
  <w:style w:type="paragraph" w:styleId="Heading6">
    <w:name w:val="heading 6"/>
    <w:basedOn w:val="HeadingBase"/>
    <w:next w:val="Normal"/>
    <w:link w:val="Heading6Char"/>
    <w:qFormat/>
    <w:rsid w:val="00194D1F"/>
    <w:pPr>
      <w:spacing w:before="60"/>
      <w:outlineLvl w:val="5"/>
    </w:pPr>
    <w:rPr>
      <w:color w:val="918585"/>
      <w:sz w:val="20"/>
    </w:rPr>
  </w:style>
  <w:style w:type="paragraph" w:styleId="Heading7">
    <w:name w:val="heading 7"/>
    <w:basedOn w:val="Normal"/>
    <w:next w:val="Normal"/>
    <w:link w:val="Heading7Char"/>
    <w:qFormat/>
    <w:rsid w:val="00194D1F"/>
    <w:pPr>
      <w:ind w:left="720"/>
      <w:outlineLvl w:val="6"/>
    </w:pPr>
    <w:rPr>
      <w:i/>
    </w:rPr>
  </w:style>
  <w:style w:type="paragraph" w:styleId="Heading8">
    <w:name w:val="heading 8"/>
    <w:basedOn w:val="Normal"/>
    <w:next w:val="Normal"/>
    <w:link w:val="Heading8Char"/>
    <w:qFormat/>
    <w:rsid w:val="00194D1F"/>
    <w:pPr>
      <w:ind w:left="720"/>
      <w:outlineLvl w:val="7"/>
    </w:pPr>
    <w:rPr>
      <w:i/>
    </w:rPr>
  </w:style>
  <w:style w:type="paragraph" w:styleId="Heading9">
    <w:name w:val="heading 9"/>
    <w:basedOn w:val="Normal"/>
    <w:next w:val="Normal"/>
    <w:link w:val="Heading9Char"/>
    <w:qFormat/>
    <w:rsid w:val="00194D1F"/>
    <w:pPr>
      <w:ind w:left="720"/>
      <w:outlineLvl w:val="8"/>
    </w:pPr>
    <w:rPr>
      <w:i/>
    </w:rPr>
  </w:style>
  <w:style w:type="character" w:default="1" w:styleId="DefaultParagraphFont">
    <w:name w:val="Default Paragraph Font"/>
    <w:uiPriority w:val="1"/>
    <w:unhideWhenUsed/>
    <w:rsid w:val="00194D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D1F"/>
  </w:style>
  <w:style w:type="character" w:customStyle="1" w:styleId="Heading1Char">
    <w:name w:val="Heading 1 Char"/>
    <w:basedOn w:val="DefaultParagraphFont"/>
    <w:link w:val="Heading1"/>
    <w:rsid w:val="00194D1F"/>
    <w:rPr>
      <w:rFonts w:ascii="Times New Roman" w:eastAsia="Times New Roman" w:hAnsi="Times New Roman" w:cs="Times New Roman"/>
      <w:b/>
      <w:sz w:val="32"/>
      <w:szCs w:val="20"/>
      <w:lang w:eastAsia="en-US"/>
    </w:rPr>
  </w:style>
  <w:style w:type="paragraph" w:styleId="BodyText">
    <w:name w:val="Body Text"/>
    <w:basedOn w:val="Normal"/>
    <w:link w:val="BodyTextChar"/>
    <w:rsid w:val="00194D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4D1F"/>
    <w:rPr>
      <w:rFonts w:ascii="Times New Roman" w:eastAsia="Times New Roman" w:hAnsi="Times New Roman" w:cs="Times New Roman"/>
      <w:sz w:val="24"/>
      <w:lang w:eastAsia="en-US"/>
    </w:rPr>
  </w:style>
  <w:style w:type="paragraph" w:styleId="Footer">
    <w:name w:val="footer"/>
    <w:basedOn w:val="Normal"/>
    <w:link w:val="FooterChar"/>
    <w:rsid w:val="00194D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D1F"/>
    <w:rPr>
      <w:rFonts w:ascii="Times New Roman" w:eastAsia="Times New Roman" w:hAnsi="Times New Roman" w:cs="Times New Roman"/>
      <w:sz w:val="16"/>
      <w:lang w:eastAsia="en-US"/>
    </w:rPr>
  </w:style>
  <w:style w:type="paragraph" w:styleId="List">
    <w:name w:val="List"/>
    <w:basedOn w:val="BodyText"/>
    <w:next w:val="BodyText"/>
    <w:rsid w:val="00194D1F"/>
    <w:pPr>
      <w:tabs>
        <w:tab w:val="left" w:pos="340"/>
      </w:tabs>
      <w:spacing w:before="60" w:after="60"/>
      <w:ind w:left="340" w:hanging="340"/>
    </w:pPr>
  </w:style>
  <w:style w:type="character" w:customStyle="1" w:styleId="SpecialBold">
    <w:name w:val="Special Bold"/>
    <w:basedOn w:val="DefaultParagraphFont"/>
    <w:rsid w:val="00194D1F"/>
    <w:rPr>
      <w:b/>
      <w:spacing w:val="0"/>
    </w:rPr>
  </w:style>
  <w:style w:type="paragraph" w:styleId="ListBullet2">
    <w:name w:val="List Bullet 2"/>
    <w:basedOn w:val="List2"/>
    <w:rsid w:val="00194D1F"/>
    <w:pPr>
      <w:numPr>
        <w:numId w:val="13"/>
      </w:numPr>
      <w:tabs>
        <w:tab w:val="clear" w:pos="680"/>
      </w:tabs>
    </w:pPr>
  </w:style>
  <w:style w:type="paragraph" w:customStyle="1" w:styleId="SuperHeading">
    <w:name w:val="SuperHeading"/>
    <w:basedOn w:val="Normal"/>
    <w:rsid w:val="00194D1F"/>
    <w:pPr>
      <w:spacing w:before="240" w:after="120"/>
      <w:outlineLvl w:val="0"/>
    </w:pPr>
    <w:rPr>
      <w:rFonts w:ascii="Times New Roman" w:hAnsi="Times New Roman"/>
      <w:b/>
      <w:sz w:val="28"/>
    </w:rPr>
  </w:style>
  <w:style w:type="paragraph" w:customStyle="1" w:styleId="AllowPageBreak">
    <w:name w:val="AllowPageBreak"/>
    <w:rsid w:val="00194D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4D1F"/>
    <w:rPr>
      <w:b/>
      <w:i/>
      <w:u w:val="none"/>
    </w:rPr>
  </w:style>
  <w:style w:type="character" w:customStyle="1" w:styleId="Heading2Char">
    <w:name w:val="Heading 2 Char"/>
    <w:basedOn w:val="DefaultParagraphFont"/>
    <w:link w:val="Heading2"/>
    <w:rsid w:val="00194D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D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D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D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D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D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D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D1F"/>
    <w:rPr>
      <w:rFonts w:ascii="Courier New" w:eastAsia="Times New Roman" w:hAnsi="Courier New" w:cs="Times New Roman"/>
      <w:i/>
      <w:szCs w:val="20"/>
      <w:lang w:eastAsia="en-US"/>
    </w:rPr>
  </w:style>
  <w:style w:type="paragraph" w:customStyle="1" w:styleId="HeadingBase">
    <w:name w:val="Heading Base"/>
    <w:rsid w:val="00194D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D1F"/>
    <w:pPr>
      <w:tabs>
        <w:tab w:val="right" w:leader="dot" w:pos="9072"/>
      </w:tabs>
      <w:ind w:left="567"/>
    </w:pPr>
    <w:rPr>
      <w:szCs w:val="22"/>
    </w:rPr>
  </w:style>
  <w:style w:type="paragraph" w:customStyle="1" w:styleId="TOCBase">
    <w:name w:val="TOC Base"/>
    <w:rsid w:val="00194D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D1F"/>
    <w:pPr>
      <w:tabs>
        <w:tab w:val="right" w:leader="dot" w:pos="9072"/>
      </w:tabs>
      <w:spacing w:before="40" w:after="40"/>
      <w:ind w:left="284"/>
    </w:pPr>
    <w:rPr>
      <w:rFonts w:ascii="Times New Roman" w:hAnsi="Times New Roman"/>
    </w:rPr>
  </w:style>
  <w:style w:type="paragraph" w:styleId="TOC1">
    <w:name w:val="toc 1"/>
    <w:basedOn w:val="TOCBase"/>
    <w:next w:val="Normal"/>
    <w:rsid w:val="00194D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4D1F"/>
    <w:pPr>
      <w:spacing w:before="5040"/>
      <w:jc w:val="center"/>
    </w:pPr>
    <w:rPr>
      <w:sz w:val="48"/>
      <w:szCs w:val="72"/>
      <w:lang w:val="en-US"/>
    </w:rPr>
  </w:style>
  <w:style w:type="character" w:customStyle="1" w:styleId="TitleChar">
    <w:name w:val="Title Char"/>
    <w:basedOn w:val="DefaultParagraphFont"/>
    <w:link w:val="Title"/>
    <w:rsid w:val="00194D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D1F"/>
    <w:pPr>
      <w:tabs>
        <w:tab w:val="left" w:pos="3600"/>
        <w:tab w:val="left" w:pos="3958"/>
      </w:tabs>
    </w:pPr>
  </w:style>
  <w:style w:type="paragraph" w:styleId="ListBullet">
    <w:name w:val="List Bullet"/>
    <w:basedOn w:val="List"/>
    <w:rsid w:val="00194D1F"/>
    <w:pPr>
      <w:numPr>
        <w:numId w:val="12"/>
      </w:numPr>
      <w:tabs>
        <w:tab w:val="clear" w:pos="340"/>
      </w:tabs>
      <w:spacing w:before="40" w:after="40"/>
    </w:pPr>
  </w:style>
  <w:style w:type="paragraph" w:customStyle="1" w:styleId="Note">
    <w:name w:val="Note"/>
    <w:basedOn w:val="BodyText"/>
    <w:rsid w:val="00194D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4D1F"/>
    <w:pPr>
      <w:framePr w:wrap="auto" w:hAnchor="text" w:y="6049"/>
    </w:pPr>
    <w:rPr>
      <w:color w:val="000000"/>
      <w:sz w:val="40"/>
    </w:rPr>
  </w:style>
  <w:style w:type="paragraph" w:customStyle="1" w:styleId="TOCTitle">
    <w:name w:val="TOCTitle"/>
    <w:basedOn w:val="Heading1"/>
    <w:rsid w:val="00194D1F"/>
    <w:pPr>
      <w:spacing w:after="240"/>
      <w:jc w:val="center"/>
      <w:outlineLvl w:val="9"/>
    </w:pPr>
    <w:rPr>
      <w:caps/>
    </w:rPr>
  </w:style>
  <w:style w:type="paragraph" w:customStyle="1" w:styleId="Version">
    <w:name w:val="Version"/>
    <w:rsid w:val="00194D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4D1F"/>
    <w:pPr>
      <w:keepNext w:val="0"/>
      <w:tabs>
        <w:tab w:val="right" w:pos="4176"/>
      </w:tabs>
      <w:ind w:left="198" w:hanging="198"/>
    </w:pPr>
    <w:rPr>
      <w:rFonts w:ascii="Garamond" w:hAnsi="Garamond"/>
    </w:rPr>
  </w:style>
  <w:style w:type="paragraph" w:styleId="IndexHeading">
    <w:name w:val="index heading"/>
    <w:basedOn w:val="Normal"/>
    <w:next w:val="Index1"/>
    <w:semiHidden/>
    <w:rsid w:val="00194D1F"/>
    <w:pPr>
      <w:spacing w:before="120" w:after="120"/>
    </w:pPr>
    <w:rPr>
      <w:rFonts w:ascii="Arial" w:hAnsi="Arial"/>
      <w:b/>
      <w:color w:val="918585"/>
      <w:sz w:val="24"/>
    </w:rPr>
  </w:style>
  <w:style w:type="paragraph" w:styleId="Header">
    <w:name w:val="header"/>
    <w:basedOn w:val="Normal"/>
    <w:link w:val="HeaderChar"/>
    <w:rsid w:val="00194D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D1F"/>
    <w:rPr>
      <w:rFonts w:ascii="Times New Roman" w:eastAsia="Times New Roman" w:hAnsi="Times New Roman" w:cs="Times New Roman"/>
      <w:sz w:val="16"/>
      <w:szCs w:val="20"/>
      <w:lang w:val="en-GB" w:eastAsia="en-US"/>
    </w:rPr>
  </w:style>
  <w:style w:type="paragraph" w:customStyle="1" w:styleId="Chapter">
    <w:name w:val="Chapter"/>
    <w:basedOn w:val="Normal"/>
    <w:rsid w:val="00194D1F"/>
    <w:pPr>
      <w:spacing w:before="240"/>
    </w:pPr>
    <w:rPr>
      <w:rFonts w:ascii="Times New Roman" w:hAnsi="Times New Roman"/>
      <w:smallCaps/>
      <w:spacing w:val="80"/>
      <w:sz w:val="28"/>
    </w:rPr>
  </w:style>
  <w:style w:type="paragraph" w:customStyle="1" w:styleId="InChapter">
    <w:name w:val="InChapter"/>
    <w:basedOn w:val="Heading3"/>
    <w:rsid w:val="00194D1F"/>
    <w:pPr>
      <w:spacing w:after="240"/>
      <w:outlineLvl w:val="9"/>
    </w:pPr>
    <w:rPr>
      <w:noProof/>
    </w:rPr>
  </w:style>
  <w:style w:type="paragraph" w:styleId="Index2">
    <w:name w:val="index 2"/>
    <w:basedOn w:val="Normal"/>
    <w:next w:val="Normal"/>
    <w:semiHidden/>
    <w:rsid w:val="00194D1F"/>
    <w:pPr>
      <w:tabs>
        <w:tab w:val="right" w:pos="4176"/>
      </w:tabs>
      <w:ind w:left="568" w:hanging="284"/>
    </w:pPr>
    <w:rPr>
      <w:rFonts w:ascii="Garamond" w:hAnsi="Garamond"/>
    </w:rPr>
  </w:style>
  <w:style w:type="paragraph" w:customStyle="1" w:styleId="Byline">
    <w:name w:val="Byline"/>
    <w:rsid w:val="00194D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D1F"/>
    <w:pPr>
      <w:tabs>
        <w:tab w:val="clear" w:pos="3600"/>
        <w:tab w:val="clear" w:pos="3958"/>
      </w:tabs>
      <w:jc w:val="right"/>
    </w:pPr>
  </w:style>
  <w:style w:type="character" w:styleId="Emphasis">
    <w:name w:val="Emphasis"/>
    <w:basedOn w:val="DefaultParagraphFont"/>
    <w:qFormat/>
    <w:rsid w:val="00194D1F"/>
    <w:rPr>
      <w:i/>
    </w:rPr>
  </w:style>
  <w:style w:type="paragraph" w:styleId="Caption">
    <w:name w:val="caption"/>
    <w:basedOn w:val="BodyText"/>
    <w:next w:val="Normal"/>
    <w:qFormat/>
    <w:rsid w:val="00194D1F"/>
    <w:pPr>
      <w:framePr w:w="2268" w:hSpace="181" w:vSpace="181" w:wrap="around" w:vAnchor="text" w:hAnchor="page" w:x="1135" w:y="285" w:anchorLock="1"/>
    </w:pPr>
    <w:rPr>
      <w:i/>
    </w:rPr>
  </w:style>
  <w:style w:type="paragraph" w:customStyle="1" w:styleId="MiniTOCTitle">
    <w:name w:val="MiniTOCTitle"/>
    <w:basedOn w:val="Heading4"/>
    <w:rsid w:val="00194D1F"/>
    <w:pPr>
      <w:spacing w:before="240"/>
      <w:outlineLvl w:val="9"/>
    </w:pPr>
    <w:rPr>
      <w:noProof/>
      <w:sz w:val="24"/>
    </w:rPr>
  </w:style>
  <w:style w:type="paragraph" w:customStyle="1" w:styleId="MiniTOCItem">
    <w:name w:val="MiniTOCItem"/>
    <w:basedOn w:val="ListBullet"/>
    <w:rsid w:val="00194D1F"/>
    <w:pPr>
      <w:numPr>
        <w:numId w:val="0"/>
      </w:numPr>
      <w:tabs>
        <w:tab w:val="right" w:leader="dot" w:pos="6521"/>
      </w:tabs>
      <w:spacing w:before="0" w:after="0"/>
    </w:pPr>
  </w:style>
  <w:style w:type="paragraph" w:customStyle="1" w:styleId="TOFTitle">
    <w:name w:val="TOFTitle"/>
    <w:basedOn w:val="TOCTitle"/>
    <w:rsid w:val="00194D1F"/>
  </w:style>
  <w:style w:type="paragraph" w:styleId="TableofFigures">
    <w:name w:val="table of figures"/>
    <w:basedOn w:val="Normal"/>
    <w:next w:val="Normal"/>
    <w:semiHidden/>
    <w:rsid w:val="00194D1F"/>
    <w:pPr>
      <w:tabs>
        <w:tab w:val="right" w:leader="dot" w:pos="9072"/>
      </w:tabs>
      <w:ind w:left="970" w:hanging="403"/>
    </w:pPr>
    <w:rPr>
      <w:rFonts w:ascii="Times New Roman" w:hAnsi="Times New Roman"/>
      <w:b/>
    </w:rPr>
  </w:style>
  <w:style w:type="paragraph" w:styleId="ListNumber">
    <w:name w:val="List Number"/>
    <w:basedOn w:val="List"/>
    <w:rsid w:val="00194D1F"/>
    <w:pPr>
      <w:numPr>
        <w:numId w:val="10"/>
      </w:numPr>
    </w:pPr>
  </w:style>
  <w:style w:type="character" w:customStyle="1" w:styleId="WingdingSymbols">
    <w:name w:val="Wingding Symbols"/>
    <w:rsid w:val="00194D1F"/>
    <w:rPr>
      <w:rFonts w:ascii="Wingdings" w:hAnsi="Wingdings"/>
    </w:rPr>
  </w:style>
  <w:style w:type="paragraph" w:customStyle="1" w:styleId="TableHeading">
    <w:name w:val="Table Heading"/>
    <w:basedOn w:val="HeadingBase"/>
    <w:rsid w:val="00194D1F"/>
    <w:pPr>
      <w:keepLines/>
      <w:pBdr>
        <w:bottom w:val="single" w:sz="6" w:space="1" w:color="918585"/>
      </w:pBdr>
      <w:spacing w:before="240"/>
    </w:pPr>
  </w:style>
  <w:style w:type="character" w:customStyle="1" w:styleId="HotSpot">
    <w:name w:val="HotSpot"/>
    <w:rsid w:val="00194D1F"/>
    <w:rPr>
      <w:color w:val="0033CC"/>
      <w:u w:val="none"/>
    </w:rPr>
  </w:style>
  <w:style w:type="paragraph" w:customStyle="1" w:styleId="BodyTextRight">
    <w:name w:val="Body Text Right"/>
    <w:basedOn w:val="BodyText"/>
    <w:rsid w:val="00194D1F"/>
    <w:pPr>
      <w:spacing w:before="0" w:after="0"/>
      <w:jc w:val="right"/>
    </w:pPr>
  </w:style>
  <w:style w:type="paragraph" w:styleId="Index3">
    <w:name w:val="index 3"/>
    <w:basedOn w:val="ListNumber2"/>
    <w:next w:val="Normal"/>
    <w:semiHidden/>
    <w:rsid w:val="00194D1F"/>
    <w:pPr>
      <w:numPr>
        <w:numId w:val="0"/>
      </w:numPr>
      <w:tabs>
        <w:tab w:val="right" w:leader="dot" w:pos="4176"/>
      </w:tabs>
    </w:pPr>
  </w:style>
  <w:style w:type="paragraph" w:styleId="ListNumber2">
    <w:name w:val="List Number 2"/>
    <w:basedOn w:val="List2"/>
    <w:rsid w:val="00194D1F"/>
    <w:pPr>
      <w:numPr>
        <w:numId w:val="9"/>
      </w:numPr>
      <w:tabs>
        <w:tab w:val="clear" w:pos="1060"/>
      </w:tabs>
    </w:pPr>
  </w:style>
  <w:style w:type="paragraph" w:customStyle="1" w:styleId="MarginNote">
    <w:name w:val="Margin Note"/>
    <w:basedOn w:val="BodyText"/>
    <w:rsid w:val="00194D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D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D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D1F"/>
    <w:rPr>
      <w:sz w:val="32"/>
    </w:rPr>
  </w:style>
  <w:style w:type="paragraph" w:customStyle="1" w:styleId="HeadingProcedure">
    <w:name w:val="Heading Procedure"/>
    <w:basedOn w:val="HeadingBase"/>
    <w:next w:val="Normal"/>
    <w:rsid w:val="00194D1F"/>
    <w:pPr>
      <w:tabs>
        <w:tab w:val="left" w:pos="0"/>
      </w:tabs>
      <w:spacing w:before="120" w:after="60"/>
    </w:pPr>
    <w:rPr>
      <w:i/>
      <w:color w:val="918585"/>
      <w:sz w:val="22"/>
    </w:rPr>
  </w:style>
  <w:style w:type="paragraph" w:customStyle="1" w:styleId="TableBodyText">
    <w:name w:val="Table Body Text"/>
    <w:basedOn w:val="BodyText"/>
    <w:rsid w:val="00194D1F"/>
    <w:pPr>
      <w:spacing w:before="60" w:after="60"/>
    </w:pPr>
  </w:style>
  <w:style w:type="paragraph" w:styleId="ListContinue">
    <w:name w:val="List Continue"/>
    <w:basedOn w:val="List"/>
    <w:rsid w:val="00194D1F"/>
    <w:pPr>
      <w:ind w:firstLine="0"/>
    </w:pPr>
  </w:style>
  <w:style w:type="paragraph" w:customStyle="1" w:styleId="ListNote">
    <w:name w:val="List Note"/>
    <w:basedOn w:val="List"/>
    <w:rsid w:val="00194D1F"/>
    <w:pPr>
      <w:pBdr>
        <w:top w:val="single" w:sz="6" w:space="2" w:color="918585"/>
        <w:bottom w:val="single" w:sz="6" w:space="2" w:color="918585"/>
      </w:pBdr>
      <w:tabs>
        <w:tab w:val="left" w:pos="1021"/>
      </w:tabs>
      <w:ind w:firstLine="0"/>
    </w:pPr>
  </w:style>
  <w:style w:type="paragraph" w:customStyle="1" w:styleId="Warning">
    <w:name w:val="Warning"/>
    <w:basedOn w:val="BodyText"/>
    <w:rsid w:val="00194D1F"/>
    <w:pPr>
      <w:shd w:val="clear" w:color="auto" w:fill="D9D9D9"/>
      <w:tabs>
        <w:tab w:val="left" w:pos="992"/>
      </w:tabs>
      <w:ind w:left="119" w:right="119"/>
    </w:pPr>
    <w:rPr>
      <w:sz w:val="20"/>
    </w:rPr>
  </w:style>
  <w:style w:type="paragraph" w:customStyle="1" w:styleId="MarginIcons">
    <w:name w:val="Margin Icons"/>
    <w:basedOn w:val="BodyText"/>
    <w:rsid w:val="00194D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D1F"/>
    <w:rPr>
      <w:rFonts w:ascii="Courier New" w:hAnsi="Courier New"/>
    </w:rPr>
  </w:style>
  <w:style w:type="paragraph" w:customStyle="1" w:styleId="NoteBullet">
    <w:name w:val="Note Bullet"/>
    <w:basedOn w:val="Note"/>
    <w:rsid w:val="00194D1F"/>
    <w:pPr>
      <w:tabs>
        <w:tab w:val="clear" w:pos="680"/>
      </w:tabs>
      <w:spacing w:before="60" w:after="60"/>
    </w:pPr>
  </w:style>
  <w:style w:type="paragraph" w:customStyle="1" w:styleId="SubHeading2">
    <w:name w:val="SubHeading2"/>
    <w:basedOn w:val="HeadingBase"/>
    <w:rsid w:val="00194D1F"/>
    <w:pPr>
      <w:spacing w:before="240" w:after="60"/>
    </w:pPr>
    <w:rPr>
      <w:sz w:val="20"/>
    </w:rPr>
  </w:style>
  <w:style w:type="paragraph" w:customStyle="1" w:styleId="SubHeading1">
    <w:name w:val="SubHeading1"/>
    <w:basedOn w:val="HeadingBase"/>
    <w:rsid w:val="00194D1F"/>
    <w:pPr>
      <w:spacing w:before="240" w:after="60"/>
    </w:pPr>
    <w:rPr>
      <w:color w:val="918585"/>
      <w:sz w:val="22"/>
    </w:rPr>
  </w:style>
  <w:style w:type="paragraph" w:customStyle="1" w:styleId="SideHeading">
    <w:name w:val="Side Heading"/>
    <w:basedOn w:val="HeadingBase"/>
    <w:rsid w:val="00194D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D1F"/>
    <w:pPr>
      <w:tabs>
        <w:tab w:val="num" w:pos="360"/>
      </w:tabs>
    </w:pPr>
  </w:style>
  <w:style w:type="paragraph" w:styleId="PlainText">
    <w:name w:val="Plain Text"/>
    <w:basedOn w:val="Normal"/>
    <w:link w:val="PlainTextChar"/>
    <w:rsid w:val="00194D1F"/>
    <w:rPr>
      <w:sz w:val="20"/>
    </w:rPr>
  </w:style>
  <w:style w:type="character" w:customStyle="1" w:styleId="PlainTextChar">
    <w:name w:val="Plain Text Char"/>
    <w:basedOn w:val="DefaultParagraphFont"/>
    <w:link w:val="PlainText"/>
    <w:rsid w:val="00194D1F"/>
    <w:rPr>
      <w:rFonts w:ascii="Courier New" w:eastAsia="Times New Roman" w:hAnsi="Courier New" w:cs="Times New Roman"/>
      <w:sz w:val="20"/>
      <w:szCs w:val="20"/>
      <w:lang w:eastAsia="en-US"/>
    </w:rPr>
  </w:style>
  <w:style w:type="character" w:customStyle="1" w:styleId="MenuOption">
    <w:name w:val="Menu Option"/>
    <w:basedOn w:val="DefaultParagraphFont"/>
    <w:rsid w:val="00194D1F"/>
    <w:rPr>
      <w:b/>
      <w:smallCaps/>
    </w:rPr>
  </w:style>
  <w:style w:type="paragraph" w:customStyle="1" w:styleId="TableListNumber">
    <w:name w:val="Table List Number"/>
    <w:basedOn w:val="ListNumber"/>
    <w:rsid w:val="00194D1F"/>
    <w:pPr>
      <w:numPr>
        <w:numId w:val="0"/>
      </w:numPr>
    </w:pPr>
  </w:style>
  <w:style w:type="paragraph" w:styleId="TOC4">
    <w:name w:val="toc 4"/>
    <w:basedOn w:val="TOCBase"/>
    <w:next w:val="Normal"/>
    <w:semiHidden/>
    <w:rsid w:val="00194D1F"/>
    <w:pPr>
      <w:tabs>
        <w:tab w:val="right" w:leader="dot" w:pos="9071"/>
      </w:tabs>
      <w:ind w:left="1701"/>
    </w:pPr>
  </w:style>
  <w:style w:type="paragraph" w:customStyle="1" w:styleId="ListAlpha">
    <w:name w:val="List Alpha"/>
    <w:basedOn w:val="List"/>
    <w:rsid w:val="00194D1F"/>
    <w:pPr>
      <w:numPr>
        <w:numId w:val="8"/>
      </w:numPr>
    </w:pPr>
  </w:style>
  <w:style w:type="paragraph" w:customStyle="1" w:styleId="ListAlpha2">
    <w:name w:val="List Alpha 2"/>
    <w:basedOn w:val="List2"/>
    <w:rsid w:val="00194D1F"/>
    <w:pPr>
      <w:numPr>
        <w:numId w:val="7"/>
      </w:numPr>
    </w:pPr>
  </w:style>
  <w:style w:type="paragraph" w:styleId="List2">
    <w:name w:val="List 2"/>
    <w:basedOn w:val="BodyText"/>
    <w:rsid w:val="00194D1F"/>
    <w:pPr>
      <w:tabs>
        <w:tab w:val="left" w:pos="680"/>
      </w:tabs>
      <w:spacing w:before="60" w:after="60"/>
      <w:ind w:left="680" w:hanging="340"/>
    </w:pPr>
  </w:style>
  <w:style w:type="paragraph" w:styleId="List3">
    <w:name w:val="List 3"/>
    <w:basedOn w:val="BodyText"/>
    <w:rsid w:val="00194D1F"/>
    <w:pPr>
      <w:tabs>
        <w:tab w:val="left" w:pos="1021"/>
      </w:tabs>
      <w:spacing w:before="60" w:after="60"/>
      <w:ind w:left="1020" w:hanging="340"/>
    </w:pPr>
  </w:style>
  <w:style w:type="paragraph" w:styleId="List4">
    <w:name w:val="List 4"/>
    <w:basedOn w:val="BodyText"/>
    <w:rsid w:val="00194D1F"/>
    <w:pPr>
      <w:tabs>
        <w:tab w:val="left" w:pos="1361"/>
      </w:tabs>
      <w:spacing w:before="60" w:after="60"/>
      <w:ind w:left="1361" w:hanging="340"/>
    </w:pPr>
  </w:style>
  <w:style w:type="paragraph" w:styleId="List5">
    <w:name w:val="List 5"/>
    <w:basedOn w:val="BodyText"/>
    <w:rsid w:val="00194D1F"/>
    <w:pPr>
      <w:tabs>
        <w:tab w:val="left" w:pos="1701"/>
      </w:tabs>
      <w:spacing w:before="60" w:after="60"/>
      <w:ind w:left="1701" w:hanging="340"/>
    </w:pPr>
  </w:style>
  <w:style w:type="paragraph" w:styleId="ListBullet3">
    <w:name w:val="List Bullet 3"/>
    <w:basedOn w:val="List3"/>
    <w:rsid w:val="00194D1F"/>
    <w:pPr>
      <w:numPr>
        <w:numId w:val="14"/>
      </w:numPr>
      <w:tabs>
        <w:tab w:val="clear" w:pos="1021"/>
      </w:tabs>
      <w:ind w:left="1037" w:hanging="357"/>
    </w:pPr>
  </w:style>
  <w:style w:type="paragraph" w:styleId="ListBullet4">
    <w:name w:val="List Bullet 4"/>
    <w:basedOn w:val="List4"/>
    <w:rsid w:val="00194D1F"/>
    <w:pPr>
      <w:numPr>
        <w:numId w:val="2"/>
      </w:numPr>
    </w:pPr>
  </w:style>
  <w:style w:type="paragraph" w:styleId="ListBullet5">
    <w:name w:val="List Bullet 5"/>
    <w:basedOn w:val="List5"/>
    <w:rsid w:val="00194D1F"/>
    <w:pPr>
      <w:numPr>
        <w:numId w:val="3"/>
      </w:numPr>
    </w:pPr>
  </w:style>
  <w:style w:type="paragraph" w:styleId="ListContinue2">
    <w:name w:val="List Continue 2"/>
    <w:basedOn w:val="List2"/>
    <w:rsid w:val="00194D1F"/>
    <w:pPr>
      <w:ind w:firstLine="0"/>
    </w:pPr>
  </w:style>
  <w:style w:type="paragraph" w:styleId="ListContinue3">
    <w:name w:val="List Continue 3"/>
    <w:basedOn w:val="List3"/>
    <w:rsid w:val="00194D1F"/>
    <w:pPr>
      <w:ind w:left="1021" w:firstLine="0"/>
    </w:pPr>
  </w:style>
  <w:style w:type="paragraph" w:styleId="ListContinue4">
    <w:name w:val="List Continue 4"/>
    <w:basedOn w:val="List4"/>
    <w:rsid w:val="00194D1F"/>
    <w:pPr>
      <w:ind w:firstLine="0"/>
    </w:pPr>
  </w:style>
  <w:style w:type="paragraph" w:styleId="ListContinue5">
    <w:name w:val="List Continue 5"/>
    <w:basedOn w:val="List5"/>
    <w:rsid w:val="00194D1F"/>
    <w:pPr>
      <w:ind w:firstLine="0"/>
    </w:pPr>
  </w:style>
  <w:style w:type="paragraph" w:styleId="ListNumber3">
    <w:name w:val="List Number 3"/>
    <w:basedOn w:val="List3"/>
    <w:rsid w:val="00194D1F"/>
    <w:pPr>
      <w:numPr>
        <w:numId w:val="4"/>
      </w:numPr>
    </w:pPr>
  </w:style>
  <w:style w:type="paragraph" w:styleId="ListNumber4">
    <w:name w:val="List Number 4"/>
    <w:basedOn w:val="List4"/>
    <w:rsid w:val="00194D1F"/>
    <w:pPr>
      <w:numPr>
        <w:numId w:val="5"/>
      </w:numPr>
    </w:pPr>
  </w:style>
  <w:style w:type="paragraph" w:styleId="ListNumber5">
    <w:name w:val="List Number 5"/>
    <w:basedOn w:val="List5"/>
    <w:rsid w:val="00194D1F"/>
    <w:pPr>
      <w:numPr>
        <w:numId w:val="6"/>
      </w:numPr>
    </w:pPr>
  </w:style>
  <w:style w:type="paragraph" w:styleId="BlockText">
    <w:name w:val="Block Text"/>
    <w:basedOn w:val="Normal"/>
    <w:rsid w:val="00194D1F"/>
    <w:pPr>
      <w:spacing w:after="120"/>
      <w:ind w:left="1440" w:right="1440"/>
    </w:pPr>
  </w:style>
  <w:style w:type="character" w:customStyle="1" w:styleId="Subscript">
    <w:name w:val="Subscript"/>
    <w:basedOn w:val="DefaultParagraphFont"/>
    <w:rsid w:val="00194D1F"/>
    <w:rPr>
      <w:sz w:val="16"/>
      <w:vertAlign w:val="subscript"/>
    </w:rPr>
  </w:style>
  <w:style w:type="character" w:customStyle="1" w:styleId="Superscript">
    <w:name w:val="Superscript"/>
    <w:basedOn w:val="DefaultParagraphFont"/>
    <w:rsid w:val="00194D1F"/>
    <w:rPr>
      <w:sz w:val="16"/>
      <w:vertAlign w:val="superscript"/>
    </w:rPr>
  </w:style>
  <w:style w:type="character" w:customStyle="1" w:styleId="Symbols">
    <w:name w:val="Symbols"/>
    <w:basedOn w:val="DefaultParagraphFont"/>
    <w:rsid w:val="00194D1F"/>
    <w:rPr>
      <w:rFonts w:ascii="Symbol" w:hAnsi="Symbol"/>
    </w:rPr>
  </w:style>
  <w:style w:type="character" w:customStyle="1" w:styleId="MenuOptions">
    <w:name w:val="Menu Options"/>
    <w:basedOn w:val="DefaultParagraphFont"/>
    <w:rsid w:val="00194D1F"/>
    <w:rPr>
      <w:rFonts w:ascii="Arial Narrow" w:hAnsi="Arial Narrow"/>
      <w:smallCaps/>
    </w:rPr>
  </w:style>
  <w:style w:type="character" w:customStyle="1" w:styleId="Buttons">
    <w:name w:val="Buttons"/>
    <w:basedOn w:val="DefaultParagraphFont"/>
    <w:rsid w:val="00194D1F"/>
    <w:rPr>
      <w:b/>
    </w:rPr>
  </w:style>
  <w:style w:type="character" w:customStyle="1" w:styleId="Underlined">
    <w:name w:val="Underlined"/>
    <w:basedOn w:val="DefaultParagraphFont"/>
    <w:rsid w:val="00194D1F"/>
    <w:rPr>
      <w:u w:val="single"/>
    </w:rPr>
  </w:style>
  <w:style w:type="paragraph" w:customStyle="1" w:styleId="TableBodyTextRight">
    <w:name w:val="Table Body Text Right"/>
    <w:basedOn w:val="TableBodyText"/>
    <w:rsid w:val="00194D1F"/>
    <w:pPr>
      <w:widowControl w:val="0"/>
      <w:autoSpaceDE w:val="0"/>
      <w:autoSpaceDN w:val="0"/>
      <w:adjustRightInd w:val="0"/>
      <w:jc w:val="right"/>
    </w:pPr>
    <w:rPr>
      <w:rFonts w:cs="Arial"/>
      <w:szCs w:val="18"/>
    </w:rPr>
  </w:style>
  <w:style w:type="paragraph" w:customStyle="1" w:styleId="CopyrightText">
    <w:name w:val="Copyright Text"/>
    <w:basedOn w:val="BodyText"/>
    <w:rsid w:val="00194D1F"/>
    <w:rPr>
      <w:sz w:val="18"/>
    </w:rPr>
  </w:style>
  <w:style w:type="paragraph" w:customStyle="1" w:styleId="BodySmallRight">
    <w:name w:val="Body Small Right"/>
    <w:basedOn w:val="BodyTextRight"/>
    <w:rsid w:val="00194D1F"/>
    <w:rPr>
      <w:sz w:val="18"/>
      <w:szCs w:val="18"/>
    </w:rPr>
  </w:style>
  <w:style w:type="paragraph" w:customStyle="1" w:styleId="MarginEdition">
    <w:name w:val="Margin Edition"/>
    <w:basedOn w:val="MarginNote"/>
    <w:rsid w:val="00194D1F"/>
    <w:pPr>
      <w:spacing w:before="0" w:after="0"/>
    </w:pPr>
    <w:rPr>
      <w:rFonts w:ascii="Times New Roman" w:hAnsi="Times New Roman"/>
      <w:color w:val="999999"/>
    </w:rPr>
  </w:style>
  <w:style w:type="paragraph" w:customStyle="1" w:styleId="Spacer">
    <w:name w:val="Spacer"/>
    <w:basedOn w:val="Normal"/>
    <w:rsid w:val="00194D1F"/>
    <w:rPr>
      <w:sz w:val="2"/>
      <w:szCs w:val="2"/>
    </w:rPr>
  </w:style>
  <w:style w:type="character" w:customStyle="1" w:styleId="Small">
    <w:name w:val="Small"/>
    <w:basedOn w:val="DefaultParagraphFont"/>
    <w:rsid w:val="00194D1F"/>
    <w:rPr>
      <w:sz w:val="16"/>
    </w:rPr>
  </w:style>
  <w:style w:type="paragraph" w:customStyle="1" w:styleId="WideTable">
    <w:name w:val="Wide Table"/>
    <w:basedOn w:val="Normal"/>
    <w:rsid w:val="00194D1F"/>
    <w:pPr>
      <w:ind w:left="-1418"/>
    </w:pPr>
    <w:rPr>
      <w:sz w:val="2"/>
      <w:szCs w:val="2"/>
    </w:rPr>
  </w:style>
  <w:style w:type="character" w:styleId="PageNumber">
    <w:name w:val="page number"/>
    <w:basedOn w:val="DefaultParagraphFont"/>
    <w:rsid w:val="00194D1F"/>
  </w:style>
  <w:style w:type="paragraph" w:styleId="Quote">
    <w:name w:val="Quote"/>
    <w:basedOn w:val="Heading1"/>
    <w:link w:val="QuoteChar"/>
    <w:qFormat/>
    <w:rsid w:val="00194D1F"/>
    <w:rPr>
      <w:b w:val="0"/>
      <w:sz w:val="72"/>
      <w:szCs w:val="72"/>
      <w:lang w:val="en-NZ"/>
    </w:rPr>
  </w:style>
  <w:style w:type="character" w:customStyle="1" w:styleId="QuoteChar">
    <w:name w:val="Quote Char"/>
    <w:basedOn w:val="DefaultParagraphFont"/>
    <w:link w:val="Quote"/>
    <w:rsid w:val="00194D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D1F"/>
    <w:pPr>
      <w:pageBreakBefore/>
    </w:pPr>
  </w:style>
  <w:style w:type="paragraph" w:customStyle="1" w:styleId="Border">
    <w:name w:val="Border"/>
    <w:basedOn w:val="Normal"/>
    <w:qFormat/>
    <w:rsid w:val="00194D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D1F"/>
    <w:rPr>
      <w:b/>
      <w:bCs/>
      <w:i/>
      <w:iCs/>
      <w:color w:val="auto"/>
    </w:rPr>
  </w:style>
  <w:style w:type="paragraph" w:styleId="IntenseQuote">
    <w:name w:val="Intense Quote"/>
    <w:basedOn w:val="Normal"/>
    <w:next w:val="Normal"/>
    <w:link w:val="IntenseQuoteChar"/>
    <w:uiPriority w:val="30"/>
    <w:qFormat/>
    <w:rsid w:val="00194D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D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D1F"/>
    <w:rPr>
      <w:smallCaps/>
      <w:color w:val="auto"/>
      <w:u w:val="single"/>
    </w:rPr>
  </w:style>
  <w:style w:type="character" w:styleId="IntenseReference">
    <w:name w:val="Intense Reference"/>
    <w:basedOn w:val="DefaultParagraphFont"/>
    <w:uiPriority w:val="32"/>
    <w:qFormat/>
    <w:rsid w:val="00194D1F"/>
    <w:rPr>
      <w:b/>
      <w:bCs/>
      <w:smallCaps/>
      <w:color w:val="auto"/>
      <w:spacing w:val="5"/>
      <w:u w:val="single"/>
    </w:rPr>
  </w:style>
  <w:style w:type="paragraph" w:customStyle="1" w:styleId="2ColumnHeading">
    <w:name w:val="2Column Heading"/>
    <w:basedOn w:val="BodyText"/>
    <w:qFormat/>
    <w:rsid w:val="00194D1F"/>
    <w:pPr>
      <w:spacing w:after="60"/>
      <w:ind w:left="-2268"/>
    </w:pPr>
    <w:rPr>
      <w:b/>
    </w:rPr>
  </w:style>
  <w:style w:type="paragraph" w:customStyle="1" w:styleId="Heading1TOC">
    <w:name w:val="Heading1 TOC"/>
    <w:basedOn w:val="Normal"/>
    <w:qFormat/>
    <w:rsid w:val="00194D1F"/>
    <w:pPr>
      <w:spacing w:before="240" w:after="120"/>
    </w:pPr>
    <w:rPr>
      <w:rFonts w:ascii="Times New Roman" w:hAnsi="Times New Roman"/>
      <w:b/>
      <w:sz w:val="32"/>
    </w:rPr>
  </w:style>
  <w:style w:type="paragraph" w:customStyle="1" w:styleId="Heading2TOC">
    <w:name w:val="Heading2 TOC"/>
    <w:basedOn w:val="Normal"/>
    <w:qFormat/>
    <w:rsid w:val="00194D1F"/>
    <w:pPr>
      <w:spacing w:before="240" w:after="60"/>
    </w:pPr>
    <w:rPr>
      <w:rFonts w:ascii="Times New Roman" w:hAnsi="Times New Roman"/>
      <w:b/>
      <w:sz w:val="28"/>
    </w:rPr>
  </w:style>
  <w:style w:type="character" w:customStyle="1" w:styleId="Underline">
    <w:name w:val="Underline"/>
    <w:basedOn w:val="DefaultParagraphFont"/>
    <w:qFormat/>
    <w:rsid w:val="00194D1F"/>
    <w:rPr>
      <w:u w:val="single"/>
    </w:rPr>
  </w:style>
  <w:style w:type="paragraph" w:styleId="BalloonText">
    <w:name w:val="Balloon Text"/>
    <w:basedOn w:val="Normal"/>
    <w:link w:val="BalloonTextChar"/>
    <w:rsid w:val="00194D1F"/>
    <w:rPr>
      <w:rFonts w:ascii="Tahoma" w:hAnsi="Tahoma" w:cs="Tahoma"/>
      <w:sz w:val="16"/>
      <w:szCs w:val="16"/>
    </w:rPr>
  </w:style>
  <w:style w:type="character" w:customStyle="1" w:styleId="BalloonTextChar">
    <w:name w:val="Balloon Text Char"/>
    <w:basedOn w:val="DefaultParagraphFont"/>
    <w:link w:val="BalloonText"/>
    <w:rsid w:val="00194D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D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4D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D1F"/>
    <w:rPr>
      <w:b/>
      <w:color w:val="660033"/>
      <w:spacing w:val="0"/>
    </w:rPr>
  </w:style>
  <w:style w:type="paragraph" w:customStyle="1" w:styleId="Nameditemlist">
    <w:name w:val="Named item list"/>
    <w:basedOn w:val="BodyText"/>
    <w:qFormat/>
    <w:rsid w:val="00194D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1448</Words>
  <Characters>9328</Characters>
  <Application>Microsoft Office Word</Application>
  <DocSecurity>0</DocSecurity>
  <Lines>295</Lines>
  <Paragraphs>176</Paragraphs>
  <ScaleCrop>false</ScaleCrop>
  <Company>Author-it Software Corporation Ltd.</Company>
  <LinksUpToDate>false</LinksUpToDate>
  <CharactersWithSpaces>10695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PSPREV409A Administer levies, fines and other taxes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2012-11-01T18:34:00Z</dcterms:created>
  <dcterms:modified xsi:type="dcterms:W3CDTF">2012-11-01T18:34:00Z</dcterms:modified>
</cp:coreProperties>
</file>