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7077" w:rsidP="00837077">
      <w:pPr>
        <w:pStyle w:val="Title"/>
      </w:pPr>
      <w:bookmarkStart w:id="0" w:name="_GoBack"/>
      <w:bookmarkEnd w:id="0"/>
      <w:r>
        <w:fldChar w:fldCharType="begin"/>
      </w:r>
      <w:r>
        <w:instrText xml:space="preserve"> TITLE   \* MERGEFORMAT </w:instrText>
      </w:r>
      <w:r>
        <w:fldChar w:fldCharType="separate"/>
      </w:r>
      <w:r>
        <w:t>PSPREV406A Evaluate returns-based taxes</w:t>
      </w:r>
      <w:r>
        <w:fldChar w:fldCharType="end"/>
      </w:r>
    </w:p>
    <w:p w:rsidR="00837077" w:rsidP="00837077">
      <w:pPr>
        <w:pStyle w:val="Version"/>
        <w:sectPr w:rsidSect="002D11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2D116D" w:rsidP="002D116D">
      <w:pPr>
        <w:pStyle w:val="SuperHeading"/>
      </w:pPr>
      <w:r w:rsidRPr="002D116D">
        <w:t>PSPREV406A Evaluate returns-based taxes</w:t>
      </w:r>
    </w:p>
    <w:p w:rsidR="00000000" w:rsidRPr="002D116D" w:rsidP="002D116D">
      <w:pPr>
        <w:pStyle w:val="SuperHeading"/>
      </w:pPr>
    </w:p>
    <w:p w:rsidR="00000000" w:rsidRPr="002D116D" w:rsidP="002D116D">
      <w:pPr>
        <w:pStyle w:val="Heading1"/>
      </w:pPr>
      <w:bookmarkStart w:id="1" w:name="O_499167"/>
      <w:bookmarkEnd w:id="1"/>
      <w:r w:rsidRPr="002D116D">
        <w:t>Modification History</w:t>
      </w:r>
    </w:p>
    <w:tbl>
      <w:tblPr>
        <w:tblW w:w="0" w:type="auto"/>
        <w:tblLayout w:type="fixed"/>
        <w:tblCellMar>
          <w:left w:w="62" w:type="dxa"/>
          <w:right w:w="62" w:type="dxa"/>
        </w:tblCellMar>
        <w:tblLook w:val="0000"/>
      </w:tblPr>
      <w:tblGrid>
        <w:gridCol w:w="3052"/>
        <w:gridCol w:w="3052"/>
        <w:gridCol w:w="3052"/>
      </w:tblGrid>
      <w:tr w:rsidTr="0083707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16D" w:rsidP="002D116D">
            <w:pPr>
              <w:pStyle w:val="BodyText"/>
            </w:pPr>
            <w:r w:rsidRPr="002D116D">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16D" w:rsidP="002D116D">
            <w:pPr>
              <w:pStyle w:val="BodyText"/>
            </w:pPr>
            <w:r w:rsidRPr="002D116D">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16D">
            <w:pPr>
              <w:pStyle w:val="BodyText"/>
              <w:rPr>
                <w:lang w:val="en-NZ"/>
              </w:rPr>
            </w:pPr>
            <w:r w:rsidRPr="002D116D">
              <w:rPr>
                <w:rStyle w:val="SpecialBold"/>
              </w:rPr>
              <w:t>Comments</w:t>
            </w:r>
          </w:p>
        </w:tc>
      </w:tr>
      <w:tr w:rsidTr="0083707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16D">
            <w:pPr>
              <w:pStyle w:val="BodyText"/>
              <w:rPr>
                <w:lang w:val="en-NZ"/>
              </w:rPr>
            </w:pPr>
            <w:r w:rsidRPr="002D116D">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16D">
            <w:pPr>
              <w:pStyle w:val="BodyText"/>
              <w:rPr>
                <w:lang w:val="en-NZ"/>
              </w:rPr>
            </w:pPr>
            <w:r w:rsidRPr="002D116D">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16D">
            <w:pPr>
              <w:pStyle w:val="BodyText"/>
              <w:rPr>
                <w:lang w:val="en-NZ"/>
              </w:rPr>
            </w:pPr>
            <w:r w:rsidRPr="002D116D">
              <w:t xml:space="preserve">Unit descriptor edited. </w:t>
            </w:r>
          </w:p>
        </w:tc>
      </w:tr>
      <w:tr w:rsidTr="0083707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16D">
            <w:pPr>
              <w:pStyle w:val="BodyText"/>
              <w:rPr>
                <w:lang w:val="en-NZ"/>
              </w:rPr>
            </w:pPr>
            <w:r w:rsidRPr="002D116D">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16D">
            <w:pPr>
              <w:pStyle w:val="BodyText"/>
              <w:rPr>
                <w:lang w:val="en-NZ"/>
              </w:rPr>
            </w:pPr>
            <w:r w:rsidRPr="002D116D">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16D">
            <w:pPr>
              <w:pStyle w:val="BodyText"/>
              <w:rPr>
                <w:lang w:val="en-NZ"/>
              </w:rPr>
            </w:pPr>
            <w:r w:rsidRPr="002D116D">
              <w:t>Layout adjusted. No changes to content.</w:t>
            </w:r>
          </w:p>
        </w:tc>
      </w:tr>
      <w:tr w:rsidTr="0083707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16D">
            <w:pPr>
              <w:pStyle w:val="BodyText"/>
              <w:rPr>
                <w:lang w:val="en-NZ"/>
              </w:rPr>
            </w:pPr>
            <w:r w:rsidRPr="002D116D">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16D">
            <w:pPr>
              <w:pStyle w:val="BodyText"/>
              <w:rPr>
                <w:lang w:val="en-NZ"/>
              </w:rPr>
            </w:pPr>
            <w:r w:rsidRPr="002D116D">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16D" w:rsidP="002D116D">
            <w:pPr>
              <w:pStyle w:val="BodyText"/>
            </w:pPr>
            <w:r w:rsidRPr="002D116D">
              <w:t>Primary release.</w:t>
            </w:r>
          </w:p>
        </w:tc>
      </w:tr>
    </w:tbl>
    <w:p w:rsidR="00837077" w:rsidP="002D116D">
      <w:pPr>
        <w:pStyle w:val="BodyText"/>
      </w:pPr>
    </w:p>
    <w:p w:rsidR="00837077" w:rsidP="002D116D">
      <w:pPr>
        <w:pStyle w:val="BodyText"/>
      </w:pPr>
    </w:p>
    <w:p w:rsidR="00000000" w:rsidRPr="002D116D" w:rsidP="002D116D">
      <w:pPr>
        <w:pStyle w:val="Heading1"/>
      </w:pPr>
      <w:bookmarkStart w:id="2" w:name="O_499169"/>
      <w:bookmarkEnd w:id="2"/>
      <w:r w:rsidRPr="002D116D">
        <w:t>Unit Descriptor</w:t>
      </w:r>
    </w:p>
    <w:p w:rsidR="00000000" w:rsidRPr="002D116D" w:rsidP="002D116D">
      <w:pPr>
        <w:pStyle w:val="BodyText"/>
      </w:pPr>
      <w:r w:rsidRPr="002D116D">
        <w:t>This unit covers the evaluation of returns-based taxes.</w:t>
      </w:r>
    </w:p>
    <w:p w:rsidR="00000000" w:rsidRPr="002D116D" w:rsidP="002D116D">
      <w:pPr>
        <w:pStyle w:val="BodyText"/>
      </w:pPr>
      <w:r w:rsidRPr="002D116D">
        <w:t>In practice, evaluating returns-based taxes overlaps with other generalist or specialist wor</w:t>
      </w:r>
      <w:r w:rsidRPr="002D116D">
        <w:t>k activities, such as acting ethically, applying government processes, communicating, delivering client service, and gathering and analysing information. Co-assessment with units of competency addressing these other activities could be considered.</w:t>
      </w:r>
    </w:p>
    <w:p w:rsidR="00000000" w:rsidRPr="002D116D" w:rsidP="002D116D">
      <w:pPr>
        <w:pStyle w:val="BodyText"/>
      </w:pPr>
      <w:r w:rsidRPr="002D116D">
        <w:t>No licen</w:t>
      </w:r>
      <w:r w:rsidRPr="002D116D">
        <w:t>sing, legislative, regulatory or certification requirements apply to this unit at the time of endorsement.</w:t>
      </w:r>
    </w:p>
    <w:p w:rsidR="00000000" w:rsidRPr="002D116D" w:rsidP="002D116D">
      <w:pPr>
        <w:pStyle w:val="AllowPageBreak"/>
      </w:pPr>
    </w:p>
    <w:p w:rsidR="00000000" w:rsidRPr="002D116D" w:rsidP="002D116D">
      <w:pPr>
        <w:pStyle w:val="Heading1"/>
      </w:pPr>
      <w:bookmarkStart w:id="3" w:name="O_499174"/>
      <w:bookmarkEnd w:id="3"/>
      <w:r w:rsidRPr="002D116D">
        <w:t>Application of the Unit</w:t>
      </w:r>
    </w:p>
    <w:p w:rsidR="00000000" w:rsidRPr="002D116D" w:rsidP="002D116D">
      <w:pPr>
        <w:pStyle w:val="BodyText"/>
      </w:pPr>
      <w:r w:rsidRPr="002D116D">
        <w:t>In the workplace, staff maintain currency in their knowledge of applicable legislation, regulations, rulings</w:t>
      </w:r>
      <w:r w:rsidRPr="002D116D">
        <w:t xml:space="preserve"> and Commissioner's practices that provide guidance on returns-based taxes. They must have a good understanding of the purpose, scope and key features of returns-based taxes. They must be able to assess returns and deal with enquiries and complaints relati</w:t>
      </w:r>
      <w:r w:rsidRPr="002D116D">
        <w:t>ng to liabilities and penalties generated for late or incorrect returns. They must also identify situations where further investigation may be required and complete the formal processes for this to occur.</w:t>
      </w:r>
    </w:p>
    <w:p w:rsidR="00000000" w:rsidRPr="002D116D" w:rsidP="002D116D">
      <w:pPr>
        <w:pStyle w:val="AllowPageBreak"/>
      </w:pPr>
    </w:p>
    <w:p w:rsidR="00000000" w:rsidRPr="002D116D" w:rsidP="002D116D">
      <w:pPr>
        <w:pStyle w:val="Heading1"/>
      </w:pPr>
      <w:bookmarkStart w:id="4" w:name="O_499161"/>
      <w:bookmarkEnd w:id="4"/>
      <w:r w:rsidRPr="002D116D">
        <w:t>Licensing/Regulatory Information</w:t>
      </w:r>
    </w:p>
    <w:p w:rsidR="00000000" w:rsidRPr="002D116D" w:rsidP="002D116D">
      <w:pPr>
        <w:pStyle w:val="BodyText"/>
      </w:pPr>
      <w:r w:rsidRPr="002D116D">
        <w:t>Not applicable.</w:t>
      </w:r>
    </w:p>
    <w:p w:rsidR="00000000" w:rsidRPr="002D116D" w:rsidP="002D116D">
      <w:pPr>
        <w:pStyle w:val="AllowPageBreak"/>
      </w:pPr>
    </w:p>
    <w:p w:rsidR="00000000" w:rsidRPr="002D116D" w:rsidP="002D116D">
      <w:pPr>
        <w:pStyle w:val="Heading1"/>
      </w:pPr>
      <w:bookmarkStart w:id="5" w:name="O_499163"/>
      <w:bookmarkEnd w:id="5"/>
      <w:r w:rsidRPr="002D116D">
        <w:t>Pre-Requisites</w:t>
      </w:r>
    </w:p>
    <w:p w:rsidR="00000000" w:rsidRPr="002D116D" w:rsidP="002D116D">
      <w:pPr>
        <w:pStyle w:val="BodyText"/>
      </w:pPr>
      <w:r w:rsidRPr="002D116D">
        <w:t>Not applicable.</w:t>
      </w:r>
    </w:p>
    <w:p w:rsidR="00000000" w:rsidRPr="002D116D" w:rsidP="002D116D">
      <w:pPr>
        <w:pStyle w:val="AllowPageBreak"/>
      </w:pPr>
    </w:p>
    <w:p w:rsidR="00000000" w:rsidRPr="002D116D" w:rsidP="002D116D">
      <w:pPr>
        <w:pStyle w:val="Heading1"/>
      </w:pPr>
      <w:bookmarkStart w:id="6" w:name="O_499170"/>
      <w:bookmarkEnd w:id="6"/>
      <w:r w:rsidRPr="002D116D">
        <w:t>Employability Skills Information</w:t>
      </w:r>
    </w:p>
    <w:p w:rsidR="00000000" w:rsidRPr="002D116D" w:rsidP="002D116D">
      <w:pPr>
        <w:pStyle w:val="BodyText"/>
      </w:pPr>
      <w:r w:rsidRPr="002D116D">
        <w:t>This unit contains employability skills.</w:t>
      </w:r>
    </w:p>
    <w:p w:rsidR="00000000" w:rsidRPr="002D116D" w:rsidP="002D116D">
      <w:pPr>
        <w:pStyle w:val="AllowPageBreak"/>
      </w:pPr>
    </w:p>
    <w:p w:rsidR="00000000" w:rsidRPr="002D116D" w:rsidP="002D116D">
      <w:pPr>
        <w:pStyle w:val="Heading1"/>
      </w:pPr>
      <w:bookmarkStart w:id="7" w:name="O_499171"/>
      <w:bookmarkEnd w:id="7"/>
      <w:r w:rsidRPr="002D116D">
        <w:t>Elements and Performance Criteria Pre-Content</w:t>
      </w:r>
    </w:p>
    <w:tbl>
      <w:tblPr>
        <w:tblW w:w="9322" w:type="dxa"/>
        <w:tblLayout w:type="fixed"/>
        <w:tblCellMar>
          <w:left w:w="62" w:type="dxa"/>
          <w:right w:w="62" w:type="dxa"/>
        </w:tblCellMar>
        <w:tblLook w:val="0000"/>
      </w:tblPr>
      <w:tblGrid>
        <w:gridCol w:w="2943"/>
        <w:gridCol w:w="6379"/>
      </w:tblGrid>
      <w:tr w:rsidTr="00837077">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2D116D">
            <w:pPr>
              <w:pStyle w:val="BodyText"/>
              <w:rPr>
                <w:lang w:val="en-NZ"/>
              </w:rPr>
            </w:pPr>
            <w:r w:rsidRPr="002D116D">
              <w:t>Elements are the essential outcomes of</w:t>
            </w:r>
            <w:r w:rsidRPr="002D116D">
              <w:t xml:space="preserve"> the unit of competency.</w:t>
            </w:r>
          </w:p>
        </w:tc>
        <w:tc>
          <w:tcPr>
            <w:tcW w:w="6379" w:type="dxa"/>
            <w:tcBorders>
              <w:top w:val="nil"/>
              <w:left w:val="nil"/>
              <w:bottom w:val="nil"/>
              <w:right w:val="nil"/>
            </w:tcBorders>
            <w:tcMar>
              <w:top w:w="0" w:type="dxa"/>
              <w:left w:w="62" w:type="dxa"/>
              <w:bottom w:w="0" w:type="dxa"/>
              <w:right w:w="62" w:type="dxa"/>
            </w:tcMar>
          </w:tcPr>
          <w:p w:rsidR="00000000" w:rsidRPr="002D116D" w:rsidP="002D116D">
            <w:pPr>
              <w:pStyle w:val="BodyText"/>
            </w:pPr>
            <w:r w:rsidRPr="002D116D">
              <w:t xml:space="preserve">Performance criteria describe the required performance needed to demonstrate achievement of the element. Where </w:t>
            </w:r>
            <w:r w:rsidRPr="002D116D">
              <w:rPr>
                <w:rStyle w:val="BoldandItalics"/>
              </w:rPr>
              <w:t xml:space="preserve">bold italicised </w:t>
            </w:r>
            <w:r w:rsidRPr="002D116D">
              <w:t>text is used, further information is detailed in the range statement. Assessment of performance is to be consistent with the evidence guide.</w:t>
            </w:r>
          </w:p>
        </w:tc>
      </w:tr>
    </w:tbl>
    <w:p w:rsidR="00000000" w:rsidRPr="002D116D" w:rsidP="002D116D">
      <w:pPr>
        <w:pStyle w:val="BodyText"/>
      </w:pPr>
    </w:p>
    <w:p w:rsidR="00000000" w:rsidRPr="002D116D" w:rsidP="002D116D">
      <w:pPr>
        <w:pStyle w:val="AllowPageBreak"/>
      </w:pPr>
    </w:p>
    <w:p w:rsidR="00000000" w:rsidRPr="002D116D" w:rsidP="002D116D">
      <w:pPr>
        <w:pStyle w:val="Heading1"/>
      </w:pPr>
      <w:bookmarkStart w:id="8" w:name="O_499172"/>
      <w:bookmarkEnd w:id="8"/>
      <w:r w:rsidRPr="002D116D">
        <w:t>Elements and Performance Criteria</w:t>
      </w:r>
    </w:p>
    <w:tbl>
      <w:tblPr>
        <w:tblW w:w="9322" w:type="dxa"/>
        <w:tblLayout w:type="fixed"/>
        <w:tblCellMar>
          <w:left w:w="62" w:type="dxa"/>
          <w:right w:w="62" w:type="dxa"/>
        </w:tblCellMar>
        <w:tblLook w:val="0000"/>
      </w:tblPr>
      <w:tblGrid>
        <w:gridCol w:w="2943"/>
        <w:gridCol w:w="6379"/>
      </w:tblGrid>
      <w:tr w:rsidTr="00837077">
        <w:tblPrEx>
          <w:tblW w:w="9322" w:type="dxa"/>
          <w:tblLayout w:type="fixed"/>
          <w:tblCellMar>
            <w:left w:w="62" w:type="dxa"/>
            <w:right w:w="62" w:type="dxa"/>
          </w:tblCellMar>
          <w:tblLook w:val="0000"/>
        </w:tblPrEx>
        <w:trPr>
          <w:tblHeader/>
        </w:trPr>
        <w:tc>
          <w:tcPr>
            <w:tcW w:w="2943" w:type="dxa"/>
            <w:tcBorders>
              <w:top w:val="nil"/>
              <w:left w:val="nil"/>
              <w:bottom w:val="nil"/>
              <w:right w:val="nil"/>
            </w:tcBorders>
            <w:tcMar>
              <w:top w:w="0" w:type="dxa"/>
              <w:left w:w="62" w:type="dxa"/>
              <w:bottom w:w="0" w:type="dxa"/>
              <w:right w:w="62" w:type="dxa"/>
            </w:tcMar>
          </w:tcPr>
          <w:p w:rsidR="00000000" w:rsidRPr="002D116D" w:rsidP="002D116D">
            <w:pPr>
              <w:pStyle w:val="BodyText"/>
            </w:pPr>
            <w:r w:rsidRPr="002D116D">
              <w:rPr>
                <w:rStyle w:val="SpecialBold"/>
              </w:rPr>
              <w:t>ELEMENT</w:t>
            </w:r>
          </w:p>
        </w:tc>
        <w:tc>
          <w:tcPr>
            <w:tcW w:w="6379" w:type="dxa"/>
            <w:tcBorders>
              <w:top w:val="nil"/>
              <w:left w:val="nil"/>
              <w:bottom w:val="nil"/>
              <w:right w:val="nil"/>
            </w:tcBorders>
            <w:tcMar>
              <w:top w:w="0" w:type="dxa"/>
              <w:left w:w="62" w:type="dxa"/>
              <w:bottom w:w="0" w:type="dxa"/>
              <w:right w:w="62" w:type="dxa"/>
            </w:tcMar>
          </w:tcPr>
          <w:p w:rsidR="00000000" w:rsidP="002D116D">
            <w:pPr>
              <w:pStyle w:val="BodyText"/>
              <w:rPr>
                <w:lang w:val="en-NZ"/>
              </w:rPr>
            </w:pPr>
            <w:r w:rsidRPr="002D116D">
              <w:rPr>
                <w:rStyle w:val="SpecialBold"/>
              </w:rPr>
              <w:t>PERFORMANCE CRITERIA</w:t>
            </w:r>
          </w:p>
        </w:tc>
      </w:tr>
      <w:tr w:rsidTr="00837077">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2D116D">
            <w:pPr>
              <w:pStyle w:val="List"/>
              <w:rPr>
                <w:lang w:val="en-NZ"/>
              </w:rPr>
            </w:pPr>
            <w:r w:rsidRPr="002D116D">
              <w:rPr>
                <w:rStyle w:val="SpecialBold"/>
              </w:rPr>
              <w:t>1</w:t>
            </w:r>
            <w:r w:rsidRPr="002D116D">
              <w:t>.</w:t>
            </w:r>
            <w:r w:rsidRPr="002D116D">
              <w:tab/>
            </w:r>
            <w:r w:rsidRPr="002D116D">
              <w:rPr>
                <w:rStyle w:val="SpecialBold"/>
              </w:rPr>
              <w:t>Confirm key features of returns-based taxes</w:t>
            </w:r>
          </w:p>
        </w:tc>
        <w:tc>
          <w:tcPr>
            <w:tcW w:w="6379" w:type="dxa"/>
            <w:tcBorders>
              <w:top w:val="nil"/>
              <w:left w:val="nil"/>
              <w:bottom w:val="nil"/>
              <w:right w:val="nil"/>
            </w:tcBorders>
            <w:tcMar>
              <w:top w:w="0" w:type="dxa"/>
              <w:left w:w="62" w:type="dxa"/>
              <w:bottom w:w="0" w:type="dxa"/>
              <w:right w:w="62" w:type="dxa"/>
            </w:tcMar>
          </w:tcPr>
          <w:p w:rsidR="00000000" w:rsidRPr="002D116D" w:rsidP="002D116D">
            <w:pPr>
              <w:pStyle w:val="List"/>
            </w:pPr>
            <w:r w:rsidRPr="002D116D">
              <w:t>1.1</w:t>
            </w:r>
            <w:r w:rsidRPr="002D116D">
              <w:tab/>
              <w:t>Current and comprehensive information is accessed and used to maintain knowledge and expertise in returns-based taxation matters and to ensure consistency of application.</w:t>
            </w:r>
          </w:p>
          <w:p w:rsidR="00000000" w:rsidRPr="002D116D" w:rsidP="002D116D">
            <w:pPr>
              <w:pStyle w:val="List"/>
            </w:pPr>
            <w:r w:rsidRPr="002D116D">
              <w:t>1.2</w:t>
            </w:r>
            <w:r w:rsidRPr="002D116D">
              <w:tab/>
              <w:t xml:space="preserve">Purpose and scope of </w:t>
            </w:r>
            <w:r w:rsidRPr="002D116D">
              <w:rPr>
                <w:rStyle w:val="BoldandItalics"/>
              </w:rPr>
              <w:t>returns-base</w:t>
            </w:r>
            <w:r w:rsidRPr="002D116D">
              <w:rPr>
                <w:rStyle w:val="BoldandItalics"/>
              </w:rPr>
              <w:t>d taxes</w:t>
            </w:r>
            <w:r w:rsidRPr="002D116D">
              <w:t xml:space="preserve"> are clarified in accordance with applicable legislation, regulations, </w:t>
            </w:r>
            <w:r w:rsidRPr="002D116D">
              <w:rPr>
                <w:rStyle w:val="BoldandItalics"/>
              </w:rPr>
              <w:t xml:space="preserve">rulings </w:t>
            </w:r>
            <w:r w:rsidRPr="002D116D">
              <w:t>and</w:t>
            </w:r>
            <w:r w:rsidRPr="002D116D">
              <w:rPr>
                <w:rStyle w:val="BoldandItalics"/>
              </w:rPr>
              <w:t xml:space="preserve"> Commissioner's practices</w:t>
            </w:r>
            <w:r w:rsidRPr="002D116D">
              <w:t>.</w:t>
            </w:r>
          </w:p>
          <w:p w:rsidR="00000000" w:rsidP="002D116D">
            <w:pPr>
              <w:pStyle w:val="List"/>
              <w:rPr>
                <w:lang w:val="en-NZ"/>
              </w:rPr>
            </w:pPr>
            <w:r w:rsidRPr="002D116D">
              <w:t>1.3</w:t>
            </w:r>
            <w:r w:rsidRPr="002D116D">
              <w:tab/>
              <w:t>Registration, cancellation and maintenance of customer data are confirmed in accordance with organisational procedures and legal require</w:t>
            </w:r>
            <w:r w:rsidRPr="002D116D">
              <w:t>ments.</w:t>
            </w:r>
          </w:p>
        </w:tc>
      </w:tr>
      <w:tr w:rsidTr="00837077">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2D116D">
            <w:pPr>
              <w:pStyle w:val="List"/>
              <w:rPr>
                <w:lang w:val="en-NZ"/>
              </w:rPr>
            </w:pPr>
            <w:r w:rsidRPr="002D116D">
              <w:rPr>
                <w:rStyle w:val="SpecialBold"/>
              </w:rPr>
              <w:t>2</w:t>
            </w:r>
            <w:r w:rsidRPr="002D116D">
              <w:t xml:space="preserve">. </w:t>
            </w:r>
            <w:r w:rsidRPr="002D116D">
              <w:tab/>
            </w:r>
            <w:r w:rsidRPr="002D116D">
              <w:rPr>
                <w:rStyle w:val="SpecialBold"/>
              </w:rPr>
              <w:t>Process enquiries relating to returns-based taxes</w:t>
            </w:r>
          </w:p>
        </w:tc>
        <w:tc>
          <w:tcPr>
            <w:tcW w:w="6379" w:type="dxa"/>
            <w:tcBorders>
              <w:top w:val="nil"/>
              <w:left w:val="nil"/>
              <w:bottom w:val="nil"/>
              <w:right w:val="nil"/>
            </w:tcBorders>
            <w:tcMar>
              <w:top w:w="0" w:type="dxa"/>
              <w:left w:w="62" w:type="dxa"/>
              <w:bottom w:w="0" w:type="dxa"/>
              <w:right w:w="62" w:type="dxa"/>
            </w:tcMar>
          </w:tcPr>
          <w:p w:rsidR="00000000" w:rsidRPr="002D116D" w:rsidP="002D116D">
            <w:pPr>
              <w:pStyle w:val="List"/>
            </w:pPr>
            <w:r w:rsidRPr="002D116D">
              <w:t>2.1</w:t>
            </w:r>
            <w:r w:rsidRPr="002D116D">
              <w:tab/>
            </w:r>
            <w:r w:rsidRPr="002D116D">
              <w:rPr>
                <w:rStyle w:val="BoldandItalics"/>
              </w:rPr>
              <w:t xml:space="preserve">Taxable items/elements, liability, exemptions </w:t>
            </w:r>
            <w:r w:rsidRPr="002D116D">
              <w:t xml:space="preserve">and </w:t>
            </w:r>
            <w:r w:rsidRPr="002D116D">
              <w:rPr>
                <w:rStyle w:val="BoldandItalics"/>
              </w:rPr>
              <w:t xml:space="preserve">rebates </w:t>
            </w:r>
            <w:r w:rsidRPr="002D116D">
              <w:t>or relief are explained, tailoring communication to suit diverse customer needs.</w:t>
            </w:r>
          </w:p>
          <w:p w:rsidR="00000000" w:rsidRPr="002D116D" w:rsidP="002D116D">
            <w:pPr>
              <w:pStyle w:val="List"/>
            </w:pPr>
            <w:r w:rsidRPr="002D116D">
              <w:t>2.2</w:t>
            </w:r>
            <w:r w:rsidRPr="002D116D">
              <w:tab/>
              <w:t>Taxable thresholds and current rates of taxatio</w:t>
            </w:r>
            <w:r w:rsidRPr="002D116D">
              <w:t>n are identified and communicated to customers in accordance with legislation, regulations, rulings and Commissioner's practices.</w:t>
            </w:r>
          </w:p>
          <w:p w:rsidR="00000000" w:rsidRPr="002D116D" w:rsidP="002D116D">
            <w:pPr>
              <w:pStyle w:val="List"/>
            </w:pPr>
            <w:r w:rsidRPr="002D116D">
              <w:t>2.3</w:t>
            </w:r>
            <w:r w:rsidRPr="002D116D">
              <w:tab/>
              <w:t>Requirements for lodgement of returns and payment of taxes are explained in accordance with legislative and procedural req</w:t>
            </w:r>
            <w:r w:rsidRPr="002D116D">
              <w:t>uirements and customer needs.</w:t>
            </w:r>
          </w:p>
          <w:p w:rsidR="00000000" w:rsidRPr="002D116D" w:rsidP="002D116D">
            <w:pPr>
              <w:pStyle w:val="List"/>
            </w:pPr>
            <w:r w:rsidRPr="002D116D">
              <w:t>2.4</w:t>
            </w:r>
            <w:r w:rsidRPr="002D116D">
              <w:tab/>
              <w:t>Complex enquiries are deferred if necessary until information can be clarified, confirmed or referred to senior and specialist staff in accordance with organisational requirements.</w:t>
            </w:r>
          </w:p>
          <w:p w:rsidR="00000000" w:rsidP="002D116D">
            <w:pPr>
              <w:pStyle w:val="List"/>
              <w:rPr>
                <w:lang w:val="en-NZ"/>
              </w:rPr>
            </w:pPr>
            <w:r w:rsidRPr="002D116D">
              <w:t>2.5.</w:t>
            </w:r>
            <w:r w:rsidRPr="002D116D">
              <w:tab/>
              <w:t>Clear, concise and accurate informat</w:t>
            </w:r>
            <w:r w:rsidRPr="002D116D">
              <w:t>ion is provided to customers to enable them to understand their tax obligations.</w:t>
            </w:r>
          </w:p>
        </w:tc>
      </w:tr>
      <w:tr w:rsidTr="00837077">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2D116D">
            <w:pPr>
              <w:pStyle w:val="List"/>
              <w:rPr>
                <w:lang w:val="en-NZ"/>
              </w:rPr>
            </w:pPr>
            <w:r w:rsidRPr="002D116D">
              <w:rPr>
                <w:rStyle w:val="SpecialBold"/>
              </w:rPr>
              <w:t>3</w:t>
            </w:r>
            <w:r w:rsidRPr="002D116D">
              <w:t>.</w:t>
            </w:r>
            <w:r w:rsidRPr="002D116D">
              <w:tab/>
            </w:r>
            <w:r w:rsidRPr="002D116D">
              <w:rPr>
                <w:rStyle w:val="SpecialBold"/>
              </w:rPr>
              <w:t>Assess returns</w:t>
            </w:r>
          </w:p>
        </w:tc>
        <w:tc>
          <w:tcPr>
            <w:tcW w:w="6379" w:type="dxa"/>
            <w:tcBorders>
              <w:top w:val="nil"/>
              <w:left w:val="nil"/>
              <w:bottom w:val="nil"/>
              <w:right w:val="nil"/>
            </w:tcBorders>
            <w:tcMar>
              <w:top w:w="0" w:type="dxa"/>
              <w:left w:w="62" w:type="dxa"/>
              <w:bottom w:w="0" w:type="dxa"/>
              <w:right w:w="62" w:type="dxa"/>
            </w:tcMar>
          </w:tcPr>
          <w:p w:rsidR="00000000" w:rsidRPr="002D116D" w:rsidP="002D116D">
            <w:pPr>
              <w:pStyle w:val="List"/>
            </w:pPr>
            <w:r w:rsidRPr="002D116D">
              <w:t>3.1</w:t>
            </w:r>
            <w:r w:rsidRPr="002D116D">
              <w:tab/>
              <w:t>Where returns and payment are confirmed as correct, returns are dealt with in accordance with organisational procedures.</w:t>
            </w:r>
          </w:p>
          <w:p w:rsidR="00000000" w:rsidRPr="002D116D" w:rsidP="002D116D">
            <w:pPr>
              <w:pStyle w:val="List"/>
            </w:pPr>
            <w:r w:rsidRPr="002D116D">
              <w:t>3.2</w:t>
            </w:r>
            <w:r w:rsidRPr="002D116D">
              <w:tab/>
              <w:t xml:space="preserve">Where </w:t>
            </w:r>
            <w:r w:rsidRPr="002D116D">
              <w:rPr>
                <w:rStyle w:val="BoldandItalics"/>
              </w:rPr>
              <w:t>problems with payment</w:t>
            </w:r>
            <w:r w:rsidRPr="002D116D">
              <w:rPr>
                <w:rStyle w:val="BoldandItalics"/>
              </w:rPr>
              <w:t>s</w:t>
            </w:r>
            <w:r w:rsidRPr="002D116D">
              <w:t xml:space="preserve"> are identified, returns are checked for clerical or other errors and associated penalties are confirmed or remitted in accordance with legislation, regulations, rulings and Commissioner's practices.</w:t>
            </w:r>
          </w:p>
          <w:p w:rsidR="00000000" w:rsidRPr="002D116D" w:rsidP="002D116D">
            <w:pPr>
              <w:pStyle w:val="List"/>
            </w:pPr>
            <w:r w:rsidRPr="002D116D">
              <w:t>3.3</w:t>
            </w:r>
            <w:r w:rsidRPr="002D116D">
              <w:tab/>
              <w:t>For returns requiring further investigation, formal</w:t>
            </w:r>
            <w:r w:rsidRPr="002D116D">
              <w:t xml:space="preserve"> </w:t>
            </w:r>
            <w:r w:rsidRPr="002D116D">
              <w:rPr>
                <w:rStyle w:val="BoldandItalics"/>
              </w:rPr>
              <w:t xml:space="preserve">records </w:t>
            </w:r>
            <w:r w:rsidRPr="002D116D">
              <w:t>are obtained and completed and the matter is referred for further action in accordance with organisational procedures and legal requirements.</w:t>
            </w:r>
          </w:p>
          <w:p w:rsidR="00000000" w:rsidP="002D116D">
            <w:pPr>
              <w:pStyle w:val="List"/>
              <w:rPr>
                <w:lang w:val="en-NZ"/>
              </w:rPr>
            </w:pPr>
            <w:r w:rsidRPr="002D116D">
              <w:t>3.4</w:t>
            </w:r>
            <w:r w:rsidRPr="002D116D">
              <w:tab/>
              <w:t>Where over-payments are received, refunds are processed in accordance with organisational procedures.</w:t>
            </w:r>
          </w:p>
        </w:tc>
      </w:tr>
      <w:tr w:rsidTr="00837077">
        <w:tblPrEx>
          <w:tblW w:w="9322"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2D116D">
            <w:pPr>
              <w:pStyle w:val="List"/>
              <w:rPr>
                <w:lang w:val="en-NZ"/>
              </w:rPr>
            </w:pPr>
            <w:r w:rsidRPr="002D116D">
              <w:rPr>
                <w:rStyle w:val="SpecialBold"/>
              </w:rPr>
              <w:t>4</w:t>
            </w:r>
            <w:r w:rsidRPr="002D116D">
              <w:t xml:space="preserve">. </w:t>
            </w:r>
            <w:r w:rsidRPr="002D116D">
              <w:tab/>
            </w:r>
            <w:r w:rsidRPr="002D116D">
              <w:rPr>
                <w:rStyle w:val="SpecialBold"/>
              </w:rPr>
              <w:t>Deal with complaints</w:t>
            </w:r>
          </w:p>
        </w:tc>
        <w:tc>
          <w:tcPr>
            <w:tcW w:w="6379" w:type="dxa"/>
            <w:tcBorders>
              <w:top w:val="nil"/>
              <w:left w:val="nil"/>
              <w:bottom w:val="nil"/>
              <w:right w:val="nil"/>
            </w:tcBorders>
            <w:tcMar>
              <w:top w:w="0" w:type="dxa"/>
              <w:left w:w="62" w:type="dxa"/>
              <w:bottom w:w="0" w:type="dxa"/>
              <w:right w:w="62" w:type="dxa"/>
            </w:tcMar>
          </w:tcPr>
          <w:p w:rsidR="00000000" w:rsidRPr="002D116D" w:rsidP="002D116D">
            <w:pPr>
              <w:pStyle w:val="List"/>
            </w:pPr>
            <w:r w:rsidRPr="002D116D">
              <w:t>4.1</w:t>
            </w:r>
            <w:r w:rsidRPr="002D116D">
              <w:tab/>
              <w:t>Complaints by taxpayers are dealt with and decisions recorded and notified in accordance with legislation, regulations and organisational procedures.</w:t>
            </w:r>
          </w:p>
          <w:p w:rsidR="00000000" w:rsidRPr="002D116D" w:rsidP="002D116D">
            <w:pPr>
              <w:pStyle w:val="List"/>
            </w:pPr>
            <w:r w:rsidRPr="002D116D">
              <w:t>4.2</w:t>
            </w:r>
            <w:r w:rsidRPr="002D116D">
              <w:tab/>
              <w:t>If taxpayers are dissatisfied with the decision, their rights to have t</w:t>
            </w:r>
            <w:r w:rsidRPr="002D116D">
              <w:t>he decision reviewed are explained in accordance with organisational procedures and legal requirements.</w:t>
            </w:r>
          </w:p>
          <w:p w:rsidR="00000000" w:rsidRPr="002D116D" w:rsidP="002D116D">
            <w:pPr>
              <w:pStyle w:val="List"/>
            </w:pPr>
            <w:r w:rsidRPr="002D116D">
              <w:t>4.3</w:t>
            </w:r>
            <w:r w:rsidRPr="002D116D">
              <w:tab/>
              <w:t>Complaints relating to deficiencies in operational systems are dealt with in accordance with organisational procedures.</w:t>
            </w:r>
          </w:p>
        </w:tc>
      </w:tr>
    </w:tbl>
    <w:p w:rsidR="00000000" w:rsidRPr="002D116D" w:rsidP="002D116D">
      <w:pPr>
        <w:pStyle w:val="BodyText"/>
      </w:pPr>
    </w:p>
    <w:p w:rsidR="00000000" w:rsidRPr="002D116D" w:rsidP="002D116D">
      <w:pPr>
        <w:pStyle w:val="AllowPageBreak"/>
      </w:pPr>
    </w:p>
    <w:p w:rsidR="00000000" w:rsidRPr="002D116D" w:rsidP="002D116D">
      <w:pPr>
        <w:pStyle w:val="Heading1"/>
      </w:pPr>
      <w:bookmarkStart w:id="9" w:name="O_499165"/>
      <w:bookmarkEnd w:id="9"/>
      <w:r w:rsidRPr="002D116D">
        <w:t xml:space="preserve">Required </w:t>
      </w:r>
      <w:r w:rsidRPr="002D116D">
        <w:t>Skills and Knowledge</w:t>
      </w:r>
    </w:p>
    <w:tbl>
      <w:tblPr>
        <w:tblW w:w="0" w:type="auto"/>
        <w:tblLayout w:type="fixed"/>
        <w:tblCellMar>
          <w:left w:w="62" w:type="dxa"/>
          <w:right w:w="62" w:type="dxa"/>
        </w:tblCellMar>
        <w:tblLook w:val="0000"/>
      </w:tblPr>
      <w:tblGrid>
        <w:gridCol w:w="8479"/>
        <w:gridCol w:w="41"/>
      </w:tblGrid>
      <w:tr w:rsidTr="00837077">
        <w:tblPrEx>
          <w:tblW w:w="0" w:type="auto"/>
          <w:tblLayout w:type="fixed"/>
          <w:tblCellMar>
            <w:left w:w="62" w:type="dxa"/>
            <w:right w:w="62" w:type="dxa"/>
          </w:tblCellMar>
          <w:tblLook w:val="0000"/>
        </w:tblPrEx>
        <w:trPr>
          <w:gridAfter w:val="1"/>
          <w:wAfter w:w="41" w:type="dxa"/>
        </w:trPr>
        <w:tc>
          <w:tcPr>
            <w:tcW w:w="8479" w:type="dxa"/>
            <w:tcBorders>
              <w:top w:val="nil"/>
              <w:left w:val="nil"/>
              <w:bottom w:val="nil"/>
              <w:right w:val="nil"/>
            </w:tcBorders>
            <w:tcMar>
              <w:top w:w="0" w:type="dxa"/>
              <w:left w:w="62" w:type="dxa"/>
              <w:bottom w:w="0" w:type="dxa"/>
              <w:right w:w="62" w:type="dxa"/>
            </w:tcMar>
          </w:tcPr>
          <w:p w:rsidR="00000000" w:rsidP="002D116D">
            <w:pPr>
              <w:pStyle w:val="BodyText"/>
              <w:rPr>
                <w:lang w:val="en-NZ"/>
              </w:rPr>
            </w:pPr>
            <w:r w:rsidRPr="002D116D">
              <w:t>This section describes the essential skills and knowledge and their level, required for this unit.</w:t>
            </w:r>
          </w:p>
        </w:tc>
      </w:tr>
      <w:tr w:rsidTr="00837077">
        <w:tblPrEx>
          <w:tblW w:w="0" w:type="auto"/>
          <w:tblLayout w:type="fixed"/>
          <w:tblCellMar>
            <w:left w:w="62" w:type="dxa"/>
            <w:right w:w="62" w:type="dxa"/>
          </w:tblCellMar>
          <w:tblLook w:val="0000"/>
        </w:tblPrEx>
        <w:tc>
          <w:tcPr>
            <w:tcW w:w="8520" w:type="dxa"/>
            <w:gridSpan w:val="2"/>
            <w:tcBorders>
              <w:top w:val="nil"/>
              <w:left w:val="nil"/>
              <w:bottom w:val="nil"/>
              <w:right w:val="nil"/>
            </w:tcBorders>
            <w:tcMar>
              <w:top w:w="0" w:type="dxa"/>
              <w:left w:w="62" w:type="dxa"/>
              <w:bottom w:w="0" w:type="dxa"/>
              <w:right w:w="62" w:type="dxa"/>
            </w:tcMar>
          </w:tcPr>
          <w:p w:rsidR="00000000" w:rsidRPr="002D116D" w:rsidP="002D116D">
            <w:pPr>
              <w:pStyle w:val="BodyText"/>
            </w:pPr>
            <w:r w:rsidRPr="002D116D">
              <w:rPr>
                <w:rStyle w:val="SpecialBold"/>
              </w:rPr>
              <w:t>Required skills</w:t>
            </w:r>
            <w:r w:rsidRPr="002D116D">
              <w:t>:</w:t>
            </w:r>
          </w:p>
          <w:p w:rsidR="00000000" w:rsidRPr="002D116D" w:rsidP="002D116D">
            <w:pPr>
              <w:pStyle w:val="BodyText"/>
            </w:pPr>
            <w:r w:rsidRPr="002D116D">
              <w:t>Look for evidence that confirms skills in:</w:t>
            </w:r>
          </w:p>
          <w:p w:rsidR="00000000" w:rsidRPr="002D116D" w:rsidP="002D116D">
            <w:pPr>
              <w:pStyle w:val="ListBullet2"/>
            </w:pPr>
            <w:r w:rsidRPr="002D116D">
              <w:t>navigating complex and formal documents, such as legislation, judicial decisions, rulings, Commissioner's practices and related materials and applying them to the assessment of returns-based taxes</w:t>
            </w:r>
          </w:p>
          <w:p w:rsidR="00000000" w:rsidRPr="002D116D" w:rsidP="002D116D">
            <w:pPr>
              <w:pStyle w:val="ListBullet2"/>
            </w:pPr>
            <w:r w:rsidRPr="002D116D">
              <w:t>researching and maintaining information related to returns-</w:t>
            </w:r>
            <w:r w:rsidRPr="002D116D">
              <w:t>based taxes</w:t>
            </w:r>
          </w:p>
          <w:p w:rsidR="00000000" w:rsidRPr="002D116D" w:rsidP="002D116D">
            <w:pPr>
              <w:pStyle w:val="ListBullet2"/>
            </w:pPr>
            <w:r w:rsidRPr="002D116D">
              <w:t>identifying clerical, numerical and other errors</w:t>
            </w:r>
          </w:p>
          <w:p w:rsidR="00000000" w:rsidRPr="002D116D" w:rsidP="002D116D">
            <w:pPr>
              <w:pStyle w:val="ListBullet2"/>
            </w:pPr>
            <w:r w:rsidRPr="002D116D">
              <w:t>communicating with others involving exchanges of complex information relating to returns-based taxes</w:t>
            </w:r>
          </w:p>
          <w:p w:rsidR="00000000" w:rsidRPr="002D116D" w:rsidP="002D116D">
            <w:pPr>
              <w:pStyle w:val="ListBullet2"/>
            </w:pPr>
            <w:r w:rsidRPr="002D116D">
              <w:t>dealing with complaints and difficult customers</w:t>
            </w:r>
          </w:p>
          <w:p w:rsidR="00000000" w:rsidRPr="002D116D" w:rsidP="002D116D">
            <w:pPr>
              <w:pStyle w:val="ListBullet2"/>
            </w:pPr>
            <w:r w:rsidRPr="002D116D">
              <w:t>providing clear information to customers about</w:t>
            </w:r>
            <w:r w:rsidRPr="002D116D">
              <w:t xml:space="preserve"> their obligations and tax liabilities</w:t>
            </w:r>
          </w:p>
          <w:p w:rsidR="00000000" w:rsidRPr="002D116D" w:rsidP="002D116D">
            <w:pPr>
              <w:pStyle w:val="ListBullet2"/>
            </w:pPr>
            <w:r w:rsidRPr="002D116D">
              <w:t>using technology to conduct research, make enquiries, review available data, access legislative requirements and record outcomes</w:t>
            </w:r>
          </w:p>
          <w:p w:rsidR="00000000" w:rsidRPr="002D116D" w:rsidP="002D116D">
            <w:pPr>
              <w:pStyle w:val="ListBullet2"/>
            </w:pPr>
            <w:r w:rsidRPr="002D116D">
              <w:t>responding to diversity, including gender and disability, when dealing with enquiries or</w:t>
            </w:r>
            <w:r w:rsidRPr="002D116D">
              <w:t xml:space="preserve"> complaints (this may involve accessing interpreter services if necessary)</w:t>
            </w:r>
          </w:p>
          <w:p w:rsidR="00000000" w:rsidP="002D116D">
            <w:pPr>
              <w:pStyle w:val="ListBullet2"/>
              <w:rPr>
                <w:lang w:val="en-NZ"/>
              </w:rPr>
            </w:pPr>
            <w:r w:rsidRPr="002D116D">
              <w:t>applying environmental and occupational health and safety procedures to administrative work and when dealing with customers</w:t>
            </w:r>
          </w:p>
        </w:tc>
      </w:tr>
      <w:tr w:rsidTr="00837077">
        <w:tblPrEx>
          <w:tblW w:w="0" w:type="auto"/>
          <w:tblLayout w:type="fixed"/>
          <w:tblCellMar>
            <w:left w:w="62" w:type="dxa"/>
            <w:right w:w="62" w:type="dxa"/>
          </w:tblCellMar>
          <w:tblLook w:val="0000"/>
        </w:tblPrEx>
        <w:tc>
          <w:tcPr>
            <w:tcW w:w="8520" w:type="dxa"/>
            <w:gridSpan w:val="2"/>
            <w:tcBorders>
              <w:top w:val="nil"/>
              <w:left w:val="nil"/>
              <w:bottom w:val="nil"/>
              <w:right w:val="nil"/>
            </w:tcBorders>
            <w:tcMar>
              <w:top w:w="0" w:type="dxa"/>
              <w:left w:w="62" w:type="dxa"/>
              <w:bottom w:w="0" w:type="dxa"/>
              <w:right w:w="62" w:type="dxa"/>
            </w:tcMar>
          </w:tcPr>
          <w:p w:rsidR="00000000" w:rsidRPr="002D116D" w:rsidP="002D116D">
            <w:pPr>
              <w:pStyle w:val="BodyText"/>
            </w:pPr>
            <w:r w:rsidRPr="002D116D">
              <w:rPr>
                <w:rStyle w:val="SpecialBold"/>
              </w:rPr>
              <w:t>Required knowledge</w:t>
            </w:r>
            <w:r w:rsidRPr="002D116D">
              <w:t>:</w:t>
            </w:r>
          </w:p>
          <w:p w:rsidR="00000000" w:rsidRPr="002D116D" w:rsidP="002D116D">
            <w:pPr>
              <w:pStyle w:val="BodyText"/>
            </w:pPr>
            <w:r w:rsidRPr="002D116D">
              <w:t>Look for evidence that confirms know</w:t>
            </w:r>
            <w:r w:rsidRPr="002D116D">
              <w:t>ledge and understanding of:</w:t>
            </w:r>
          </w:p>
          <w:p w:rsidR="00000000" w:rsidRPr="002D116D" w:rsidP="002D116D">
            <w:pPr>
              <w:pStyle w:val="ListBullet2"/>
            </w:pPr>
            <w:r w:rsidRPr="002D116D">
              <w:t>legislation, regulations, rulings and Commissioner's practices relating to returns-based taxes</w:t>
            </w:r>
          </w:p>
          <w:p w:rsidR="00000000" w:rsidRPr="002D116D" w:rsidP="002D116D">
            <w:pPr>
              <w:pStyle w:val="ListBullet2"/>
            </w:pPr>
            <w:r w:rsidRPr="002D116D">
              <w:t>taxable items/elements, liability, deductions or exemptions under the legislation</w:t>
            </w:r>
          </w:p>
          <w:p w:rsidR="00000000" w:rsidRPr="002D116D" w:rsidP="002D116D">
            <w:pPr>
              <w:pStyle w:val="ListBullet2"/>
            </w:pPr>
            <w:r w:rsidRPr="002D116D">
              <w:t>taxable thresholds for ret</w:t>
            </w:r>
            <w:r w:rsidRPr="002D116D">
              <w:t>urns-based tax and the application of sliding scales</w:t>
            </w:r>
          </w:p>
          <w:p w:rsidR="00000000" w:rsidRPr="002D116D" w:rsidP="002D116D">
            <w:pPr>
              <w:pStyle w:val="ListBullet2"/>
            </w:pPr>
            <w:r w:rsidRPr="002D116D">
              <w:t>legislative decision making process</w:t>
            </w:r>
          </w:p>
          <w:p w:rsidR="00000000" w:rsidRPr="002D116D" w:rsidP="002D116D">
            <w:pPr>
              <w:pStyle w:val="ListBullet2"/>
            </w:pPr>
            <w:r w:rsidRPr="002D116D">
              <w:t>confidentiality provisions</w:t>
            </w:r>
          </w:p>
        </w:tc>
      </w:tr>
    </w:tbl>
    <w:p w:rsidR="00000000" w:rsidRPr="002D116D" w:rsidP="002D116D">
      <w:pPr>
        <w:pStyle w:val="BodyText"/>
      </w:pPr>
    </w:p>
    <w:p w:rsidR="00000000" w:rsidRPr="002D116D" w:rsidP="002D116D">
      <w:pPr>
        <w:pStyle w:val="AllowPageBreak"/>
      </w:pPr>
    </w:p>
    <w:p w:rsidR="00000000" w:rsidRPr="002D116D" w:rsidP="002D116D">
      <w:pPr>
        <w:pStyle w:val="Heading1"/>
      </w:pPr>
      <w:bookmarkStart w:id="10" w:name="O_499164"/>
      <w:bookmarkEnd w:id="10"/>
      <w:r w:rsidRPr="002D116D">
        <w:t>Evidence Guide</w:t>
      </w:r>
    </w:p>
    <w:tbl>
      <w:tblPr>
        <w:tblW w:w="9322" w:type="dxa"/>
        <w:tblLayout w:type="fixed"/>
        <w:tblCellMar>
          <w:left w:w="62" w:type="dxa"/>
          <w:right w:w="62" w:type="dxa"/>
        </w:tblCellMar>
        <w:tblLook w:val="0000"/>
      </w:tblPr>
      <w:tblGrid>
        <w:gridCol w:w="2660"/>
        <w:gridCol w:w="6662"/>
      </w:tblGrid>
      <w:tr w:rsidTr="00837077">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D116D">
            <w:pPr>
              <w:pStyle w:val="BodyText"/>
              <w:rPr>
                <w:lang w:val="en-NZ"/>
              </w:rPr>
            </w:pPr>
            <w:r w:rsidRPr="002D116D">
              <w:t>The Evidence Guide specifies the evidence required to demonstrate achievement in the unit of competency as</w:t>
            </w:r>
            <w:r w:rsidRPr="002D116D">
              <w:t xml:space="preserve"> a whole. It must be read in conjunction with the unit descriptor, performance criteria, The range statement and the Assessment Guidelines for the Public Sector Training Package.</w:t>
            </w:r>
          </w:p>
        </w:tc>
      </w:tr>
      <w:tr w:rsidTr="008370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D116D">
            <w:pPr>
              <w:pStyle w:val="BodyText"/>
              <w:rPr>
                <w:lang w:val="en-NZ"/>
              </w:rPr>
            </w:pPr>
            <w:r w:rsidRPr="002D116D">
              <w:rPr>
                <w:rStyle w:val="SpecialBold"/>
              </w:rPr>
              <w:t>Units to be assessed together</w:t>
            </w:r>
            <w:r w:rsidRPr="002D116D">
              <w:t xml:space="preserve"> </w:t>
            </w:r>
          </w:p>
        </w:tc>
        <w:tc>
          <w:tcPr>
            <w:tcW w:w="6662" w:type="dxa"/>
            <w:tcBorders>
              <w:top w:val="nil"/>
              <w:left w:val="nil"/>
              <w:bottom w:val="nil"/>
              <w:right w:val="nil"/>
            </w:tcBorders>
            <w:tcMar>
              <w:top w:w="0" w:type="dxa"/>
              <w:left w:w="62" w:type="dxa"/>
              <w:bottom w:w="0" w:type="dxa"/>
              <w:right w:w="62" w:type="dxa"/>
            </w:tcMar>
          </w:tcPr>
          <w:p w:rsidR="00000000" w:rsidRPr="002D116D" w:rsidP="002D116D">
            <w:pPr>
              <w:pStyle w:val="BodyText"/>
            </w:pPr>
            <w:r w:rsidRPr="002D116D">
              <w:t>Co-assessed units that may be assessed with this unit to increase the efficiency and realism of the assessment process include:</w:t>
            </w:r>
          </w:p>
          <w:p w:rsidR="00000000" w:rsidRPr="002D116D" w:rsidP="002D116D">
            <w:pPr>
              <w:pStyle w:val="ListBullet2"/>
            </w:pPr>
            <w:r w:rsidRPr="002D116D">
              <w:t>PSPETHC401A Uphold and support the values and principles of public service</w:t>
            </w:r>
          </w:p>
          <w:p w:rsidR="00000000" w:rsidRPr="002D116D" w:rsidP="002D116D">
            <w:pPr>
              <w:pStyle w:val="ListBullet2"/>
            </w:pPr>
            <w:r w:rsidRPr="002D116D">
              <w:t>PSPGOV422A Apply government processes</w:t>
            </w:r>
          </w:p>
          <w:p w:rsidR="00000000" w:rsidRPr="002D116D" w:rsidP="002D116D">
            <w:pPr>
              <w:pStyle w:val="ListBullet2"/>
            </w:pPr>
            <w:r w:rsidRPr="002D116D">
              <w:t>PSPGOV412A Use</w:t>
            </w:r>
            <w:r w:rsidRPr="002D116D">
              <w:t xml:space="preserve"> advanced workplace communication strategies</w:t>
            </w:r>
          </w:p>
          <w:p w:rsidR="00000000" w:rsidRPr="002D116D" w:rsidP="002D116D">
            <w:pPr>
              <w:pStyle w:val="ListBullet2"/>
            </w:pPr>
            <w:r w:rsidRPr="002D116D">
              <w:t>PSPGOV402B Deliver and monitor service to clients</w:t>
            </w:r>
          </w:p>
          <w:p w:rsidR="00000000" w:rsidP="002D116D">
            <w:pPr>
              <w:pStyle w:val="ListBullet2"/>
              <w:rPr>
                <w:lang w:val="en-NZ"/>
              </w:rPr>
            </w:pPr>
            <w:r w:rsidRPr="002D116D">
              <w:t>PSPGOV406B Gather and analyse information</w:t>
            </w:r>
          </w:p>
        </w:tc>
      </w:tr>
      <w:tr w:rsidTr="008370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D116D">
            <w:pPr>
              <w:pStyle w:val="BodyText"/>
              <w:rPr>
                <w:lang w:val="en-NZ"/>
              </w:rPr>
            </w:pPr>
            <w:r w:rsidRPr="002D116D">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2D116D" w:rsidP="002D116D">
            <w:pPr>
              <w:pStyle w:val="BodyText"/>
            </w:pPr>
            <w:r w:rsidRPr="002D116D">
              <w:t>In addition to integrated demonstration of the elements and their related performance criteria, look for evidence that confirms:</w:t>
            </w:r>
          </w:p>
          <w:p w:rsidR="00000000" w:rsidRPr="002D116D" w:rsidP="002D116D">
            <w:pPr>
              <w:pStyle w:val="ListBullet2"/>
            </w:pPr>
            <w:r w:rsidRPr="002D116D">
              <w:t xml:space="preserve">knowledge requirements of this unit </w:t>
            </w:r>
          </w:p>
          <w:p w:rsidR="00000000" w:rsidRPr="002D116D" w:rsidP="002D116D">
            <w:pPr>
              <w:pStyle w:val="ListBullet2"/>
            </w:pPr>
            <w:r w:rsidRPr="002D116D">
              <w:t>skill requirements of this unit</w:t>
            </w:r>
          </w:p>
          <w:p w:rsidR="00000000" w:rsidRPr="002D116D" w:rsidP="002D116D">
            <w:pPr>
              <w:pStyle w:val="ListBullet2"/>
            </w:pPr>
            <w:r w:rsidRPr="002D116D">
              <w:t>application of employability skills as they relate to thi</w:t>
            </w:r>
            <w:r w:rsidRPr="002D116D">
              <w:t>s unit</w:t>
            </w:r>
          </w:p>
          <w:p w:rsidR="00000000" w:rsidP="002D116D">
            <w:pPr>
              <w:pStyle w:val="BodyText"/>
              <w:rPr>
                <w:lang w:val="en-NZ"/>
              </w:rPr>
            </w:pPr>
            <w:r w:rsidRPr="002D116D">
              <w:t>The assessment environment should not disadvantage the candidate and where the person has a disability the principle of reasonable adjustment should be applied during assessment.</w:t>
            </w:r>
          </w:p>
        </w:tc>
      </w:tr>
      <w:tr w:rsidTr="008370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D116D">
            <w:pPr>
              <w:pStyle w:val="BodyText"/>
              <w:rPr>
                <w:lang w:val="en-NZ"/>
              </w:rPr>
            </w:pPr>
            <w:r w:rsidRPr="002D116D">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2D116D" w:rsidP="002D116D">
            <w:pPr>
              <w:pStyle w:val="BodyText"/>
            </w:pPr>
            <w:r w:rsidRPr="002D116D">
              <w:t>These resources include:</w:t>
            </w:r>
          </w:p>
          <w:p w:rsidR="00000000" w:rsidRPr="002D116D" w:rsidP="002D116D">
            <w:pPr>
              <w:pStyle w:val="ListBullet2"/>
            </w:pPr>
            <w:r w:rsidRPr="002D116D">
              <w:t>government legislation, regulations, rulings, Commissioner's practices and other applicable case law relating to returns-based taxes</w:t>
            </w:r>
          </w:p>
          <w:p w:rsidR="00000000" w:rsidRPr="002D116D" w:rsidP="002D116D">
            <w:pPr>
              <w:pStyle w:val="ListBullet2"/>
            </w:pPr>
            <w:r w:rsidRPr="002D116D">
              <w:t>organisational procedures and protocols relating to returns-based taxes</w:t>
            </w:r>
          </w:p>
          <w:p w:rsidR="00000000" w:rsidRPr="002D116D" w:rsidP="002D116D">
            <w:pPr>
              <w:pStyle w:val="ListBullet2"/>
            </w:pPr>
            <w:r w:rsidRPr="002D116D">
              <w:t xml:space="preserve">scenarios and case studies to capture the range of </w:t>
            </w:r>
            <w:r w:rsidRPr="002D116D">
              <w:t>situations likely to be encountered when evaluating returns-based taxes</w:t>
            </w:r>
          </w:p>
          <w:p w:rsidR="00000000" w:rsidP="002D116D">
            <w:pPr>
              <w:pStyle w:val="ListBullet2"/>
              <w:rPr>
                <w:lang w:val="en-NZ"/>
              </w:rPr>
            </w:pPr>
            <w:r w:rsidRPr="002D116D">
              <w:t>access to relevant systems</w:t>
            </w:r>
          </w:p>
        </w:tc>
      </w:tr>
      <w:tr w:rsidTr="008370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D116D">
            <w:pPr>
              <w:pStyle w:val="BodyText"/>
              <w:rPr>
                <w:lang w:val="en-NZ"/>
              </w:rPr>
            </w:pPr>
            <w:r w:rsidRPr="002D116D">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2D116D" w:rsidP="002D116D">
            <w:pPr>
              <w:pStyle w:val="BodyText"/>
            </w:pPr>
            <w:r w:rsidRPr="002D116D">
              <w:t xml:space="preserve">Valid assessment of this unit requires: </w:t>
            </w:r>
          </w:p>
          <w:p w:rsidR="00000000" w:rsidRPr="002D116D" w:rsidP="002D116D">
            <w:pPr>
              <w:pStyle w:val="ListBullet2"/>
            </w:pPr>
            <w:r w:rsidRPr="002D116D">
              <w:t>a workplace environment or one that closely resembles normal work practice and replicates the range of conditions likely to be encountered when evaluating returns for returns-based taxes, including coping with difficulties, irregularities and breakdowns in</w:t>
            </w:r>
            <w:r w:rsidRPr="002D116D">
              <w:t xml:space="preserve"> routine</w:t>
            </w:r>
          </w:p>
          <w:p w:rsidR="00000000" w:rsidRPr="002D116D" w:rsidP="002D116D">
            <w:pPr>
              <w:pStyle w:val="ListBullet2"/>
            </w:pPr>
            <w:r w:rsidRPr="002D116D">
              <w:t>evaluation of returns-based taxes in a range of three or more contexts or occasions, over time</w:t>
            </w:r>
          </w:p>
          <w:p w:rsidR="00000000" w:rsidRPr="002D116D" w:rsidP="002D116D">
            <w:pPr>
              <w:pStyle w:val="BodyText"/>
            </w:pPr>
            <w:r w:rsidRPr="002D116D">
              <w:t>Assessment methods should reflect but not exceed workplace demands, such as literacy, and the needs of individuals who might be disadvantaged.</w:t>
            </w:r>
          </w:p>
          <w:p w:rsidR="00000000" w:rsidRPr="002D116D" w:rsidP="002D116D">
            <w:pPr>
              <w:pStyle w:val="BodyText"/>
            </w:pPr>
            <w:r w:rsidRPr="002D116D">
              <w:t>Assessmen</w:t>
            </w:r>
            <w:r w:rsidRPr="002D116D">
              <w:t xml:space="preserve">t methods suitable for valid and reliable assessment of this unit must use authenticated evidence from the workplace and/or training courses and may include a combination of two or more of: </w:t>
            </w:r>
          </w:p>
          <w:p w:rsidR="00000000" w:rsidRPr="002D116D" w:rsidP="002D116D">
            <w:pPr>
              <w:pStyle w:val="ListBullet2"/>
            </w:pPr>
            <w:r w:rsidRPr="002D116D">
              <w:t>workplace projects</w:t>
            </w:r>
          </w:p>
          <w:p w:rsidR="00000000" w:rsidRPr="002D116D" w:rsidP="002D116D">
            <w:pPr>
              <w:pStyle w:val="ListBullet2"/>
            </w:pPr>
            <w:r w:rsidRPr="002D116D">
              <w:t>simulation or role plays</w:t>
            </w:r>
          </w:p>
          <w:p w:rsidR="00000000" w:rsidRPr="002D116D" w:rsidP="002D116D">
            <w:pPr>
              <w:pStyle w:val="ListBullet2"/>
            </w:pPr>
            <w:r w:rsidRPr="002D116D">
              <w:t>case studies and sce</w:t>
            </w:r>
            <w:r w:rsidRPr="002D116D">
              <w:t>narios</w:t>
            </w:r>
          </w:p>
          <w:p w:rsidR="00000000" w:rsidRPr="002D116D" w:rsidP="002D116D">
            <w:pPr>
              <w:pStyle w:val="ListBullet2"/>
            </w:pPr>
            <w:r w:rsidRPr="002D116D">
              <w:t>observation</w:t>
            </w:r>
          </w:p>
          <w:p w:rsidR="00000000" w:rsidRPr="002D116D" w:rsidP="002D116D">
            <w:pPr>
              <w:pStyle w:val="ListBullet2"/>
            </w:pPr>
            <w:r w:rsidRPr="002D116D">
              <w:t>portfolios</w:t>
            </w:r>
          </w:p>
          <w:p w:rsidR="00000000" w:rsidP="002D116D">
            <w:pPr>
              <w:pStyle w:val="BodyText"/>
              <w:rPr>
                <w:lang w:val="en-NZ"/>
              </w:rPr>
            </w:pPr>
            <w:r w:rsidRPr="002D116D">
              <w:t>The assessment environment should not disadvantage the candidate and where the person has a disability the principle of reasonable adjustment should be applied during assessment.</w:t>
            </w:r>
          </w:p>
        </w:tc>
      </w:tr>
      <w:tr w:rsidTr="008370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D116D">
            <w:pPr>
              <w:pStyle w:val="BodyText"/>
              <w:rPr>
                <w:lang w:val="en-NZ"/>
              </w:rPr>
            </w:pPr>
            <w:r w:rsidRPr="002D116D">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2D116D" w:rsidP="002D116D">
            <w:pPr>
              <w:pStyle w:val="BodyText"/>
            </w:pPr>
            <w:r w:rsidRPr="002D116D">
              <w:t>Evidence must be gathered over time in a range of contexts to ensure the person can achieve the unit outcome and apply the competency in different situations or environments.</w:t>
            </w:r>
          </w:p>
        </w:tc>
      </w:tr>
    </w:tbl>
    <w:p w:rsidR="00000000" w:rsidRPr="002D116D" w:rsidP="002D116D">
      <w:pPr>
        <w:pStyle w:val="BodyText"/>
      </w:pPr>
    </w:p>
    <w:p w:rsidR="00000000" w:rsidRPr="002D116D" w:rsidP="002D116D">
      <w:pPr>
        <w:pStyle w:val="AllowPageBreak"/>
      </w:pPr>
    </w:p>
    <w:p w:rsidR="00000000" w:rsidRPr="002D116D" w:rsidP="002D116D">
      <w:pPr>
        <w:pStyle w:val="Heading1"/>
      </w:pPr>
      <w:bookmarkStart w:id="11" w:name="O_499162"/>
      <w:bookmarkEnd w:id="11"/>
      <w:r w:rsidRPr="002D116D">
        <w:t>Range Statement</w:t>
      </w:r>
    </w:p>
    <w:tbl>
      <w:tblPr>
        <w:tblW w:w="9322" w:type="dxa"/>
        <w:tblLayout w:type="fixed"/>
        <w:tblCellMar>
          <w:left w:w="62" w:type="dxa"/>
          <w:right w:w="62" w:type="dxa"/>
        </w:tblCellMar>
        <w:tblLook w:val="0000"/>
      </w:tblPr>
      <w:tblGrid>
        <w:gridCol w:w="2660"/>
        <w:gridCol w:w="6662"/>
      </w:tblGrid>
      <w:tr w:rsidTr="00837077">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D116D">
            <w:pPr>
              <w:pStyle w:val="BodyText"/>
              <w:rPr>
                <w:lang w:val="en-NZ"/>
              </w:rPr>
            </w:pPr>
            <w:r w:rsidRPr="002D116D">
              <w:t>The range statement provides information about</w:t>
            </w:r>
            <w:r w:rsidRPr="002D116D">
              <w:t xml:space="preserve"> the context in which the unit of competency is carried out. The variables cater for differences between States and Territories and the Commonwealth, and between organisations and workplaces. They allow for different work requirements, work practices and k</w:t>
            </w:r>
            <w:r w:rsidRPr="002D116D">
              <w:t xml:space="preserve">nowledge. The range statement also provides a focus for assessment. It relates to the unit as a whole. Text in </w:t>
            </w:r>
            <w:r w:rsidRPr="002D116D">
              <w:rPr>
                <w:rStyle w:val="BoldandItalics"/>
              </w:rPr>
              <w:t xml:space="preserve">bold italics </w:t>
            </w:r>
            <w:r w:rsidRPr="002D116D">
              <w:t>in the Performance criteria is explained here.</w:t>
            </w:r>
          </w:p>
        </w:tc>
      </w:tr>
      <w:tr w:rsidTr="008370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D116D">
            <w:pPr>
              <w:pStyle w:val="BodyText"/>
              <w:rPr>
                <w:lang w:val="en-NZ"/>
              </w:rPr>
            </w:pPr>
            <w:r w:rsidRPr="002D116D">
              <w:rPr>
                <w:rStyle w:val="BoldandItalics"/>
              </w:rPr>
              <w:t>Returns</w:t>
            </w:r>
            <w:r w:rsidRPr="002D116D">
              <w:t>-</w:t>
            </w:r>
            <w:r w:rsidRPr="002D116D">
              <w:rPr>
                <w:rStyle w:val="BoldandItalics"/>
              </w:rPr>
              <w:t>based taxes</w:t>
            </w:r>
            <w:r w:rsidRPr="002D116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D116D" w:rsidP="002D116D">
            <w:pPr>
              <w:pStyle w:val="ListBullet2"/>
            </w:pPr>
            <w:r w:rsidRPr="002D116D">
              <w:t>payroll tax</w:t>
            </w:r>
          </w:p>
          <w:p w:rsidR="00000000" w:rsidRPr="002D116D" w:rsidP="002D116D">
            <w:pPr>
              <w:pStyle w:val="ListBullet2"/>
            </w:pPr>
            <w:r w:rsidRPr="002D116D">
              <w:t>income tax</w:t>
            </w:r>
          </w:p>
          <w:p w:rsidR="00000000" w:rsidRPr="002D116D" w:rsidP="002D116D">
            <w:pPr>
              <w:pStyle w:val="ListBullet2"/>
            </w:pPr>
            <w:r w:rsidRPr="002D116D">
              <w:t>fringe benefits tax</w:t>
            </w:r>
          </w:p>
          <w:p w:rsidR="00000000" w:rsidRPr="002D116D" w:rsidP="002D116D">
            <w:pPr>
              <w:pStyle w:val="ListBullet2"/>
            </w:pPr>
            <w:r w:rsidRPr="002D116D">
              <w:t>goods and services tax</w:t>
            </w:r>
          </w:p>
          <w:p w:rsidR="00000000" w:rsidRPr="002D116D" w:rsidP="002D116D">
            <w:pPr>
              <w:pStyle w:val="ListBullet2"/>
            </w:pPr>
            <w:r w:rsidRPr="002D116D">
              <w:t>gambling tax</w:t>
            </w:r>
          </w:p>
          <w:p w:rsidR="00000000" w:rsidRPr="002D116D" w:rsidP="002D116D">
            <w:pPr>
              <w:pStyle w:val="ListBullet2"/>
            </w:pPr>
            <w:r w:rsidRPr="002D116D">
              <w:t>racing and gaming taxes</w:t>
            </w:r>
          </w:p>
          <w:p w:rsidR="00000000" w:rsidRPr="002D116D" w:rsidP="002D116D">
            <w:pPr>
              <w:pStyle w:val="ListBullet2"/>
            </w:pPr>
            <w:r w:rsidRPr="002D116D">
              <w:t>utilities network facilities tax</w:t>
            </w:r>
          </w:p>
          <w:p w:rsidR="00000000" w:rsidRPr="002D116D" w:rsidP="002D116D">
            <w:pPr>
              <w:pStyle w:val="ListBullet2"/>
            </w:pPr>
            <w:r w:rsidRPr="002D116D">
              <w:t>transfer duty</w:t>
            </w:r>
          </w:p>
          <w:p w:rsidR="00000000" w:rsidRPr="002D116D" w:rsidP="002D116D">
            <w:pPr>
              <w:pStyle w:val="ListBullet2"/>
            </w:pPr>
            <w:r w:rsidRPr="002D116D">
              <w:t>insurance stamp duty</w:t>
            </w:r>
          </w:p>
          <w:p w:rsidR="00000000" w:rsidRPr="002D116D" w:rsidP="002D116D">
            <w:pPr>
              <w:pStyle w:val="ListBullet2"/>
            </w:pPr>
            <w:r w:rsidRPr="002D116D">
              <w:t>motor vehicle stamp duty</w:t>
            </w:r>
          </w:p>
          <w:p w:rsidR="00000000" w:rsidRPr="002D116D" w:rsidP="002D116D">
            <w:pPr>
              <w:pStyle w:val="ListBullet2"/>
            </w:pPr>
            <w:r w:rsidRPr="002D116D">
              <w:t>parking space levy</w:t>
            </w:r>
          </w:p>
          <w:p w:rsidR="00000000" w:rsidRPr="002D116D" w:rsidP="002D116D">
            <w:pPr>
              <w:pStyle w:val="ListBullet2"/>
            </w:pPr>
            <w:r w:rsidRPr="002D116D">
              <w:t>health insurance levy</w:t>
            </w:r>
          </w:p>
          <w:p w:rsidR="00000000" w:rsidRPr="002D116D" w:rsidP="002D116D">
            <w:pPr>
              <w:pStyle w:val="ListBullet2"/>
            </w:pPr>
            <w:r w:rsidRPr="002D116D">
              <w:t>cottage conveyances</w:t>
            </w:r>
          </w:p>
          <w:p w:rsidR="00000000" w:rsidRPr="002D116D" w:rsidP="002D116D">
            <w:pPr>
              <w:pStyle w:val="ListBullet2"/>
            </w:pPr>
            <w:r w:rsidRPr="002D116D">
              <w:t>taxation equivalent returns</w:t>
            </w:r>
          </w:p>
          <w:p w:rsidR="00000000" w:rsidRPr="002D116D" w:rsidP="002D116D">
            <w:pPr>
              <w:pStyle w:val="ListBullet2"/>
            </w:pPr>
            <w:r w:rsidRPr="002D116D">
              <w:t>mineral royalt</w:t>
            </w:r>
            <w:r w:rsidRPr="002D116D">
              <w:t>ies</w:t>
            </w:r>
          </w:p>
          <w:p w:rsidR="00000000" w:rsidRPr="002D116D" w:rsidP="002D116D">
            <w:pPr>
              <w:pStyle w:val="ListBullet2"/>
            </w:pPr>
            <w:r w:rsidRPr="002D116D">
              <w:t>petroleum royalties</w:t>
            </w:r>
          </w:p>
          <w:p w:rsidR="00000000" w:rsidP="002D116D">
            <w:pPr>
              <w:pStyle w:val="ListBullet2"/>
              <w:rPr>
                <w:lang w:val="en-NZ"/>
              </w:rPr>
            </w:pPr>
            <w:r w:rsidRPr="002D116D">
              <w:t>mortgage duty</w:t>
            </w:r>
          </w:p>
        </w:tc>
      </w:tr>
      <w:tr w:rsidTr="008370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D116D">
            <w:pPr>
              <w:pStyle w:val="BodyText"/>
              <w:rPr>
                <w:lang w:val="en-NZ"/>
              </w:rPr>
            </w:pPr>
            <w:r w:rsidRPr="002D116D">
              <w:rPr>
                <w:rStyle w:val="BoldandItalics"/>
              </w:rPr>
              <w:t>Rulings</w:t>
            </w:r>
            <w:r w:rsidRPr="002D116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D116D" w:rsidP="002D116D">
            <w:pPr>
              <w:pStyle w:val="ListBullet2"/>
            </w:pPr>
            <w:r w:rsidRPr="002D116D">
              <w:t>revenue rulings</w:t>
            </w:r>
          </w:p>
          <w:p w:rsidR="00000000" w:rsidRPr="002D116D" w:rsidP="002D116D">
            <w:pPr>
              <w:pStyle w:val="ListBullet2"/>
            </w:pPr>
            <w:r w:rsidRPr="002D116D">
              <w:t>tax rulings</w:t>
            </w:r>
          </w:p>
          <w:p w:rsidR="00000000" w:rsidRPr="002D116D" w:rsidP="002D116D">
            <w:pPr>
              <w:pStyle w:val="ListBullet2"/>
            </w:pPr>
            <w:r w:rsidRPr="002D116D">
              <w:t>public rulings</w:t>
            </w:r>
          </w:p>
          <w:p w:rsidR="00000000" w:rsidRPr="002D116D" w:rsidP="002D116D">
            <w:pPr>
              <w:pStyle w:val="ListBullet2"/>
            </w:pPr>
            <w:r w:rsidRPr="002D116D">
              <w:t>circulars</w:t>
            </w:r>
          </w:p>
          <w:p w:rsidR="00000000" w:rsidP="002D116D">
            <w:pPr>
              <w:pStyle w:val="ListBullet2"/>
              <w:rPr>
                <w:lang w:val="en-NZ"/>
              </w:rPr>
            </w:pPr>
            <w:r w:rsidRPr="002D116D">
              <w:t>Commissioner's determinations</w:t>
            </w:r>
          </w:p>
        </w:tc>
      </w:tr>
      <w:tr w:rsidTr="008370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D116D">
            <w:pPr>
              <w:pStyle w:val="BodyText"/>
              <w:rPr>
                <w:lang w:val="en-NZ"/>
              </w:rPr>
            </w:pPr>
            <w:r w:rsidRPr="002D116D">
              <w:rPr>
                <w:rStyle w:val="BoldandItalics"/>
              </w:rPr>
              <w:t>Commissioner's practices</w:t>
            </w:r>
            <w:r w:rsidRPr="002D116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D116D" w:rsidP="002D116D">
            <w:pPr>
              <w:pStyle w:val="ListBullet2"/>
            </w:pPr>
            <w:r w:rsidRPr="002D116D">
              <w:t>practices designated by Commissioner of Revenue or Australian Taxation Commissioner</w:t>
            </w:r>
          </w:p>
          <w:p w:rsidR="00000000" w:rsidRPr="002D116D" w:rsidP="002D116D">
            <w:pPr>
              <w:pStyle w:val="ListBullet2"/>
            </w:pPr>
            <w:r w:rsidRPr="002D116D">
              <w:t>Commissioner's Guidelines and Circulars</w:t>
            </w:r>
          </w:p>
          <w:p w:rsidR="00000000" w:rsidRPr="002D116D" w:rsidP="002D116D">
            <w:pPr>
              <w:pStyle w:val="ListBullet2"/>
            </w:pPr>
            <w:r w:rsidRPr="002D116D">
              <w:t>practice directions</w:t>
            </w:r>
          </w:p>
          <w:p w:rsidR="00000000" w:rsidRPr="002D116D" w:rsidP="002D116D">
            <w:pPr>
              <w:pStyle w:val="ListBullet2"/>
            </w:pPr>
            <w:r w:rsidRPr="002D116D">
              <w:t>public guidelines</w:t>
            </w:r>
          </w:p>
          <w:p w:rsidR="00000000" w:rsidRPr="002D116D" w:rsidP="002D116D">
            <w:pPr>
              <w:pStyle w:val="ListBullet2"/>
            </w:pPr>
            <w:r w:rsidRPr="002D116D">
              <w:t>public practices</w:t>
            </w:r>
          </w:p>
          <w:p w:rsidR="00000000" w:rsidRPr="002D116D" w:rsidP="002D116D">
            <w:pPr>
              <w:pStyle w:val="ListBullet2"/>
            </w:pPr>
            <w:r w:rsidRPr="002D116D">
              <w:t>Treasurer's directions</w:t>
            </w:r>
          </w:p>
          <w:p w:rsidR="00000000" w:rsidRPr="002D116D" w:rsidP="002D116D">
            <w:pPr>
              <w:pStyle w:val="ListBullet2"/>
            </w:pPr>
            <w:r w:rsidRPr="002D116D">
              <w:t>business rules</w:t>
            </w:r>
          </w:p>
          <w:p w:rsidR="00000000" w:rsidRPr="002D116D" w:rsidP="002D116D">
            <w:pPr>
              <w:pStyle w:val="ListBullet2"/>
            </w:pPr>
            <w:r w:rsidRPr="002D116D">
              <w:t>circulars</w:t>
            </w:r>
          </w:p>
          <w:p w:rsidR="00000000" w:rsidRPr="002D116D" w:rsidP="002D116D">
            <w:pPr>
              <w:pStyle w:val="ListBullet2"/>
            </w:pPr>
            <w:r w:rsidRPr="002D116D">
              <w:t>operating policies</w:t>
            </w:r>
          </w:p>
          <w:p w:rsidR="00000000" w:rsidP="002D116D">
            <w:pPr>
              <w:pStyle w:val="ListBullet2"/>
              <w:rPr>
                <w:lang w:val="en-NZ"/>
              </w:rPr>
            </w:pPr>
            <w:r w:rsidRPr="002D116D">
              <w:t>technical and procedural instructions</w:t>
            </w:r>
          </w:p>
        </w:tc>
      </w:tr>
      <w:tr w:rsidTr="008370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D116D">
            <w:pPr>
              <w:pStyle w:val="BodyText"/>
              <w:rPr>
                <w:lang w:val="en-NZ"/>
              </w:rPr>
            </w:pPr>
            <w:r w:rsidRPr="002D116D">
              <w:rPr>
                <w:rStyle w:val="BoldandItalics"/>
              </w:rPr>
              <w:t>Taxable items</w:t>
            </w:r>
            <w:r w:rsidRPr="002D116D">
              <w:t>/</w:t>
            </w:r>
            <w:r w:rsidRPr="002D116D">
              <w:rPr>
                <w:rStyle w:val="BoldandItalics"/>
              </w:rPr>
              <w:t>elements</w:t>
            </w:r>
            <w:r w:rsidRPr="002D116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D116D" w:rsidP="002D116D">
            <w:pPr>
              <w:pStyle w:val="ListBullet2"/>
            </w:pPr>
            <w:r w:rsidRPr="002D116D">
              <w:t>wages, salaries and allowances</w:t>
            </w:r>
          </w:p>
          <w:p w:rsidR="00000000" w:rsidRPr="002D116D" w:rsidP="002D116D">
            <w:pPr>
              <w:pStyle w:val="ListBullet2"/>
            </w:pPr>
            <w:r w:rsidRPr="002D116D">
              <w:t>superannuation</w:t>
            </w:r>
          </w:p>
          <w:p w:rsidR="00000000" w:rsidRPr="002D116D" w:rsidP="002D116D">
            <w:pPr>
              <w:pStyle w:val="ListBullet2"/>
            </w:pPr>
            <w:r w:rsidRPr="002D116D">
              <w:t>fringe benefits</w:t>
            </w:r>
          </w:p>
          <w:p w:rsidR="00000000" w:rsidRPr="002D116D" w:rsidP="002D116D">
            <w:pPr>
              <w:pStyle w:val="ListBullet2"/>
            </w:pPr>
            <w:r w:rsidRPr="002D116D">
              <w:t>capital gains</w:t>
            </w:r>
          </w:p>
          <w:p w:rsidR="00000000" w:rsidRPr="002D116D" w:rsidP="002D116D">
            <w:pPr>
              <w:pStyle w:val="ListBullet2"/>
            </w:pPr>
            <w:r w:rsidRPr="002D116D">
              <w:t>trust, partnership and company income</w:t>
            </w:r>
          </w:p>
          <w:p w:rsidR="00000000" w:rsidRPr="002D116D" w:rsidP="002D116D">
            <w:pPr>
              <w:pStyle w:val="ListBullet2"/>
            </w:pPr>
            <w:r w:rsidRPr="002D116D">
              <w:t>termination payments</w:t>
            </w:r>
          </w:p>
          <w:p w:rsidR="00000000" w:rsidRPr="002D116D" w:rsidP="002D116D">
            <w:pPr>
              <w:pStyle w:val="ListBullet2"/>
            </w:pPr>
            <w:r w:rsidRPr="002D116D">
              <w:t>insurance premiums</w:t>
            </w:r>
          </w:p>
          <w:p w:rsidR="00000000" w:rsidRPr="002D116D" w:rsidP="002D116D">
            <w:pPr>
              <w:pStyle w:val="ListBullet2"/>
            </w:pPr>
            <w:r w:rsidRPr="002D116D">
              <w:t>dutiable value of motor ve</w:t>
            </w:r>
            <w:r w:rsidRPr="002D116D">
              <w:t>hicles</w:t>
            </w:r>
          </w:p>
          <w:p w:rsidR="00000000" w:rsidRPr="002D116D" w:rsidP="002D116D">
            <w:pPr>
              <w:pStyle w:val="ListBullet2"/>
            </w:pPr>
            <w:r w:rsidRPr="002D116D">
              <w:t>taxable car park spaces</w:t>
            </w:r>
          </w:p>
          <w:p w:rsidR="00000000" w:rsidRPr="002D116D" w:rsidP="002D116D">
            <w:pPr>
              <w:pStyle w:val="ListBullet2"/>
            </w:pPr>
            <w:r w:rsidRPr="002D116D">
              <w:t>specified taxable benefits</w:t>
            </w:r>
          </w:p>
          <w:p w:rsidR="00000000" w:rsidRPr="002D116D" w:rsidP="002D116D">
            <w:pPr>
              <w:pStyle w:val="ListBullet2"/>
            </w:pPr>
            <w:r w:rsidRPr="002D116D">
              <w:t>subcontractors</w:t>
            </w:r>
          </w:p>
          <w:p w:rsidR="00000000" w:rsidP="002D116D">
            <w:pPr>
              <w:pStyle w:val="ListBullet2"/>
              <w:rPr>
                <w:lang w:val="en-NZ"/>
              </w:rPr>
            </w:pPr>
            <w:r w:rsidRPr="002D116D">
              <w:t>employment agents</w:t>
            </w:r>
          </w:p>
        </w:tc>
      </w:tr>
      <w:tr w:rsidTr="008370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D116D">
            <w:pPr>
              <w:pStyle w:val="BodyText"/>
              <w:rPr>
                <w:lang w:val="en-NZ"/>
              </w:rPr>
            </w:pPr>
            <w:r w:rsidRPr="002D116D">
              <w:rPr>
                <w:rStyle w:val="BoldandItalics"/>
              </w:rPr>
              <w:t>Liability</w:t>
            </w:r>
            <w:r w:rsidRPr="002D116D">
              <w:t xml:space="preserve"> may occur:</w:t>
            </w:r>
          </w:p>
        </w:tc>
        <w:tc>
          <w:tcPr>
            <w:tcW w:w="6662" w:type="dxa"/>
            <w:tcBorders>
              <w:top w:val="nil"/>
              <w:left w:val="nil"/>
              <w:bottom w:val="nil"/>
              <w:right w:val="nil"/>
            </w:tcBorders>
            <w:tcMar>
              <w:top w:w="0" w:type="dxa"/>
              <w:left w:w="62" w:type="dxa"/>
              <w:bottom w:w="0" w:type="dxa"/>
              <w:right w:w="62" w:type="dxa"/>
            </w:tcMar>
          </w:tcPr>
          <w:p w:rsidR="00000000" w:rsidRPr="002D116D" w:rsidP="002D116D">
            <w:pPr>
              <w:pStyle w:val="ListBullet2"/>
            </w:pPr>
            <w:r w:rsidRPr="002D116D">
              <w:t>when a threshold is exceeded</w:t>
            </w:r>
          </w:p>
          <w:p w:rsidR="00000000" w:rsidRPr="002D116D" w:rsidP="002D116D">
            <w:pPr>
              <w:pStyle w:val="ListBullet2"/>
            </w:pPr>
            <w:r w:rsidRPr="002D116D">
              <w:t>when criteria are met</w:t>
            </w:r>
          </w:p>
          <w:p w:rsidR="00000000" w:rsidRPr="002D116D" w:rsidP="002D116D">
            <w:pPr>
              <w:pStyle w:val="ListBullet2"/>
            </w:pPr>
            <w:r w:rsidRPr="002D116D">
              <w:t>annually</w:t>
            </w:r>
          </w:p>
          <w:p w:rsidR="00000000" w:rsidP="002D116D">
            <w:pPr>
              <w:pStyle w:val="ListBullet2"/>
              <w:rPr>
                <w:lang w:val="en-NZ"/>
              </w:rPr>
            </w:pPr>
            <w:r w:rsidRPr="002D116D">
              <w:t>periodically</w:t>
            </w:r>
          </w:p>
        </w:tc>
      </w:tr>
      <w:tr w:rsidTr="008370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D116D">
            <w:pPr>
              <w:pStyle w:val="BodyText"/>
              <w:rPr>
                <w:lang w:val="en-NZ"/>
              </w:rPr>
            </w:pPr>
            <w:r w:rsidRPr="002D116D">
              <w:rPr>
                <w:rStyle w:val="BoldandItalics"/>
              </w:rPr>
              <w:t>Exemptions</w:t>
            </w:r>
            <w:r w:rsidRPr="002D116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D116D" w:rsidP="002D116D">
            <w:pPr>
              <w:pStyle w:val="ListBullet2"/>
            </w:pPr>
            <w:r w:rsidRPr="002D116D">
              <w:t>exempt organisations listed in the Act</w:t>
            </w:r>
          </w:p>
          <w:p w:rsidR="00000000" w:rsidRPr="002D116D" w:rsidP="002D116D">
            <w:pPr>
              <w:pStyle w:val="ListBullet2"/>
            </w:pPr>
            <w:r w:rsidRPr="002D116D">
              <w:t>particular categories, e.g. of employees (for payroll tax)</w:t>
            </w:r>
          </w:p>
          <w:p w:rsidR="00000000" w:rsidRPr="002D116D" w:rsidP="002D116D">
            <w:pPr>
              <w:pStyle w:val="ListBullet2"/>
            </w:pPr>
            <w:r w:rsidRPr="002D116D">
              <w:t>apprentices, trainees, employees absent in the Defence Force, injured employees</w:t>
            </w:r>
          </w:p>
          <w:p w:rsidR="00000000" w:rsidP="002D116D">
            <w:pPr>
              <w:pStyle w:val="ListBullet2"/>
              <w:rPr>
                <w:lang w:val="en-NZ"/>
              </w:rPr>
            </w:pPr>
            <w:r w:rsidRPr="002D116D">
              <w:t>charitable organisations</w:t>
            </w:r>
          </w:p>
        </w:tc>
      </w:tr>
      <w:tr w:rsidTr="008370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D116D">
            <w:pPr>
              <w:pStyle w:val="BodyText"/>
              <w:rPr>
                <w:lang w:val="en-NZ"/>
              </w:rPr>
            </w:pPr>
            <w:r w:rsidRPr="002D116D">
              <w:rPr>
                <w:rStyle w:val="BoldandItalics"/>
              </w:rPr>
              <w:t>Rebates</w:t>
            </w:r>
            <w:r w:rsidRPr="002D116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D116D" w:rsidP="002D116D">
            <w:pPr>
              <w:pStyle w:val="ListBullet2"/>
            </w:pPr>
            <w:r w:rsidRPr="002D116D">
              <w:t>exporters</w:t>
            </w:r>
          </w:p>
          <w:p w:rsidR="00000000" w:rsidP="002D116D">
            <w:pPr>
              <w:pStyle w:val="ListBullet2"/>
              <w:rPr>
                <w:lang w:val="en-NZ"/>
              </w:rPr>
            </w:pPr>
            <w:r w:rsidRPr="002D116D">
              <w:t>trainees</w:t>
            </w:r>
          </w:p>
        </w:tc>
      </w:tr>
      <w:tr w:rsidTr="008370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D116D">
            <w:pPr>
              <w:pStyle w:val="BodyText"/>
              <w:rPr>
                <w:lang w:val="en-NZ"/>
              </w:rPr>
            </w:pPr>
            <w:r w:rsidRPr="002D116D">
              <w:rPr>
                <w:rStyle w:val="BoldandItalics"/>
              </w:rPr>
              <w:t>Problems with payments</w:t>
            </w:r>
            <w:r w:rsidRPr="002D116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D116D" w:rsidP="002D116D">
            <w:pPr>
              <w:pStyle w:val="ListBullet2"/>
            </w:pPr>
            <w:r w:rsidRPr="002D116D">
              <w:t>non-payment</w:t>
            </w:r>
          </w:p>
          <w:p w:rsidR="00000000" w:rsidRPr="002D116D" w:rsidP="002D116D">
            <w:pPr>
              <w:pStyle w:val="ListBullet2"/>
            </w:pPr>
            <w:r w:rsidRPr="002D116D">
              <w:t>under-payment</w:t>
            </w:r>
          </w:p>
          <w:p w:rsidR="00000000" w:rsidRPr="002D116D" w:rsidP="002D116D">
            <w:pPr>
              <w:pStyle w:val="ListBullet2"/>
            </w:pPr>
            <w:r w:rsidRPr="002D116D">
              <w:t>over-payment</w:t>
            </w:r>
          </w:p>
          <w:p w:rsidR="00000000" w:rsidP="002D116D">
            <w:pPr>
              <w:pStyle w:val="ListBullet2"/>
              <w:rPr>
                <w:lang w:val="en-NZ"/>
              </w:rPr>
            </w:pPr>
            <w:r w:rsidRPr="002D116D">
              <w:t>late payment</w:t>
            </w:r>
          </w:p>
        </w:tc>
      </w:tr>
      <w:tr w:rsidTr="0083707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D116D">
            <w:pPr>
              <w:pStyle w:val="BodyText"/>
              <w:rPr>
                <w:lang w:val="en-NZ"/>
              </w:rPr>
            </w:pPr>
            <w:r w:rsidRPr="002D116D">
              <w:rPr>
                <w:rStyle w:val="BoldandItalics"/>
              </w:rPr>
              <w:t>Records</w:t>
            </w:r>
            <w:r w:rsidRPr="002D116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D116D" w:rsidP="002D116D">
            <w:pPr>
              <w:pStyle w:val="ListBullet2"/>
            </w:pPr>
            <w:r w:rsidRPr="002D116D">
              <w:t>completed legislative decision making records</w:t>
            </w:r>
          </w:p>
          <w:p w:rsidR="00000000" w:rsidRPr="002D116D" w:rsidP="002D116D">
            <w:pPr>
              <w:pStyle w:val="ListBullet2"/>
            </w:pPr>
            <w:r w:rsidRPr="002D116D">
              <w:t>financial statements</w:t>
            </w:r>
          </w:p>
          <w:p w:rsidR="00000000" w:rsidRPr="002D116D" w:rsidP="002D116D">
            <w:pPr>
              <w:pStyle w:val="ListBullet2"/>
            </w:pPr>
            <w:r w:rsidRPr="002D116D">
              <w:t>payroll records</w:t>
            </w:r>
          </w:p>
          <w:p w:rsidR="00000000" w:rsidRPr="002D116D" w:rsidP="002D116D">
            <w:pPr>
              <w:pStyle w:val="ListBullet2"/>
            </w:pPr>
            <w:r w:rsidRPr="002D116D">
              <w:t>motor vehicle change of ownership records</w:t>
            </w:r>
          </w:p>
          <w:p w:rsidR="00000000" w:rsidRPr="002D116D" w:rsidP="002D116D">
            <w:pPr>
              <w:pStyle w:val="ListBullet2"/>
            </w:pPr>
            <w:r w:rsidRPr="002D116D">
              <w:t>insurance premium records</w:t>
            </w:r>
          </w:p>
          <w:p w:rsidR="00000000" w:rsidRPr="002D116D" w:rsidP="002D116D">
            <w:pPr>
              <w:pStyle w:val="ListBullet2"/>
            </w:pPr>
            <w:r w:rsidRPr="002D116D">
              <w:t>payment summaries</w:t>
            </w:r>
          </w:p>
          <w:p w:rsidR="00000000" w:rsidRPr="002D116D" w:rsidP="002D116D">
            <w:pPr>
              <w:pStyle w:val="ListBullet2"/>
            </w:pPr>
            <w:r w:rsidRPr="002D116D">
              <w:t>annual reconciliations</w:t>
            </w:r>
          </w:p>
          <w:p w:rsidR="00000000" w:rsidRPr="002D116D" w:rsidP="002D116D">
            <w:pPr>
              <w:pStyle w:val="ListBullet2"/>
            </w:pPr>
            <w:r w:rsidRPr="002D116D">
              <w:t>wages records</w:t>
            </w:r>
          </w:p>
          <w:p w:rsidR="00000000" w:rsidRPr="002D116D" w:rsidP="002D116D">
            <w:pPr>
              <w:pStyle w:val="ListBullet2"/>
            </w:pPr>
            <w:r w:rsidRPr="002D116D">
              <w:t>Australian Securities and Investments Commission (ASIC) records</w:t>
            </w:r>
          </w:p>
          <w:p w:rsidR="00000000" w:rsidRPr="002D116D" w:rsidP="002D116D">
            <w:pPr>
              <w:pStyle w:val="ListBullet2"/>
            </w:pPr>
            <w:r w:rsidRPr="002D116D">
              <w:t>trust deeds</w:t>
            </w:r>
          </w:p>
          <w:p w:rsidR="00000000" w:rsidRPr="002D116D" w:rsidP="002D116D">
            <w:pPr>
              <w:pStyle w:val="ListBullet2"/>
            </w:pPr>
            <w:r w:rsidRPr="002D116D">
              <w:t>dutiable instruments</w:t>
            </w:r>
          </w:p>
          <w:p w:rsidR="00000000" w:rsidRPr="002D116D" w:rsidP="002D116D">
            <w:pPr>
              <w:pStyle w:val="ListBullet2"/>
            </w:pPr>
            <w:r w:rsidRPr="002D116D">
              <w:t>signed agreements</w:t>
            </w:r>
          </w:p>
        </w:tc>
      </w:tr>
    </w:tbl>
    <w:p w:rsidR="00837077" w:rsidP="002D116D">
      <w:pPr>
        <w:pStyle w:val="BodyText"/>
      </w:pPr>
    </w:p>
    <w:p w:rsidR="00837077" w:rsidP="002D116D">
      <w:pPr>
        <w:pStyle w:val="BodyText"/>
      </w:pPr>
    </w:p>
    <w:p w:rsidR="00000000" w:rsidRPr="002D116D" w:rsidP="002D116D">
      <w:pPr>
        <w:pStyle w:val="Heading1"/>
      </w:pPr>
      <w:bookmarkStart w:id="12" w:name="O_499166"/>
      <w:bookmarkEnd w:id="12"/>
      <w:r w:rsidRPr="002D116D">
        <w:t>Unit Sector(s)</w:t>
      </w:r>
    </w:p>
    <w:p w:rsidR="00000000" w:rsidRPr="002D116D" w:rsidP="002D116D">
      <w:pPr>
        <w:pStyle w:val="BodyText"/>
      </w:pPr>
      <w:r w:rsidRPr="002D116D">
        <w:t>Not applicable.</w:t>
      </w:r>
    </w:p>
    <w:p w:rsidR="00000000" w:rsidRPr="002D116D" w:rsidP="002D116D">
      <w:pPr>
        <w:pStyle w:val="AllowPageBreak"/>
      </w:pPr>
    </w:p>
    <w:p w:rsidR="00000000" w:rsidRPr="002D116D" w:rsidP="002D116D">
      <w:pPr>
        <w:pStyle w:val="Heading1"/>
      </w:pPr>
      <w:bookmarkStart w:id="13" w:name="O_499173"/>
      <w:bookmarkEnd w:id="13"/>
      <w:r w:rsidRPr="002D116D">
        <w:t>Competency field</w:t>
      </w:r>
    </w:p>
    <w:p w:rsidR="00000000" w:rsidRPr="002D116D" w:rsidP="002D116D">
      <w:pPr>
        <w:pStyle w:val="BodyText"/>
      </w:pPr>
      <w:r w:rsidRPr="002D116D">
        <w:t>Revenue Administration.</w:t>
      </w:r>
    </w:p>
    <w:p w:rsidR="00000000" w:rsidRPr="002D116D" w:rsidP="002D116D"/>
    <w:sectPr w:rsidSect="002D11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1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7077" w:rsidP="0083707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1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077" w:rsidP="002D116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37077" w:rsidP="002D11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37077" w:rsidP="002D11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1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16D" w:rsidRPr="00837077" w:rsidP="008370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1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077" w:rsidRPr="002D2AF8" w:rsidP="002D116D">
    <w:pPr>
      <w:pStyle w:val="Header"/>
      <w:framePr w:wrap="around"/>
    </w:pPr>
    <w:r>
      <w:fldChar w:fldCharType="begin"/>
    </w:r>
    <w:r>
      <w:instrText xml:space="preserve"> TITLE   \* MERGEFORMAT </w:instrText>
    </w:r>
    <w:r>
      <w:fldChar w:fldCharType="separate"/>
    </w:r>
    <w:r>
      <w:t>PSPREV406A Evaluate returns-based taxes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837077" w:rsidP="002D11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60D5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C80E4D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1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116D"/>
    <w:pPr>
      <w:spacing w:before="360" w:after="60"/>
      <w:outlineLvl w:val="0"/>
    </w:pPr>
    <w:rPr>
      <w:sz w:val="32"/>
    </w:rPr>
  </w:style>
  <w:style w:type="paragraph" w:styleId="Heading2">
    <w:name w:val="heading 2"/>
    <w:basedOn w:val="HeadingBase"/>
    <w:next w:val="BodyText"/>
    <w:link w:val="Heading2Char"/>
    <w:qFormat/>
    <w:rsid w:val="002D116D"/>
    <w:pPr>
      <w:keepLines/>
      <w:spacing w:before="240" w:after="120"/>
      <w:outlineLvl w:val="1"/>
    </w:pPr>
    <w:rPr>
      <w:sz w:val="28"/>
      <w:szCs w:val="40"/>
    </w:rPr>
  </w:style>
  <w:style w:type="paragraph" w:styleId="Heading3">
    <w:name w:val="heading 3"/>
    <w:basedOn w:val="HeadingBase"/>
    <w:next w:val="BodyText"/>
    <w:link w:val="Heading3Char"/>
    <w:qFormat/>
    <w:rsid w:val="002D116D"/>
    <w:pPr>
      <w:spacing w:before="180" w:after="120"/>
      <w:outlineLvl w:val="2"/>
    </w:pPr>
    <w:rPr>
      <w:spacing w:val="-10"/>
      <w:kern w:val="32"/>
    </w:rPr>
  </w:style>
  <w:style w:type="paragraph" w:styleId="Heading4">
    <w:name w:val="heading 4"/>
    <w:basedOn w:val="HeadingBase"/>
    <w:next w:val="BodyText"/>
    <w:link w:val="Heading4Char"/>
    <w:qFormat/>
    <w:rsid w:val="002D116D"/>
    <w:pPr>
      <w:spacing w:before="160" w:after="120"/>
      <w:outlineLvl w:val="3"/>
    </w:pPr>
    <w:rPr>
      <w:sz w:val="22"/>
    </w:rPr>
  </w:style>
  <w:style w:type="paragraph" w:styleId="Heading5">
    <w:name w:val="heading 5"/>
    <w:basedOn w:val="HeadingBase"/>
    <w:next w:val="Normal"/>
    <w:link w:val="Heading5Char"/>
    <w:qFormat/>
    <w:rsid w:val="002D116D"/>
    <w:pPr>
      <w:spacing w:before="80"/>
      <w:outlineLvl w:val="4"/>
    </w:pPr>
    <w:rPr>
      <w:color w:val="918585"/>
      <w:sz w:val="20"/>
    </w:rPr>
  </w:style>
  <w:style w:type="paragraph" w:styleId="Heading6">
    <w:name w:val="heading 6"/>
    <w:basedOn w:val="HeadingBase"/>
    <w:next w:val="Normal"/>
    <w:link w:val="Heading6Char"/>
    <w:qFormat/>
    <w:rsid w:val="002D116D"/>
    <w:pPr>
      <w:spacing w:before="60"/>
      <w:outlineLvl w:val="5"/>
    </w:pPr>
    <w:rPr>
      <w:color w:val="918585"/>
      <w:sz w:val="20"/>
    </w:rPr>
  </w:style>
  <w:style w:type="paragraph" w:styleId="Heading7">
    <w:name w:val="heading 7"/>
    <w:basedOn w:val="Normal"/>
    <w:next w:val="Normal"/>
    <w:link w:val="Heading7Char"/>
    <w:qFormat/>
    <w:rsid w:val="002D116D"/>
    <w:pPr>
      <w:ind w:left="720"/>
      <w:outlineLvl w:val="6"/>
    </w:pPr>
    <w:rPr>
      <w:i/>
    </w:rPr>
  </w:style>
  <w:style w:type="paragraph" w:styleId="Heading8">
    <w:name w:val="heading 8"/>
    <w:basedOn w:val="Normal"/>
    <w:next w:val="Normal"/>
    <w:link w:val="Heading8Char"/>
    <w:qFormat/>
    <w:rsid w:val="002D116D"/>
    <w:pPr>
      <w:ind w:left="720"/>
      <w:outlineLvl w:val="7"/>
    </w:pPr>
    <w:rPr>
      <w:i/>
    </w:rPr>
  </w:style>
  <w:style w:type="paragraph" w:styleId="Heading9">
    <w:name w:val="heading 9"/>
    <w:basedOn w:val="Normal"/>
    <w:next w:val="Normal"/>
    <w:link w:val="Heading9Char"/>
    <w:qFormat/>
    <w:rsid w:val="002D116D"/>
    <w:pPr>
      <w:ind w:left="720"/>
      <w:outlineLvl w:val="8"/>
    </w:pPr>
    <w:rPr>
      <w:i/>
    </w:rPr>
  </w:style>
  <w:style w:type="character" w:default="1" w:styleId="DefaultParagraphFont">
    <w:name w:val="Default Paragraph Font"/>
    <w:uiPriority w:val="1"/>
    <w:unhideWhenUsed/>
    <w:rsid w:val="002D11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116D"/>
  </w:style>
  <w:style w:type="character" w:customStyle="1" w:styleId="Heading1Char">
    <w:name w:val="Heading 1 Char"/>
    <w:basedOn w:val="DefaultParagraphFont"/>
    <w:link w:val="Heading1"/>
    <w:rsid w:val="002D116D"/>
    <w:rPr>
      <w:rFonts w:ascii="Times New Roman" w:eastAsia="Times New Roman" w:hAnsi="Times New Roman" w:cs="Times New Roman"/>
      <w:b/>
      <w:sz w:val="32"/>
      <w:szCs w:val="20"/>
      <w:lang w:eastAsia="en-US"/>
    </w:rPr>
  </w:style>
  <w:style w:type="paragraph" w:styleId="BodyText">
    <w:name w:val="Body Text"/>
    <w:basedOn w:val="Normal"/>
    <w:link w:val="BodyTextChar"/>
    <w:rsid w:val="002D11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116D"/>
    <w:rPr>
      <w:rFonts w:ascii="Times New Roman" w:eastAsia="Times New Roman" w:hAnsi="Times New Roman" w:cs="Times New Roman"/>
      <w:sz w:val="24"/>
      <w:lang w:eastAsia="en-US"/>
    </w:rPr>
  </w:style>
  <w:style w:type="paragraph" w:styleId="Footer">
    <w:name w:val="footer"/>
    <w:basedOn w:val="Normal"/>
    <w:link w:val="FooterChar"/>
    <w:rsid w:val="002D11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116D"/>
    <w:rPr>
      <w:rFonts w:ascii="Times New Roman" w:eastAsia="Times New Roman" w:hAnsi="Times New Roman" w:cs="Times New Roman"/>
      <w:sz w:val="16"/>
      <w:lang w:eastAsia="en-US"/>
    </w:rPr>
  </w:style>
  <w:style w:type="paragraph" w:styleId="List">
    <w:name w:val="List"/>
    <w:basedOn w:val="BodyText"/>
    <w:next w:val="BodyText"/>
    <w:rsid w:val="002D116D"/>
    <w:pPr>
      <w:tabs>
        <w:tab w:val="left" w:pos="340"/>
      </w:tabs>
      <w:spacing w:before="60" w:after="60"/>
      <w:ind w:left="340" w:hanging="340"/>
    </w:pPr>
  </w:style>
  <w:style w:type="character" w:customStyle="1" w:styleId="SpecialBold">
    <w:name w:val="Special Bold"/>
    <w:basedOn w:val="DefaultParagraphFont"/>
    <w:rsid w:val="002D116D"/>
    <w:rPr>
      <w:b/>
      <w:spacing w:val="0"/>
    </w:rPr>
  </w:style>
  <w:style w:type="paragraph" w:styleId="ListBullet2">
    <w:name w:val="List Bullet 2"/>
    <w:basedOn w:val="List2"/>
    <w:rsid w:val="002D116D"/>
    <w:pPr>
      <w:numPr>
        <w:numId w:val="13"/>
      </w:numPr>
      <w:tabs>
        <w:tab w:val="clear" w:pos="680"/>
      </w:tabs>
    </w:pPr>
  </w:style>
  <w:style w:type="paragraph" w:customStyle="1" w:styleId="SuperHeading">
    <w:name w:val="SuperHeading"/>
    <w:basedOn w:val="Normal"/>
    <w:rsid w:val="002D116D"/>
    <w:pPr>
      <w:spacing w:before="240" w:after="120"/>
      <w:outlineLvl w:val="0"/>
    </w:pPr>
    <w:rPr>
      <w:rFonts w:ascii="Times New Roman" w:hAnsi="Times New Roman"/>
      <w:b/>
      <w:sz w:val="28"/>
    </w:rPr>
  </w:style>
  <w:style w:type="paragraph" w:customStyle="1" w:styleId="AllowPageBreak">
    <w:name w:val="AllowPageBreak"/>
    <w:rsid w:val="002D11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D116D"/>
    <w:rPr>
      <w:b/>
      <w:i/>
      <w:u w:val="none"/>
    </w:rPr>
  </w:style>
  <w:style w:type="character" w:customStyle="1" w:styleId="Heading2Char">
    <w:name w:val="Heading 2 Char"/>
    <w:basedOn w:val="DefaultParagraphFont"/>
    <w:link w:val="Heading2"/>
    <w:rsid w:val="002D11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11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11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11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11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11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11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116D"/>
    <w:rPr>
      <w:rFonts w:ascii="Courier New" w:eastAsia="Times New Roman" w:hAnsi="Courier New" w:cs="Times New Roman"/>
      <w:i/>
      <w:szCs w:val="20"/>
      <w:lang w:eastAsia="en-US"/>
    </w:rPr>
  </w:style>
  <w:style w:type="paragraph" w:customStyle="1" w:styleId="HeadingBase">
    <w:name w:val="Heading Base"/>
    <w:rsid w:val="002D11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116D"/>
    <w:pPr>
      <w:tabs>
        <w:tab w:val="right" w:leader="dot" w:pos="9072"/>
      </w:tabs>
      <w:ind w:left="567"/>
    </w:pPr>
    <w:rPr>
      <w:szCs w:val="22"/>
    </w:rPr>
  </w:style>
  <w:style w:type="paragraph" w:customStyle="1" w:styleId="TOCBase">
    <w:name w:val="TOC Base"/>
    <w:rsid w:val="002D11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116D"/>
    <w:pPr>
      <w:tabs>
        <w:tab w:val="right" w:leader="dot" w:pos="9072"/>
      </w:tabs>
      <w:spacing w:before="40" w:after="40"/>
      <w:ind w:left="284"/>
    </w:pPr>
    <w:rPr>
      <w:rFonts w:ascii="Times New Roman" w:hAnsi="Times New Roman"/>
    </w:rPr>
  </w:style>
  <w:style w:type="paragraph" w:styleId="TOC1">
    <w:name w:val="toc 1"/>
    <w:basedOn w:val="TOCBase"/>
    <w:next w:val="Normal"/>
    <w:rsid w:val="002D11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116D"/>
    <w:pPr>
      <w:spacing w:before="5040"/>
      <w:jc w:val="center"/>
    </w:pPr>
    <w:rPr>
      <w:sz w:val="48"/>
      <w:szCs w:val="72"/>
      <w:lang w:val="en-US"/>
    </w:rPr>
  </w:style>
  <w:style w:type="character" w:customStyle="1" w:styleId="TitleChar">
    <w:name w:val="Title Char"/>
    <w:basedOn w:val="DefaultParagraphFont"/>
    <w:link w:val="Title"/>
    <w:rsid w:val="002D11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116D"/>
    <w:pPr>
      <w:tabs>
        <w:tab w:val="left" w:pos="3600"/>
        <w:tab w:val="left" w:pos="3958"/>
      </w:tabs>
    </w:pPr>
  </w:style>
  <w:style w:type="paragraph" w:styleId="ListBullet">
    <w:name w:val="List Bullet"/>
    <w:basedOn w:val="List"/>
    <w:rsid w:val="002D116D"/>
    <w:pPr>
      <w:numPr>
        <w:numId w:val="12"/>
      </w:numPr>
      <w:tabs>
        <w:tab w:val="clear" w:pos="340"/>
      </w:tabs>
      <w:spacing w:before="40" w:after="40"/>
    </w:pPr>
  </w:style>
  <w:style w:type="paragraph" w:customStyle="1" w:styleId="Note">
    <w:name w:val="Note"/>
    <w:basedOn w:val="BodyText"/>
    <w:rsid w:val="002D11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116D"/>
    <w:pPr>
      <w:framePr w:wrap="auto" w:hAnchor="text" w:y="6049"/>
    </w:pPr>
    <w:rPr>
      <w:color w:val="000000"/>
      <w:sz w:val="40"/>
    </w:rPr>
  </w:style>
  <w:style w:type="paragraph" w:customStyle="1" w:styleId="TOCTitle">
    <w:name w:val="TOCTitle"/>
    <w:basedOn w:val="Heading1"/>
    <w:rsid w:val="002D116D"/>
    <w:pPr>
      <w:spacing w:after="240"/>
      <w:jc w:val="center"/>
      <w:outlineLvl w:val="9"/>
    </w:pPr>
    <w:rPr>
      <w:caps/>
    </w:rPr>
  </w:style>
  <w:style w:type="paragraph" w:customStyle="1" w:styleId="Version">
    <w:name w:val="Version"/>
    <w:rsid w:val="002D11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116D"/>
    <w:pPr>
      <w:keepNext w:val="0"/>
      <w:tabs>
        <w:tab w:val="right" w:pos="4176"/>
      </w:tabs>
      <w:ind w:left="198" w:hanging="198"/>
    </w:pPr>
    <w:rPr>
      <w:rFonts w:ascii="Garamond" w:hAnsi="Garamond"/>
    </w:rPr>
  </w:style>
  <w:style w:type="paragraph" w:styleId="IndexHeading">
    <w:name w:val="index heading"/>
    <w:basedOn w:val="Normal"/>
    <w:next w:val="Index1"/>
    <w:semiHidden/>
    <w:rsid w:val="002D116D"/>
    <w:pPr>
      <w:spacing w:before="120" w:after="120"/>
    </w:pPr>
    <w:rPr>
      <w:rFonts w:ascii="Arial" w:hAnsi="Arial"/>
      <w:b/>
      <w:color w:val="918585"/>
      <w:sz w:val="24"/>
    </w:rPr>
  </w:style>
  <w:style w:type="paragraph" w:styleId="Header">
    <w:name w:val="header"/>
    <w:basedOn w:val="Normal"/>
    <w:link w:val="HeaderChar"/>
    <w:rsid w:val="002D11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116D"/>
    <w:rPr>
      <w:rFonts w:ascii="Times New Roman" w:eastAsia="Times New Roman" w:hAnsi="Times New Roman" w:cs="Times New Roman"/>
      <w:sz w:val="16"/>
      <w:szCs w:val="20"/>
      <w:lang w:val="en-GB" w:eastAsia="en-US"/>
    </w:rPr>
  </w:style>
  <w:style w:type="paragraph" w:customStyle="1" w:styleId="Chapter">
    <w:name w:val="Chapter"/>
    <w:basedOn w:val="Normal"/>
    <w:rsid w:val="002D116D"/>
    <w:pPr>
      <w:spacing w:before="240"/>
    </w:pPr>
    <w:rPr>
      <w:rFonts w:ascii="Times New Roman" w:hAnsi="Times New Roman"/>
      <w:smallCaps/>
      <w:spacing w:val="80"/>
      <w:sz w:val="28"/>
    </w:rPr>
  </w:style>
  <w:style w:type="paragraph" w:customStyle="1" w:styleId="InChapter">
    <w:name w:val="InChapter"/>
    <w:basedOn w:val="Heading3"/>
    <w:rsid w:val="002D116D"/>
    <w:pPr>
      <w:spacing w:after="240"/>
      <w:outlineLvl w:val="9"/>
    </w:pPr>
    <w:rPr>
      <w:noProof/>
    </w:rPr>
  </w:style>
  <w:style w:type="paragraph" w:styleId="Index2">
    <w:name w:val="index 2"/>
    <w:basedOn w:val="Normal"/>
    <w:next w:val="Normal"/>
    <w:semiHidden/>
    <w:rsid w:val="002D116D"/>
    <w:pPr>
      <w:tabs>
        <w:tab w:val="right" w:pos="4176"/>
      </w:tabs>
      <w:ind w:left="568" w:hanging="284"/>
    </w:pPr>
    <w:rPr>
      <w:rFonts w:ascii="Garamond" w:hAnsi="Garamond"/>
    </w:rPr>
  </w:style>
  <w:style w:type="paragraph" w:customStyle="1" w:styleId="Byline">
    <w:name w:val="Byline"/>
    <w:rsid w:val="002D11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116D"/>
    <w:pPr>
      <w:tabs>
        <w:tab w:val="clear" w:pos="3600"/>
        <w:tab w:val="clear" w:pos="3958"/>
      </w:tabs>
      <w:jc w:val="right"/>
    </w:pPr>
  </w:style>
  <w:style w:type="character" w:styleId="Emphasis">
    <w:name w:val="Emphasis"/>
    <w:basedOn w:val="DefaultParagraphFont"/>
    <w:qFormat/>
    <w:rsid w:val="002D116D"/>
    <w:rPr>
      <w:i/>
    </w:rPr>
  </w:style>
  <w:style w:type="paragraph" w:styleId="Caption">
    <w:name w:val="caption"/>
    <w:basedOn w:val="BodyText"/>
    <w:next w:val="Normal"/>
    <w:qFormat/>
    <w:rsid w:val="002D116D"/>
    <w:pPr>
      <w:framePr w:w="2268" w:hSpace="181" w:vSpace="181" w:wrap="around" w:vAnchor="text" w:hAnchor="page" w:x="1135" w:y="285" w:anchorLock="1"/>
    </w:pPr>
    <w:rPr>
      <w:i/>
    </w:rPr>
  </w:style>
  <w:style w:type="paragraph" w:customStyle="1" w:styleId="MiniTOCTitle">
    <w:name w:val="MiniTOCTitle"/>
    <w:basedOn w:val="Heading4"/>
    <w:rsid w:val="002D116D"/>
    <w:pPr>
      <w:spacing w:before="240"/>
      <w:outlineLvl w:val="9"/>
    </w:pPr>
    <w:rPr>
      <w:noProof/>
      <w:sz w:val="24"/>
    </w:rPr>
  </w:style>
  <w:style w:type="paragraph" w:customStyle="1" w:styleId="MiniTOCItem">
    <w:name w:val="MiniTOCItem"/>
    <w:basedOn w:val="ListBullet"/>
    <w:rsid w:val="002D116D"/>
    <w:pPr>
      <w:numPr>
        <w:numId w:val="0"/>
      </w:numPr>
      <w:tabs>
        <w:tab w:val="right" w:leader="dot" w:pos="6521"/>
      </w:tabs>
      <w:spacing w:before="0" w:after="0"/>
    </w:pPr>
  </w:style>
  <w:style w:type="paragraph" w:customStyle="1" w:styleId="TOFTitle">
    <w:name w:val="TOFTitle"/>
    <w:basedOn w:val="TOCTitle"/>
    <w:rsid w:val="002D116D"/>
  </w:style>
  <w:style w:type="paragraph" w:styleId="TableofFigures">
    <w:name w:val="table of figures"/>
    <w:basedOn w:val="Normal"/>
    <w:next w:val="Normal"/>
    <w:semiHidden/>
    <w:rsid w:val="002D116D"/>
    <w:pPr>
      <w:tabs>
        <w:tab w:val="right" w:leader="dot" w:pos="9072"/>
      </w:tabs>
      <w:ind w:left="970" w:hanging="403"/>
    </w:pPr>
    <w:rPr>
      <w:rFonts w:ascii="Times New Roman" w:hAnsi="Times New Roman"/>
      <w:b/>
    </w:rPr>
  </w:style>
  <w:style w:type="paragraph" w:styleId="ListNumber">
    <w:name w:val="List Number"/>
    <w:basedOn w:val="List"/>
    <w:rsid w:val="002D116D"/>
    <w:pPr>
      <w:numPr>
        <w:numId w:val="10"/>
      </w:numPr>
    </w:pPr>
  </w:style>
  <w:style w:type="character" w:customStyle="1" w:styleId="WingdingSymbols">
    <w:name w:val="Wingding Symbols"/>
    <w:rsid w:val="002D116D"/>
    <w:rPr>
      <w:rFonts w:ascii="Wingdings" w:hAnsi="Wingdings"/>
    </w:rPr>
  </w:style>
  <w:style w:type="paragraph" w:customStyle="1" w:styleId="TableHeading">
    <w:name w:val="Table Heading"/>
    <w:basedOn w:val="HeadingBase"/>
    <w:rsid w:val="002D116D"/>
    <w:pPr>
      <w:keepLines/>
      <w:pBdr>
        <w:bottom w:val="single" w:sz="6" w:space="1" w:color="918585"/>
      </w:pBdr>
      <w:spacing w:before="240"/>
    </w:pPr>
  </w:style>
  <w:style w:type="character" w:customStyle="1" w:styleId="HotSpot">
    <w:name w:val="HotSpot"/>
    <w:rsid w:val="002D116D"/>
    <w:rPr>
      <w:color w:val="0033CC"/>
      <w:u w:val="none"/>
    </w:rPr>
  </w:style>
  <w:style w:type="paragraph" w:customStyle="1" w:styleId="BodyTextRight">
    <w:name w:val="Body Text Right"/>
    <w:basedOn w:val="BodyText"/>
    <w:rsid w:val="002D116D"/>
    <w:pPr>
      <w:spacing w:before="0" w:after="0"/>
      <w:jc w:val="right"/>
    </w:pPr>
  </w:style>
  <w:style w:type="paragraph" w:styleId="Index3">
    <w:name w:val="index 3"/>
    <w:basedOn w:val="ListNumber2"/>
    <w:next w:val="Normal"/>
    <w:semiHidden/>
    <w:rsid w:val="002D116D"/>
    <w:pPr>
      <w:numPr>
        <w:numId w:val="0"/>
      </w:numPr>
      <w:tabs>
        <w:tab w:val="right" w:leader="dot" w:pos="4176"/>
      </w:tabs>
    </w:pPr>
  </w:style>
  <w:style w:type="paragraph" w:styleId="ListNumber2">
    <w:name w:val="List Number 2"/>
    <w:basedOn w:val="List2"/>
    <w:rsid w:val="002D116D"/>
    <w:pPr>
      <w:numPr>
        <w:numId w:val="9"/>
      </w:numPr>
      <w:tabs>
        <w:tab w:val="clear" w:pos="1060"/>
      </w:tabs>
    </w:pPr>
  </w:style>
  <w:style w:type="paragraph" w:customStyle="1" w:styleId="MarginNote">
    <w:name w:val="Margin Note"/>
    <w:basedOn w:val="BodyText"/>
    <w:rsid w:val="002D11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11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11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116D"/>
    <w:rPr>
      <w:sz w:val="32"/>
    </w:rPr>
  </w:style>
  <w:style w:type="paragraph" w:customStyle="1" w:styleId="HeadingProcedure">
    <w:name w:val="Heading Procedure"/>
    <w:basedOn w:val="HeadingBase"/>
    <w:next w:val="Normal"/>
    <w:rsid w:val="002D116D"/>
    <w:pPr>
      <w:tabs>
        <w:tab w:val="left" w:pos="0"/>
      </w:tabs>
      <w:spacing w:before="120" w:after="60"/>
    </w:pPr>
    <w:rPr>
      <w:i/>
      <w:color w:val="918585"/>
      <w:sz w:val="22"/>
    </w:rPr>
  </w:style>
  <w:style w:type="paragraph" w:customStyle="1" w:styleId="TableBodyText">
    <w:name w:val="Table Body Text"/>
    <w:basedOn w:val="BodyText"/>
    <w:rsid w:val="002D116D"/>
    <w:pPr>
      <w:spacing w:before="60" w:after="60"/>
    </w:pPr>
  </w:style>
  <w:style w:type="paragraph" w:styleId="ListContinue">
    <w:name w:val="List Continue"/>
    <w:basedOn w:val="List"/>
    <w:rsid w:val="002D116D"/>
    <w:pPr>
      <w:ind w:firstLine="0"/>
    </w:pPr>
  </w:style>
  <w:style w:type="paragraph" w:customStyle="1" w:styleId="ListNote">
    <w:name w:val="List Note"/>
    <w:basedOn w:val="List"/>
    <w:rsid w:val="002D116D"/>
    <w:pPr>
      <w:pBdr>
        <w:top w:val="single" w:sz="6" w:space="2" w:color="918585"/>
        <w:bottom w:val="single" w:sz="6" w:space="2" w:color="918585"/>
      </w:pBdr>
      <w:tabs>
        <w:tab w:val="left" w:pos="1021"/>
      </w:tabs>
      <w:ind w:firstLine="0"/>
    </w:pPr>
  </w:style>
  <w:style w:type="paragraph" w:customStyle="1" w:styleId="Warning">
    <w:name w:val="Warning"/>
    <w:basedOn w:val="BodyText"/>
    <w:rsid w:val="002D116D"/>
    <w:pPr>
      <w:shd w:val="clear" w:color="auto" w:fill="D9D9D9"/>
      <w:tabs>
        <w:tab w:val="left" w:pos="992"/>
      </w:tabs>
      <w:ind w:left="119" w:right="119"/>
    </w:pPr>
    <w:rPr>
      <w:sz w:val="20"/>
    </w:rPr>
  </w:style>
  <w:style w:type="paragraph" w:customStyle="1" w:styleId="MarginIcons">
    <w:name w:val="Margin Icons"/>
    <w:basedOn w:val="BodyText"/>
    <w:rsid w:val="002D11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116D"/>
    <w:rPr>
      <w:rFonts w:ascii="Courier New" w:hAnsi="Courier New"/>
    </w:rPr>
  </w:style>
  <w:style w:type="paragraph" w:customStyle="1" w:styleId="NoteBullet">
    <w:name w:val="Note Bullet"/>
    <w:basedOn w:val="Note"/>
    <w:rsid w:val="002D116D"/>
    <w:pPr>
      <w:tabs>
        <w:tab w:val="clear" w:pos="680"/>
      </w:tabs>
      <w:spacing w:before="60" w:after="60"/>
    </w:pPr>
  </w:style>
  <w:style w:type="paragraph" w:customStyle="1" w:styleId="SubHeading2">
    <w:name w:val="SubHeading2"/>
    <w:basedOn w:val="HeadingBase"/>
    <w:rsid w:val="002D116D"/>
    <w:pPr>
      <w:spacing w:before="240" w:after="60"/>
    </w:pPr>
    <w:rPr>
      <w:sz w:val="20"/>
    </w:rPr>
  </w:style>
  <w:style w:type="paragraph" w:customStyle="1" w:styleId="SubHeading1">
    <w:name w:val="SubHeading1"/>
    <w:basedOn w:val="HeadingBase"/>
    <w:rsid w:val="002D116D"/>
    <w:pPr>
      <w:spacing w:before="240" w:after="60"/>
    </w:pPr>
    <w:rPr>
      <w:color w:val="918585"/>
      <w:sz w:val="22"/>
    </w:rPr>
  </w:style>
  <w:style w:type="paragraph" w:customStyle="1" w:styleId="SideHeading">
    <w:name w:val="Side Heading"/>
    <w:basedOn w:val="HeadingBase"/>
    <w:rsid w:val="002D11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116D"/>
    <w:pPr>
      <w:tabs>
        <w:tab w:val="num" w:pos="360"/>
      </w:tabs>
    </w:pPr>
  </w:style>
  <w:style w:type="paragraph" w:styleId="PlainText">
    <w:name w:val="Plain Text"/>
    <w:basedOn w:val="Normal"/>
    <w:link w:val="PlainTextChar"/>
    <w:rsid w:val="002D116D"/>
    <w:rPr>
      <w:sz w:val="20"/>
    </w:rPr>
  </w:style>
  <w:style w:type="character" w:customStyle="1" w:styleId="PlainTextChar">
    <w:name w:val="Plain Text Char"/>
    <w:basedOn w:val="DefaultParagraphFont"/>
    <w:link w:val="PlainText"/>
    <w:rsid w:val="002D116D"/>
    <w:rPr>
      <w:rFonts w:ascii="Courier New" w:eastAsia="Times New Roman" w:hAnsi="Courier New" w:cs="Times New Roman"/>
      <w:sz w:val="20"/>
      <w:szCs w:val="20"/>
      <w:lang w:eastAsia="en-US"/>
    </w:rPr>
  </w:style>
  <w:style w:type="character" w:customStyle="1" w:styleId="MenuOption">
    <w:name w:val="Menu Option"/>
    <w:basedOn w:val="DefaultParagraphFont"/>
    <w:rsid w:val="002D116D"/>
    <w:rPr>
      <w:b/>
      <w:smallCaps/>
    </w:rPr>
  </w:style>
  <w:style w:type="paragraph" w:customStyle="1" w:styleId="TableListNumber">
    <w:name w:val="Table List Number"/>
    <w:basedOn w:val="ListNumber"/>
    <w:rsid w:val="002D116D"/>
    <w:pPr>
      <w:numPr>
        <w:numId w:val="0"/>
      </w:numPr>
    </w:pPr>
  </w:style>
  <w:style w:type="paragraph" w:styleId="TOC4">
    <w:name w:val="toc 4"/>
    <w:basedOn w:val="TOCBase"/>
    <w:next w:val="Normal"/>
    <w:semiHidden/>
    <w:rsid w:val="002D116D"/>
    <w:pPr>
      <w:tabs>
        <w:tab w:val="right" w:leader="dot" w:pos="9071"/>
      </w:tabs>
      <w:ind w:left="1701"/>
    </w:pPr>
  </w:style>
  <w:style w:type="paragraph" w:customStyle="1" w:styleId="ListAlpha">
    <w:name w:val="List Alpha"/>
    <w:basedOn w:val="List"/>
    <w:rsid w:val="002D116D"/>
    <w:pPr>
      <w:numPr>
        <w:numId w:val="8"/>
      </w:numPr>
    </w:pPr>
  </w:style>
  <w:style w:type="paragraph" w:customStyle="1" w:styleId="ListAlpha2">
    <w:name w:val="List Alpha 2"/>
    <w:basedOn w:val="List2"/>
    <w:rsid w:val="002D116D"/>
    <w:pPr>
      <w:numPr>
        <w:numId w:val="7"/>
      </w:numPr>
    </w:pPr>
  </w:style>
  <w:style w:type="paragraph" w:styleId="List2">
    <w:name w:val="List 2"/>
    <w:basedOn w:val="BodyText"/>
    <w:rsid w:val="002D116D"/>
    <w:pPr>
      <w:tabs>
        <w:tab w:val="left" w:pos="680"/>
      </w:tabs>
      <w:spacing w:before="60" w:after="60"/>
      <w:ind w:left="680" w:hanging="340"/>
    </w:pPr>
  </w:style>
  <w:style w:type="paragraph" w:styleId="List3">
    <w:name w:val="List 3"/>
    <w:basedOn w:val="BodyText"/>
    <w:rsid w:val="002D116D"/>
    <w:pPr>
      <w:tabs>
        <w:tab w:val="left" w:pos="1021"/>
      </w:tabs>
      <w:spacing w:before="60" w:after="60"/>
      <w:ind w:left="1020" w:hanging="340"/>
    </w:pPr>
  </w:style>
  <w:style w:type="paragraph" w:styleId="List4">
    <w:name w:val="List 4"/>
    <w:basedOn w:val="BodyText"/>
    <w:rsid w:val="002D116D"/>
    <w:pPr>
      <w:tabs>
        <w:tab w:val="left" w:pos="1361"/>
      </w:tabs>
      <w:spacing w:before="60" w:after="60"/>
      <w:ind w:left="1361" w:hanging="340"/>
    </w:pPr>
  </w:style>
  <w:style w:type="paragraph" w:styleId="List5">
    <w:name w:val="List 5"/>
    <w:basedOn w:val="BodyText"/>
    <w:rsid w:val="002D116D"/>
    <w:pPr>
      <w:tabs>
        <w:tab w:val="left" w:pos="1701"/>
      </w:tabs>
      <w:spacing w:before="60" w:after="60"/>
      <w:ind w:left="1701" w:hanging="340"/>
    </w:pPr>
  </w:style>
  <w:style w:type="paragraph" w:styleId="ListBullet3">
    <w:name w:val="List Bullet 3"/>
    <w:basedOn w:val="List3"/>
    <w:rsid w:val="002D116D"/>
    <w:pPr>
      <w:numPr>
        <w:numId w:val="14"/>
      </w:numPr>
      <w:tabs>
        <w:tab w:val="clear" w:pos="1021"/>
      </w:tabs>
      <w:ind w:left="1037" w:hanging="357"/>
    </w:pPr>
  </w:style>
  <w:style w:type="paragraph" w:styleId="ListBullet4">
    <w:name w:val="List Bullet 4"/>
    <w:basedOn w:val="List4"/>
    <w:rsid w:val="002D116D"/>
    <w:pPr>
      <w:numPr>
        <w:numId w:val="2"/>
      </w:numPr>
    </w:pPr>
  </w:style>
  <w:style w:type="paragraph" w:styleId="ListBullet5">
    <w:name w:val="List Bullet 5"/>
    <w:basedOn w:val="List5"/>
    <w:rsid w:val="002D116D"/>
    <w:pPr>
      <w:numPr>
        <w:numId w:val="3"/>
      </w:numPr>
    </w:pPr>
  </w:style>
  <w:style w:type="paragraph" w:styleId="ListContinue2">
    <w:name w:val="List Continue 2"/>
    <w:basedOn w:val="List2"/>
    <w:rsid w:val="002D116D"/>
    <w:pPr>
      <w:ind w:firstLine="0"/>
    </w:pPr>
  </w:style>
  <w:style w:type="paragraph" w:styleId="ListContinue3">
    <w:name w:val="List Continue 3"/>
    <w:basedOn w:val="List3"/>
    <w:rsid w:val="002D116D"/>
    <w:pPr>
      <w:ind w:left="1021" w:firstLine="0"/>
    </w:pPr>
  </w:style>
  <w:style w:type="paragraph" w:styleId="ListContinue4">
    <w:name w:val="List Continue 4"/>
    <w:basedOn w:val="List4"/>
    <w:rsid w:val="002D116D"/>
    <w:pPr>
      <w:ind w:firstLine="0"/>
    </w:pPr>
  </w:style>
  <w:style w:type="paragraph" w:styleId="ListContinue5">
    <w:name w:val="List Continue 5"/>
    <w:basedOn w:val="List5"/>
    <w:rsid w:val="002D116D"/>
    <w:pPr>
      <w:ind w:firstLine="0"/>
    </w:pPr>
  </w:style>
  <w:style w:type="paragraph" w:styleId="ListNumber3">
    <w:name w:val="List Number 3"/>
    <w:basedOn w:val="List3"/>
    <w:rsid w:val="002D116D"/>
    <w:pPr>
      <w:numPr>
        <w:numId w:val="4"/>
      </w:numPr>
    </w:pPr>
  </w:style>
  <w:style w:type="paragraph" w:styleId="ListNumber4">
    <w:name w:val="List Number 4"/>
    <w:basedOn w:val="List4"/>
    <w:rsid w:val="002D116D"/>
    <w:pPr>
      <w:numPr>
        <w:numId w:val="5"/>
      </w:numPr>
    </w:pPr>
  </w:style>
  <w:style w:type="paragraph" w:styleId="ListNumber5">
    <w:name w:val="List Number 5"/>
    <w:basedOn w:val="List5"/>
    <w:rsid w:val="002D116D"/>
    <w:pPr>
      <w:numPr>
        <w:numId w:val="6"/>
      </w:numPr>
    </w:pPr>
  </w:style>
  <w:style w:type="paragraph" w:styleId="BlockText">
    <w:name w:val="Block Text"/>
    <w:basedOn w:val="Normal"/>
    <w:rsid w:val="002D116D"/>
    <w:pPr>
      <w:spacing w:after="120"/>
      <w:ind w:left="1440" w:right="1440"/>
    </w:pPr>
  </w:style>
  <w:style w:type="character" w:customStyle="1" w:styleId="Subscript">
    <w:name w:val="Subscript"/>
    <w:basedOn w:val="DefaultParagraphFont"/>
    <w:rsid w:val="002D116D"/>
    <w:rPr>
      <w:sz w:val="16"/>
      <w:vertAlign w:val="subscript"/>
    </w:rPr>
  </w:style>
  <w:style w:type="character" w:customStyle="1" w:styleId="Superscript">
    <w:name w:val="Superscript"/>
    <w:basedOn w:val="DefaultParagraphFont"/>
    <w:rsid w:val="002D116D"/>
    <w:rPr>
      <w:sz w:val="16"/>
      <w:vertAlign w:val="superscript"/>
    </w:rPr>
  </w:style>
  <w:style w:type="character" w:customStyle="1" w:styleId="Symbols">
    <w:name w:val="Symbols"/>
    <w:basedOn w:val="DefaultParagraphFont"/>
    <w:rsid w:val="002D116D"/>
    <w:rPr>
      <w:rFonts w:ascii="Symbol" w:hAnsi="Symbol"/>
    </w:rPr>
  </w:style>
  <w:style w:type="character" w:customStyle="1" w:styleId="MenuOptions">
    <w:name w:val="Menu Options"/>
    <w:basedOn w:val="DefaultParagraphFont"/>
    <w:rsid w:val="002D116D"/>
    <w:rPr>
      <w:rFonts w:ascii="Arial Narrow" w:hAnsi="Arial Narrow"/>
      <w:smallCaps/>
    </w:rPr>
  </w:style>
  <w:style w:type="character" w:customStyle="1" w:styleId="Buttons">
    <w:name w:val="Buttons"/>
    <w:basedOn w:val="DefaultParagraphFont"/>
    <w:rsid w:val="002D116D"/>
    <w:rPr>
      <w:b/>
    </w:rPr>
  </w:style>
  <w:style w:type="character" w:customStyle="1" w:styleId="Underlined">
    <w:name w:val="Underlined"/>
    <w:basedOn w:val="DefaultParagraphFont"/>
    <w:rsid w:val="002D116D"/>
    <w:rPr>
      <w:u w:val="single"/>
    </w:rPr>
  </w:style>
  <w:style w:type="paragraph" w:customStyle="1" w:styleId="TableBodyTextRight">
    <w:name w:val="Table Body Text Right"/>
    <w:basedOn w:val="TableBodyText"/>
    <w:rsid w:val="002D116D"/>
    <w:pPr>
      <w:widowControl w:val="0"/>
      <w:autoSpaceDE w:val="0"/>
      <w:autoSpaceDN w:val="0"/>
      <w:adjustRightInd w:val="0"/>
      <w:jc w:val="right"/>
    </w:pPr>
    <w:rPr>
      <w:rFonts w:cs="Arial"/>
      <w:szCs w:val="18"/>
    </w:rPr>
  </w:style>
  <w:style w:type="paragraph" w:customStyle="1" w:styleId="CopyrightText">
    <w:name w:val="Copyright Text"/>
    <w:basedOn w:val="BodyText"/>
    <w:rsid w:val="002D116D"/>
    <w:rPr>
      <w:sz w:val="18"/>
    </w:rPr>
  </w:style>
  <w:style w:type="paragraph" w:customStyle="1" w:styleId="BodySmallRight">
    <w:name w:val="Body Small Right"/>
    <w:basedOn w:val="BodyTextRight"/>
    <w:rsid w:val="002D116D"/>
    <w:rPr>
      <w:sz w:val="18"/>
      <w:szCs w:val="18"/>
    </w:rPr>
  </w:style>
  <w:style w:type="paragraph" w:customStyle="1" w:styleId="MarginEdition">
    <w:name w:val="Margin Edition"/>
    <w:basedOn w:val="MarginNote"/>
    <w:rsid w:val="002D116D"/>
    <w:pPr>
      <w:spacing w:before="0" w:after="0"/>
    </w:pPr>
    <w:rPr>
      <w:rFonts w:ascii="Times New Roman" w:hAnsi="Times New Roman"/>
      <w:color w:val="999999"/>
    </w:rPr>
  </w:style>
  <w:style w:type="paragraph" w:customStyle="1" w:styleId="Spacer">
    <w:name w:val="Spacer"/>
    <w:basedOn w:val="Normal"/>
    <w:rsid w:val="002D116D"/>
    <w:rPr>
      <w:sz w:val="2"/>
      <w:szCs w:val="2"/>
    </w:rPr>
  </w:style>
  <w:style w:type="character" w:customStyle="1" w:styleId="Small">
    <w:name w:val="Small"/>
    <w:basedOn w:val="DefaultParagraphFont"/>
    <w:rsid w:val="002D116D"/>
    <w:rPr>
      <w:sz w:val="16"/>
    </w:rPr>
  </w:style>
  <w:style w:type="paragraph" w:customStyle="1" w:styleId="WideTable">
    <w:name w:val="Wide Table"/>
    <w:basedOn w:val="Normal"/>
    <w:rsid w:val="002D116D"/>
    <w:pPr>
      <w:ind w:left="-1418"/>
    </w:pPr>
    <w:rPr>
      <w:sz w:val="2"/>
      <w:szCs w:val="2"/>
    </w:rPr>
  </w:style>
  <w:style w:type="character" w:styleId="PageNumber">
    <w:name w:val="page number"/>
    <w:basedOn w:val="DefaultParagraphFont"/>
    <w:rsid w:val="002D116D"/>
  </w:style>
  <w:style w:type="paragraph" w:styleId="Quote">
    <w:name w:val="Quote"/>
    <w:basedOn w:val="Heading1"/>
    <w:link w:val="QuoteChar"/>
    <w:qFormat/>
    <w:rsid w:val="002D116D"/>
    <w:rPr>
      <w:b w:val="0"/>
      <w:sz w:val="72"/>
      <w:szCs w:val="72"/>
      <w:lang w:val="en-NZ"/>
    </w:rPr>
  </w:style>
  <w:style w:type="character" w:customStyle="1" w:styleId="QuoteChar">
    <w:name w:val="Quote Char"/>
    <w:basedOn w:val="DefaultParagraphFont"/>
    <w:link w:val="Quote"/>
    <w:rsid w:val="002D11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116D"/>
    <w:pPr>
      <w:pageBreakBefore/>
    </w:pPr>
  </w:style>
  <w:style w:type="paragraph" w:customStyle="1" w:styleId="Border">
    <w:name w:val="Border"/>
    <w:basedOn w:val="Normal"/>
    <w:qFormat/>
    <w:rsid w:val="002D11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116D"/>
    <w:rPr>
      <w:b/>
      <w:bCs/>
      <w:i/>
      <w:iCs/>
      <w:color w:val="auto"/>
    </w:rPr>
  </w:style>
  <w:style w:type="paragraph" w:styleId="IntenseQuote">
    <w:name w:val="Intense Quote"/>
    <w:basedOn w:val="Normal"/>
    <w:next w:val="Normal"/>
    <w:link w:val="IntenseQuoteChar"/>
    <w:uiPriority w:val="30"/>
    <w:qFormat/>
    <w:rsid w:val="002D11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11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116D"/>
    <w:rPr>
      <w:smallCaps/>
      <w:color w:val="auto"/>
      <w:u w:val="single"/>
    </w:rPr>
  </w:style>
  <w:style w:type="character" w:styleId="IntenseReference">
    <w:name w:val="Intense Reference"/>
    <w:basedOn w:val="DefaultParagraphFont"/>
    <w:uiPriority w:val="32"/>
    <w:qFormat/>
    <w:rsid w:val="002D116D"/>
    <w:rPr>
      <w:b/>
      <w:bCs/>
      <w:smallCaps/>
      <w:color w:val="auto"/>
      <w:spacing w:val="5"/>
      <w:u w:val="single"/>
    </w:rPr>
  </w:style>
  <w:style w:type="paragraph" w:customStyle="1" w:styleId="2ColumnHeading">
    <w:name w:val="2Column Heading"/>
    <w:basedOn w:val="BodyText"/>
    <w:qFormat/>
    <w:rsid w:val="002D116D"/>
    <w:pPr>
      <w:spacing w:after="60"/>
      <w:ind w:left="-2268"/>
    </w:pPr>
    <w:rPr>
      <w:b/>
    </w:rPr>
  </w:style>
  <w:style w:type="paragraph" w:customStyle="1" w:styleId="Heading1TOC">
    <w:name w:val="Heading1 TOC"/>
    <w:basedOn w:val="Normal"/>
    <w:qFormat/>
    <w:rsid w:val="002D116D"/>
    <w:pPr>
      <w:spacing w:before="240" w:after="120"/>
    </w:pPr>
    <w:rPr>
      <w:rFonts w:ascii="Times New Roman" w:hAnsi="Times New Roman"/>
      <w:b/>
      <w:sz w:val="32"/>
    </w:rPr>
  </w:style>
  <w:style w:type="paragraph" w:customStyle="1" w:styleId="Heading2TOC">
    <w:name w:val="Heading2 TOC"/>
    <w:basedOn w:val="Normal"/>
    <w:qFormat/>
    <w:rsid w:val="002D116D"/>
    <w:pPr>
      <w:spacing w:before="240" w:after="60"/>
    </w:pPr>
    <w:rPr>
      <w:rFonts w:ascii="Times New Roman" w:hAnsi="Times New Roman"/>
      <w:b/>
      <w:sz w:val="28"/>
    </w:rPr>
  </w:style>
  <w:style w:type="character" w:customStyle="1" w:styleId="Underline">
    <w:name w:val="Underline"/>
    <w:basedOn w:val="DefaultParagraphFont"/>
    <w:qFormat/>
    <w:rsid w:val="002D116D"/>
    <w:rPr>
      <w:u w:val="single"/>
    </w:rPr>
  </w:style>
  <w:style w:type="paragraph" w:styleId="BalloonText">
    <w:name w:val="Balloon Text"/>
    <w:basedOn w:val="Normal"/>
    <w:link w:val="BalloonTextChar"/>
    <w:rsid w:val="002D116D"/>
    <w:rPr>
      <w:rFonts w:ascii="Tahoma" w:hAnsi="Tahoma" w:cs="Tahoma"/>
      <w:sz w:val="16"/>
      <w:szCs w:val="16"/>
    </w:rPr>
  </w:style>
  <w:style w:type="character" w:customStyle="1" w:styleId="BalloonTextChar">
    <w:name w:val="Balloon Text Char"/>
    <w:basedOn w:val="DefaultParagraphFont"/>
    <w:link w:val="BalloonText"/>
    <w:rsid w:val="002D11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11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11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116D"/>
    <w:rPr>
      <w:b/>
      <w:color w:val="660033"/>
      <w:spacing w:val="0"/>
    </w:rPr>
  </w:style>
  <w:style w:type="paragraph" w:customStyle="1" w:styleId="Nameditemlist">
    <w:name w:val="Named item list"/>
    <w:basedOn w:val="BodyText"/>
    <w:qFormat/>
    <w:rsid w:val="002D11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1523</Words>
  <Characters>9974</Characters>
  <Application>Microsoft Office Word</Application>
  <DocSecurity>0</DocSecurity>
  <Lines>318</Lines>
  <Paragraphs>193</Paragraphs>
  <ScaleCrop>false</ScaleCrop>
  <Company>Author-it Software Corporation Ltd.</Company>
  <LinksUpToDate>false</LinksUpToDate>
  <CharactersWithSpaces>11413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PSPREV406A Evaluate returns-based taxes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2012-11-01T17:44:00Z</dcterms:created>
  <dcterms:modified xsi:type="dcterms:W3CDTF">2012-11-01T17:44:00Z</dcterms:modified>
</cp:coreProperties>
</file>