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B20" w:rsidP="00DF1B20">
      <w:pPr>
        <w:pStyle w:val="Title"/>
      </w:pPr>
      <w:bookmarkStart w:id="0" w:name="_GoBack"/>
      <w:bookmarkEnd w:id="0"/>
      <w:r>
        <w:fldChar w:fldCharType="begin"/>
      </w:r>
      <w:r>
        <w:instrText xml:space="preserve"> TITLE   \* MERGEFORMAT </w:instrText>
      </w:r>
      <w:r>
        <w:fldChar w:fldCharType="separate"/>
      </w:r>
      <w:r>
        <w:t>PSPREV405A Assess applications for grants, subsidies and rebates</w:t>
      </w:r>
      <w:r>
        <w:fldChar w:fldCharType="end"/>
      </w:r>
    </w:p>
    <w:p w:rsidR="00DF1B20" w:rsidP="00DF1B20">
      <w:pPr>
        <w:pStyle w:val="Version"/>
        <w:sectPr w:rsidSect="008D3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D3DDE" w:rsidP="008D3DDE">
      <w:pPr>
        <w:pStyle w:val="SuperHeading"/>
      </w:pPr>
      <w:r w:rsidRPr="008D3DDE">
        <w:t>PSPREV405A Assess applications for grants, subsidies and rebates</w:t>
      </w:r>
    </w:p>
    <w:p w:rsidR="00000000" w:rsidRPr="008D3DDE" w:rsidP="008D3DDE">
      <w:pPr>
        <w:pStyle w:val="SuperHeading"/>
      </w:pPr>
    </w:p>
    <w:p w:rsidR="00000000" w:rsidRPr="008D3DDE" w:rsidP="008D3DDE">
      <w:pPr>
        <w:pStyle w:val="Heading1"/>
      </w:pPr>
      <w:bookmarkStart w:id="1" w:name="O_499146"/>
      <w:bookmarkEnd w:id="1"/>
      <w:r w:rsidRPr="008D3DDE">
        <w:t>Modification History</w:t>
      </w:r>
    </w:p>
    <w:tbl>
      <w:tblPr>
        <w:tblW w:w="0" w:type="auto"/>
        <w:tblLayout w:type="fixed"/>
        <w:tblCellMar>
          <w:left w:w="62" w:type="dxa"/>
          <w:right w:w="62" w:type="dxa"/>
        </w:tblCellMar>
        <w:tblLook w:val="0000"/>
      </w:tblPr>
      <w:tblGrid>
        <w:gridCol w:w="3052"/>
        <w:gridCol w:w="3052"/>
        <w:gridCol w:w="3052"/>
      </w:tblGrid>
      <w:tr w:rsidTr="00DF1B2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DDE" w:rsidP="008D3DDE">
            <w:pPr>
              <w:pStyle w:val="BodyText"/>
            </w:pPr>
            <w:r w:rsidRPr="008D3DD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DDE" w:rsidP="008D3DDE">
            <w:pPr>
              <w:pStyle w:val="BodyText"/>
            </w:pPr>
            <w:r w:rsidRPr="008D3DD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rPr>
                <w:rStyle w:val="SpecialBold"/>
              </w:rPr>
              <w:t>Comments</w:t>
            </w:r>
          </w:p>
        </w:tc>
      </w:tr>
      <w:tr w:rsidTr="00DF1B2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 xml:space="preserve">Unit descriptor edited. </w:t>
            </w:r>
          </w:p>
        </w:tc>
      </w:tr>
      <w:tr w:rsidTr="00DF1B2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Layout adjusted. No changes to content.</w:t>
            </w:r>
          </w:p>
        </w:tc>
      </w:tr>
      <w:tr w:rsidTr="00DF1B2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DDE">
            <w:pPr>
              <w:pStyle w:val="BodyText"/>
              <w:rPr>
                <w:lang w:val="en-NZ"/>
              </w:rPr>
            </w:pPr>
            <w:r w:rsidRPr="008D3DD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DDE" w:rsidP="008D3DDE">
            <w:pPr>
              <w:pStyle w:val="BodyText"/>
            </w:pPr>
            <w:r w:rsidRPr="008D3DDE">
              <w:t>Primary release.</w:t>
            </w:r>
          </w:p>
        </w:tc>
      </w:tr>
    </w:tbl>
    <w:p w:rsidR="00DF1B20" w:rsidP="008D3DDE">
      <w:pPr>
        <w:pStyle w:val="BodyText"/>
      </w:pPr>
    </w:p>
    <w:p w:rsidR="00DF1B20" w:rsidP="008D3DDE">
      <w:pPr>
        <w:pStyle w:val="BodyText"/>
      </w:pPr>
    </w:p>
    <w:p w:rsidR="00000000" w:rsidRPr="008D3DDE" w:rsidP="008D3DDE">
      <w:pPr>
        <w:pStyle w:val="Heading1"/>
      </w:pPr>
      <w:bookmarkStart w:id="2" w:name="O_499152"/>
      <w:bookmarkEnd w:id="2"/>
      <w:r w:rsidRPr="008D3DDE">
        <w:t>Unit Descriptor</w:t>
      </w:r>
    </w:p>
    <w:p w:rsidR="00000000" w:rsidRPr="008D3DDE" w:rsidP="008D3DDE">
      <w:pPr>
        <w:pStyle w:val="BodyText"/>
      </w:pPr>
      <w:r w:rsidRPr="008D3DDE">
        <w:t>This unit covers the explanation and assessment of applications for government grants, subsidies and rebates.</w:t>
      </w:r>
    </w:p>
    <w:p w:rsidR="00000000" w:rsidRPr="008D3DDE" w:rsidP="008D3DDE">
      <w:pPr>
        <w:pStyle w:val="BodyText"/>
      </w:pPr>
      <w:r w:rsidRPr="008D3DDE">
        <w:t>In</w:t>
      </w:r>
      <w:r w:rsidRPr="008D3DDE">
        <w:t xml:space="preserve"> practice, assessing applications for grants, subsidies and rebates overlaps with other generalist or specialist work activities, such as acting ethically, applying government processes, communicating, delivering client service, and gathering and analysing</w:t>
      </w:r>
      <w:r w:rsidRPr="008D3DDE">
        <w:t xml:space="preserve"> information. Co-assessment with units of competency addressing these other activities could be considered.</w:t>
      </w:r>
    </w:p>
    <w:p w:rsidR="00000000" w:rsidRPr="008D3DDE" w:rsidP="008D3DDE">
      <w:pPr>
        <w:pStyle w:val="BodyText"/>
      </w:pPr>
      <w:r w:rsidRPr="008D3DDE">
        <w:t>No licensing, legislative, regulatory or certification requirements apply to this unit at the time of endorsement.</w:t>
      </w:r>
    </w:p>
    <w:p w:rsidR="00000000" w:rsidRPr="008D3DDE" w:rsidP="008D3DDE">
      <w:pPr>
        <w:pStyle w:val="AllowPageBreak"/>
      </w:pPr>
    </w:p>
    <w:p w:rsidR="00000000" w:rsidRPr="008D3DDE" w:rsidP="008D3DDE">
      <w:pPr>
        <w:pStyle w:val="Heading1"/>
      </w:pPr>
      <w:bookmarkStart w:id="3" w:name="O_499159"/>
      <w:bookmarkEnd w:id="3"/>
      <w:r w:rsidRPr="008D3DDE">
        <w:t>Application of t</w:t>
      </w:r>
      <w:r w:rsidRPr="008D3DDE">
        <w:t>he Unit</w:t>
      </w:r>
    </w:p>
    <w:p w:rsidR="00000000" w:rsidRPr="008D3DDE" w:rsidP="008D3DDE">
      <w:pPr>
        <w:pStyle w:val="BodyText"/>
      </w:pPr>
      <w:r w:rsidRPr="008D3DDE">
        <w:t>In the workplace, staff typically explain the purpose and key features of grants, subsidies and rebates. They must have a good understanding of eligibility criteria, both for applicants and for the transactions to which grants, subsidies and rebate</w:t>
      </w:r>
      <w:r w:rsidRPr="008D3DDE">
        <w:t>s apply. They must evaluate completed applications and supporting evidence. Explaining the process, penalties for false or misleading information, and the reasons for decisions or outcomes is also important in the application of the unit.</w:t>
      </w:r>
    </w:p>
    <w:p w:rsidR="00000000" w:rsidRPr="008D3DDE" w:rsidP="008D3DDE">
      <w:pPr>
        <w:pStyle w:val="AllowPageBreak"/>
      </w:pPr>
    </w:p>
    <w:p w:rsidR="00000000" w:rsidRPr="008D3DDE" w:rsidP="008D3DDE">
      <w:pPr>
        <w:pStyle w:val="Heading1"/>
      </w:pPr>
      <w:bookmarkStart w:id="4" w:name="O_499150"/>
      <w:bookmarkEnd w:id="4"/>
      <w:r w:rsidRPr="008D3DDE">
        <w:t>Licensing/Regulatory Information</w:t>
      </w:r>
    </w:p>
    <w:p w:rsidR="00000000" w:rsidRPr="008D3DDE" w:rsidP="008D3DDE">
      <w:pPr>
        <w:pStyle w:val="BodyText"/>
      </w:pPr>
      <w:r w:rsidRPr="008D3DDE">
        <w:t>Not applicable.</w:t>
      </w:r>
    </w:p>
    <w:p w:rsidR="00000000" w:rsidRPr="008D3DDE" w:rsidP="008D3DDE">
      <w:pPr>
        <w:pStyle w:val="AllowPageBreak"/>
      </w:pPr>
    </w:p>
    <w:p w:rsidR="00000000" w:rsidRPr="008D3DDE" w:rsidP="008D3DDE">
      <w:pPr>
        <w:pStyle w:val="Heading1"/>
      </w:pPr>
      <w:bookmarkStart w:id="5" w:name="O_499153"/>
      <w:bookmarkEnd w:id="5"/>
      <w:r w:rsidRPr="008D3DDE">
        <w:t>Pre-Requisites</w:t>
      </w:r>
    </w:p>
    <w:p w:rsidR="00000000" w:rsidRPr="008D3DDE" w:rsidP="008D3DDE">
      <w:pPr>
        <w:pStyle w:val="BodyText"/>
      </w:pPr>
      <w:r w:rsidRPr="008D3DDE">
        <w:t>Not applicable.</w:t>
      </w:r>
    </w:p>
    <w:p w:rsidR="00000000" w:rsidRPr="008D3DDE" w:rsidP="008D3DDE">
      <w:pPr>
        <w:pStyle w:val="AllowPageBreak"/>
      </w:pPr>
    </w:p>
    <w:p w:rsidR="00000000" w:rsidRPr="008D3DDE" w:rsidP="008D3DDE">
      <w:pPr>
        <w:pStyle w:val="Heading1"/>
      </w:pPr>
      <w:bookmarkStart w:id="6" w:name="O_499155"/>
      <w:bookmarkEnd w:id="6"/>
      <w:r w:rsidRPr="008D3DDE">
        <w:t>Employability Skills Information</w:t>
      </w:r>
    </w:p>
    <w:p w:rsidR="00000000" w:rsidRPr="008D3DDE" w:rsidP="008D3DDE">
      <w:pPr>
        <w:pStyle w:val="BodyText"/>
      </w:pPr>
      <w:r w:rsidRPr="008D3DDE">
        <w:t>This unit contains employability skills.</w:t>
      </w:r>
    </w:p>
    <w:p w:rsidR="00000000" w:rsidRPr="008D3DDE" w:rsidP="008D3DDE">
      <w:pPr>
        <w:pStyle w:val="AllowPageBreak"/>
      </w:pPr>
    </w:p>
    <w:p w:rsidR="00000000" w:rsidRPr="008D3DDE" w:rsidP="008D3DDE">
      <w:pPr>
        <w:pStyle w:val="Heading1"/>
      </w:pPr>
      <w:bookmarkStart w:id="7" w:name="O_499156"/>
      <w:bookmarkEnd w:id="7"/>
      <w:r w:rsidRPr="008D3DDE">
        <w:t>Elements and Performance Criteria Pre-Content</w:t>
      </w:r>
    </w:p>
    <w:tbl>
      <w:tblPr>
        <w:tblW w:w="0" w:type="auto"/>
        <w:tblLayout w:type="fixed"/>
        <w:tblCellMar>
          <w:left w:w="62" w:type="dxa"/>
          <w:right w:w="62" w:type="dxa"/>
        </w:tblCellMar>
        <w:tblLook w:val="0000"/>
      </w:tblPr>
      <w:tblGrid>
        <w:gridCol w:w="2701"/>
        <w:gridCol w:w="5852"/>
      </w:tblGrid>
      <w:tr w:rsidTr="00DF1B20">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t>Eleme</w:t>
            </w:r>
            <w:r w:rsidRPr="008D3DDE">
              <w:t>nts are the essential outcomes of the unit of competency.</w:t>
            </w:r>
          </w:p>
        </w:tc>
        <w:tc>
          <w:tcPr>
            <w:tcW w:w="585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 xml:space="preserve">Performance criteria describe the required performance needed to demonstrate achievement of the element. Where </w:t>
            </w:r>
            <w:r w:rsidRPr="008D3DDE">
              <w:rPr>
                <w:rStyle w:val="BoldandItalics"/>
              </w:rPr>
              <w:t>bold italicised</w:t>
            </w:r>
            <w:r w:rsidRPr="008D3DDE">
              <w:t xml:space="preserve"> text is used, further information is detailed in the range state</w:t>
            </w:r>
            <w:r w:rsidRPr="008D3DDE">
              <w:t>ment. Assessment of performance is to be consistent with the evidence guide.</w:t>
            </w:r>
          </w:p>
        </w:tc>
      </w:tr>
    </w:tbl>
    <w:p w:rsidR="00000000" w:rsidRPr="008D3DDE" w:rsidP="008D3DDE">
      <w:pPr>
        <w:pStyle w:val="BodyText"/>
      </w:pPr>
    </w:p>
    <w:p w:rsidR="00000000" w:rsidRPr="008D3DDE" w:rsidP="008D3DDE">
      <w:pPr>
        <w:pStyle w:val="AllowPageBreak"/>
      </w:pPr>
    </w:p>
    <w:p w:rsidR="00000000" w:rsidRPr="008D3DDE" w:rsidP="008D3DDE">
      <w:pPr>
        <w:pStyle w:val="Heading1"/>
      </w:pPr>
      <w:bookmarkStart w:id="8" w:name="O_499157"/>
      <w:bookmarkEnd w:id="8"/>
      <w:r w:rsidRPr="008D3DDE">
        <w:t>Elements and Performance Criteria</w:t>
      </w:r>
    </w:p>
    <w:tbl>
      <w:tblPr>
        <w:tblW w:w="0" w:type="auto"/>
        <w:tblLayout w:type="fixed"/>
        <w:tblCellMar>
          <w:left w:w="62" w:type="dxa"/>
          <w:right w:w="62" w:type="dxa"/>
        </w:tblCellMar>
        <w:tblLook w:val="0000"/>
      </w:tblPr>
      <w:tblGrid>
        <w:gridCol w:w="2701"/>
        <w:gridCol w:w="5821"/>
        <w:gridCol w:w="31"/>
      </w:tblGrid>
      <w:tr w:rsidTr="00DF1B20">
        <w:tblPrEx>
          <w:tblW w:w="0" w:type="auto"/>
          <w:tblLayout w:type="fixed"/>
          <w:tblCellMar>
            <w:left w:w="62" w:type="dxa"/>
            <w:right w:w="62" w:type="dxa"/>
          </w:tblCellMar>
          <w:tblLook w:val="0000"/>
        </w:tblPrEx>
        <w:trPr>
          <w:gridAfter w:val="1"/>
          <w:wAfter w:w="31" w:type="dxa"/>
          <w:tblHeader/>
        </w:trPr>
        <w:tc>
          <w:tcPr>
            <w:tcW w:w="2701"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rPr>
                <w:rStyle w:val="SpecialBold"/>
              </w:rPr>
              <w:t>ELEMENT</w:t>
            </w:r>
          </w:p>
        </w:tc>
        <w:tc>
          <w:tcPr>
            <w:tcW w:w="5821"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PERFORMANCE CRITERIA</w:t>
            </w:r>
          </w:p>
        </w:tc>
      </w:tr>
      <w:tr w:rsidTr="00DF1B20">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D3DDE">
            <w:pPr>
              <w:pStyle w:val="List"/>
              <w:rPr>
                <w:lang w:val="en-NZ"/>
              </w:rPr>
            </w:pPr>
            <w:r w:rsidRPr="008D3DDE">
              <w:rPr>
                <w:rStyle w:val="SpecialBold"/>
              </w:rPr>
              <w:t>1</w:t>
            </w:r>
            <w:r w:rsidRPr="008D3DDE">
              <w:t>.</w:t>
            </w:r>
            <w:r w:rsidRPr="008D3DDE">
              <w:tab/>
            </w:r>
            <w:r w:rsidRPr="008D3DDE">
              <w:rPr>
                <w:rStyle w:val="SpecialBold"/>
              </w:rPr>
              <w:t>Explain grant</w:t>
            </w:r>
            <w:r w:rsidRPr="008D3DDE">
              <w:t xml:space="preserve">, </w:t>
            </w:r>
            <w:r w:rsidRPr="008D3DDE">
              <w:rPr>
                <w:rStyle w:val="SpecialBold"/>
              </w:rPr>
              <w:t>subsidy and rebate requirements</w:t>
            </w:r>
          </w:p>
        </w:tc>
        <w:tc>
          <w:tcPr>
            <w:tcW w:w="5852" w:type="dxa"/>
            <w:gridSpan w:val="2"/>
            <w:tcBorders>
              <w:top w:val="nil"/>
              <w:left w:val="nil"/>
              <w:bottom w:val="nil"/>
              <w:right w:val="nil"/>
            </w:tcBorders>
            <w:tcMar>
              <w:top w:w="0" w:type="dxa"/>
              <w:left w:w="62" w:type="dxa"/>
              <w:bottom w:w="0" w:type="dxa"/>
              <w:right w:w="62" w:type="dxa"/>
            </w:tcMar>
          </w:tcPr>
          <w:p w:rsidR="00000000" w:rsidRPr="008D3DDE" w:rsidP="008D3DDE">
            <w:pPr>
              <w:pStyle w:val="List"/>
            </w:pPr>
            <w:r w:rsidRPr="008D3DDE">
              <w:t>1.1</w:t>
            </w:r>
            <w:r w:rsidRPr="008D3DDE">
              <w:tab/>
            </w:r>
            <w:r w:rsidRPr="008D3DDE">
              <w:t xml:space="preserve">Current and comprehensive information is accessed to clarify legislative, regulatory and procedural requirements of </w:t>
            </w:r>
            <w:r w:rsidRPr="008D3DDE">
              <w:rPr>
                <w:rStyle w:val="BoldandItalics"/>
              </w:rPr>
              <w:t>grants, subsidies and rebates</w:t>
            </w:r>
            <w:r w:rsidRPr="008D3DDE">
              <w:t>.</w:t>
            </w:r>
          </w:p>
          <w:p w:rsidR="00000000" w:rsidRPr="008D3DDE" w:rsidP="008D3DDE">
            <w:pPr>
              <w:pStyle w:val="List"/>
            </w:pPr>
            <w:r w:rsidRPr="008D3DDE">
              <w:t>1.2</w:t>
            </w:r>
            <w:r w:rsidRPr="008D3DDE">
              <w:tab/>
              <w:t>Purpose and</w:t>
            </w:r>
            <w:r w:rsidRPr="008D3DDE">
              <w:rPr>
                <w:rStyle w:val="BoldandItalics"/>
              </w:rPr>
              <w:t xml:space="preserve"> key features</w:t>
            </w:r>
            <w:r w:rsidRPr="008D3DDE">
              <w:t xml:space="preserve"> of each grant, subsidy or rebate are explained, tailoring communication to suit </w:t>
            </w:r>
            <w:r w:rsidRPr="008D3DDE">
              <w:t>diverse customer needs.</w:t>
            </w:r>
          </w:p>
          <w:p w:rsidR="00000000" w:rsidRPr="008D3DDE" w:rsidP="008D3DDE">
            <w:pPr>
              <w:pStyle w:val="List"/>
            </w:pPr>
            <w:r w:rsidRPr="008D3DDE">
              <w:t>1.3</w:t>
            </w:r>
            <w:r w:rsidRPr="008D3DDE">
              <w:tab/>
              <w:t>Complex enquiries are deferred if necessary until information can be clarified, confirmed or referred to senior or specialist staff in accordance with organisational requirements.</w:t>
            </w:r>
          </w:p>
          <w:p w:rsidR="00000000" w:rsidP="008D3DDE">
            <w:pPr>
              <w:pStyle w:val="List"/>
              <w:rPr>
                <w:lang w:val="en-NZ"/>
              </w:rPr>
            </w:pPr>
            <w:r w:rsidRPr="008D3DDE">
              <w:t>1.4</w:t>
            </w:r>
            <w:r w:rsidRPr="008D3DDE">
              <w:tab/>
              <w:t>Applicants are informed of any legal require</w:t>
            </w:r>
            <w:r w:rsidRPr="008D3DDE">
              <w:t>ments and reasons for subjecting applications to compliance investigations, and penalties under legislation for providing false or misleading information or for subsequently failing to meet conditions specified for grant, subsidy or rebate.</w:t>
            </w:r>
          </w:p>
        </w:tc>
      </w:tr>
      <w:tr w:rsidTr="00DF1B20">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D3DDE">
            <w:pPr>
              <w:pStyle w:val="List"/>
              <w:rPr>
                <w:lang w:val="en-NZ"/>
              </w:rPr>
            </w:pPr>
            <w:r w:rsidRPr="008D3DDE">
              <w:rPr>
                <w:rStyle w:val="SpecialBold"/>
              </w:rPr>
              <w:t>2</w:t>
            </w:r>
            <w:r w:rsidRPr="008D3DDE">
              <w:t>.</w:t>
            </w:r>
            <w:r w:rsidRPr="008D3DDE">
              <w:tab/>
            </w:r>
            <w:r w:rsidRPr="008D3DDE">
              <w:rPr>
                <w:rStyle w:val="SpecialBold"/>
              </w:rPr>
              <w:t>Check grant</w:t>
            </w:r>
            <w:r w:rsidRPr="008D3DDE">
              <w:t xml:space="preserve">, </w:t>
            </w:r>
            <w:r w:rsidRPr="008D3DDE">
              <w:rPr>
                <w:rStyle w:val="SpecialBold"/>
              </w:rPr>
              <w:t>subsidy and rebate applications and supporting evidence</w:t>
            </w:r>
          </w:p>
        </w:tc>
        <w:tc>
          <w:tcPr>
            <w:tcW w:w="5852" w:type="dxa"/>
            <w:gridSpan w:val="2"/>
            <w:tcBorders>
              <w:top w:val="nil"/>
              <w:left w:val="nil"/>
              <w:bottom w:val="nil"/>
              <w:right w:val="nil"/>
            </w:tcBorders>
            <w:tcMar>
              <w:top w:w="0" w:type="dxa"/>
              <w:left w:w="62" w:type="dxa"/>
              <w:bottom w:w="0" w:type="dxa"/>
              <w:right w:w="62" w:type="dxa"/>
            </w:tcMar>
          </w:tcPr>
          <w:p w:rsidR="00000000" w:rsidRPr="008D3DDE" w:rsidP="008D3DDE">
            <w:pPr>
              <w:pStyle w:val="List"/>
            </w:pPr>
            <w:r w:rsidRPr="008D3DDE">
              <w:t>2.1</w:t>
            </w:r>
            <w:r w:rsidRPr="008D3DDE">
              <w:tab/>
              <w:t>Applications are checked to ensure approved forms are used and required information has been provided in accordance with organisational and legislative requirements.</w:t>
            </w:r>
          </w:p>
          <w:p w:rsidR="00000000" w:rsidP="008D3DDE">
            <w:pPr>
              <w:pStyle w:val="List"/>
              <w:rPr>
                <w:lang w:val="en-NZ"/>
              </w:rPr>
            </w:pPr>
            <w:r w:rsidRPr="008D3DDE">
              <w:t>2.2</w:t>
            </w:r>
            <w:r w:rsidRPr="008D3DDE">
              <w:rPr>
                <w:rStyle w:val="BoldandItalics"/>
              </w:rPr>
              <w:tab/>
              <w:t>Supporting evidence</w:t>
            </w:r>
            <w:r w:rsidRPr="008D3DDE">
              <w:t xml:space="preserve"> is s</w:t>
            </w:r>
            <w:r w:rsidRPr="008D3DDE">
              <w:t>ighted and copies of original documents are made and certified, in accordance with organisational policy and procedures, tailoring communication to suit diverse customer needs.</w:t>
            </w:r>
          </w:p>
        </w:tc>
      </w:tr>
      <w:tr w:rsidTr="00DF1B20">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D3DDE">
            <w:pPr>
              <w:pStyle w:val="List"/>
              <w:rPr>
                <w:lang w:val="en-NZ"/>
              </w:rPr>
            </w:pPr>
            <w:r w:rsidRPr="008D3DDE">
              <w:rPr>
                <w:rStyle w:val="SpecialBold"/>
              </w:rPr>
              <w:t>3</w:t>
            </w:r>
            <w:r w:rsidRPr="008D3DDE">
              <w:t xml:space="preserve">. </w:t>
            </w:r>
            <w:r w:rsidRPr="008D3DDE">
              <w:tab/>
            </w:r>
            <w:r w:rsidRPr="008D3DDE">
              <w:rPr>
                <w:rStyle w:val="SpecialBold"/>
              </w:rPr>
              <w:t>Assess eligibility</w:t>
            </w:r>
          </w:p>
        </w:tc>
        <w:tc>
          <w:tcPr>
            <w:tcW w:w="5852" w:type="dxa"/>
            <w:gridSpan w:val="2"/>
            <w:tcBorders>
              <w:top w:val="nil"/>
              <w:left w:val="nil"/>
              <w:bottom w:val="nil"/>
              <w:right w:val="nil"/>
            </w:tcBorders>
            <w:tcMar>
              <w:top w:w="0" w:type="dxa"/>
              <w:left w:w="62" w:type="dxa"/>
              <w:bottom w:w="0" w:type="dxa"/>
              <w:right w:w="62" w:type="dxa"/>
            </w:tcMar>
          </w:tcPr>
          <w:p w:rsidR="00000000" w:rsidRPr="008D3DDE" w:rsidP="008D3DDE">
            <w:pPr>
              <w:pStyle w:val="List"/>
            </w:pPr>
            <w:r w:rsidRPr="008D3DDE">
              <w:t>3.1</w:t>
            </w:r>
            <w:r w:rsidRPr="008D3DDE">
              <w:tab/>
            </w:r>
            <w:r w:rsidRPr="008D3DDE">
              <w:rPr>
                <w:rStyle w:val="BoldandItalics"/>
              </w:rPr>
              <w:t xml:space="preserve">Eligibility </w:t>
            </w:r>
            <w:r w:rsidRPr="008D3DDE">
              <w:t xml:space="preserve">is explained in accordance with grant, </w:t>
            </w:r>
            <w:r w:rsidRPr="008D3DDE">
              <w:t>subsidy or rebate legislation and regulations.</w:t>
            </w:r>
          </w:p>
          <w:p w:rsidR="00000000" w:rsidRPr="008D3DDE" w:rsidP="008D3DDE">
            <w:pPr>
              <w:pStyle w:val="List"/>
            </w:pPr>
            <w:r w:rsidRPr="008D3DDE">
              <w:t>3.2</w:t>
            </w:r>
            <w:r w:rsidRPr="008D3DDE">
              <w:tab/>
              <w:t>Eligibility for grant, subsidy or rebate is confirmed in accordance with organisational procedures.</w:t>
            </w:r>
          </w:p>
          <w:p w:rsidR="00000000" w:rsidRPr="008D3DDE" w:rsidP="008D3DDE">
            <w:pPr>
              <w:pStyle w:val="List"/>
            </w:pPr>
            <w:r w:rsidRPr="008D3DDE">
              <w:t>3.3</w:t>
            </w:r>
            <w:r w:rsidRPr="008D3DDE">
              <w:tab/>
              <w:t>Where eligibility is not confirmed, reasons are clearly explained and applicants' rights to review or</w:t>
            </w:r>
            <w:r w:rsidRPr="008D3DDE">
              <w:t xml:space="preserve"> lodge an objection are outlined in accordance with legislation and regulations.</w:t>
            </w:r>
          </w:p>
        </w:tc>
      </w:tr>
    </w:tbl>
    <w:p w:rsidR="00000000" w:rsidRPr="008D3DDE" w:rsidP="008D3DDE">
      <w:pPr>
        <w:pStyle w:val="BodyText"/>
      </w:pPr>
    </w:p>
    <w:p w:rsidR="00000000" w:rsidRPr="008D3DDE" w:rsidP="008D3DDE">
      <w:pPr>
        <w:pStyle w:val="AllowPageBreak"/>
      </w:pPr>
    </w:p>
    <w:p w:rsidR="00000000" w:rsidRPr="008D3DDE" w:rsidP="008D3DDE">
      <w:pPr>
        <w:pStyle w:val="Heading1"/>
      </w:pPr>
      <w:bookmarkStart w:id="9" w:name="O_499148"/>
      <w:bookmarkEnd w:id="9"/>
      <w:r w:rsidRPr="008D3DDE">
        <w:t>Required Skills and Knowledge</w:t>
      </w:r>
    </w:p>
    <w:tbl>
      <w:tblPr>
        <w:tblW w:w="0" w:type="auto"/>
        <w:tblLayout w:type="fixed"/>
        <w:tblCellMar>
          <w:left w:w="62" w:type="dxa"/>
          <w:right w:w="62" w:type="dxa"/>
        </w:tblCellMar>
        <w:tblLook w:val="0000"/>
      </w:tblPr>
      <w:tblGrid>
        <w:gridCol w:w="8513"/>
      </w:tblGrid>
      <w:tr w:rsidTr="00DF1B20">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t>This section describes the essential skills and knowledge and their level, required for this unit.</w:t>
            </w:r>
          </w:p>
        </w:tc>
      </w:tr>
      <w:tr w:rsidTr="00DF1B20">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rPr>
                <w:rStyle w:val="SpecialBold"/>
              </w:rPr>
              <w:t>Required skills</w:t>
            </w:r>
            <w:r w:rsidRPr="008D3DDE">
              <w:t>:</w:t>
            </w:r>
          </w:p>
          <w:p w:rsidR="00000000" w:rsidRPr="008D3DDE" w:rsidP="008D3DDE">
            <w:pPr>
              <w:pStyle w:val="BodyText"/>
            </w:pPr>
            <w:r w:rsidRPr="008D3DDE">
              <w:t>Look for evidence that confirms skills in:</w:t>
            </w:r>
          </w:p>
          <w:p w:rsidR="00000000" w:rsidRPr="008D3DDE" w:rsidP="008D3DDE">
            <w:pPr>
              <w:pStyle w:val="ListBullet2"/>
            </w:pPr>
            <w:r w:rsidRPr="008D3DDE">
              <w:t>navigating complex and formal documents, such as legislation, judicial decisions, rulings, Commissioner's practices and related materials and applying them to assessment of applications</w:t>
            </w:r>
          </w:p>
          <w:p w:rsidR="00000000" w:rsidRPr="008D3DDE" w:rsidP="008D3DDE">
            <w:pPr>
              <w:pStyle w:val="ListBullet2"/>
            </w:pPr>
            <w:r w:rsidRPr="008D3DDE">
              <w:t>researching information re</w:t>
            </w:r>
            <w:r w:rsidRPr="008D3DDE">
              <w:t>lated to grants, subsidies and rebates</w:t>
            </w:r>
          </w:p>
          <w:p w:rsidR="00000000" w:rsidRPr="008D3DDE" w:rsidP="008D3DDE">
            <w:pPr>
              <w:pStyle w:val="ListBullet2"/>
            </w:pPr>
            <w:r w:rsidRPr="008D3DDE">
              <w:t>analysing information against eligibility criteria</w:t>
            </w:r>
          </w:p>
          <w:p w:rsidR="00000000" w:rsidRPr="008D3DDE" w:rsidP="008D3DDE">
            <w:pPr>
              <w:pStyle w:val="ListBullet2"/>
            </w:pPr>
            <w:r w:rsidRPr="008D3DDE">
              <w:t>communicating with others involving the explanation of complex information relating to applicant and transaction eligibility (this may involve accessing interpreter s</w:t>
            </w:r>
            <w:r w:rsidRPr="008D3DDE">
              <w:t>ervices if necessary)</w:t>
            </w:r>
          </w:p>
          <w:p w:rsidR="00000000" w:rsidRPr="008D3DDE" w:rsidP="008D3DDE">
            <w:pPr>
              <w:pStyle w:val="ListBullet2"/>
            </w:pPr>
            <w:r w:rsidRPr="008D3DDE">
              <w:t>numeracy to confirm accuracy of applications</w:t>
            </w:r>
          </w:p>
          <w:p w:rsidR="00000000" w:rsidRPr="008D3DDE" w:rsidP="008D3DDE">
            <w:pPr>
              <w:pStyle w:val="ListBullet2"/>
            </w:pPr>
            <w:r w:rsidRPr="008D3DDE">
              <w:t>using technology to conduct research, make enquiries, review available data, access legislative requirements and record outcomes</w:t>
            </w:r>
          </w:p>
          <w:p w:rsidR="00000000" w:rsidRPr="008D3DDE" w:rsidP="008D3DDE">
            <w:pPr>
              <w:pStyle w:val="ListBullet2"/>
            </w:pPr>
            <w:r w:rsidRPr="008D3DDE">
              <w:t>responding to diversity, including gender and disability</w:t>
            </w:r>
          </w:p>
          <w:p w:rsidR="00000000" w:rsidP="008D3DDE">
            <w:pPr>
              <w:pStyle w:val="ListBullet2"/>
              <w:rPr>
                <w:lang w:val="en-NZ"/>
              </w:rPr>
            </w:pPr>
            <w:r w:rsidRPr="008D3DDE">
              <w:t>applying environmental, sustainability and occupational health and safety procedures to administrative work and when dealing with customers</w:t>
            </w:r>
          </w:p>
        </w:tc>
      </w:tr>
      <w:tr w:rsidTr="00DF1B20">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rPr>
                <w:rStyle w:val="SpecialBold"/>
              </w:rPr>
              <w:t>Required knowledge</w:t>
            </w:r>
            <w:r w:rsidRPr="008D3DDE">
              <w:t>:</w:t>
            </w:r>
          </w:p>
          <w:p w:rsidR="00000000" w:rsidRPr="008D3DDE" w:rsidP="008D3DDE">
            <w:pPr>
              <w:pStyle w:val="BodyText"/>
            </w:pPr>
            <w:r w:rsidRPr="008D3DDE">
              <w:t>Look for evidence that confirms knowledge and understanding of:</w:t>
            </w:r>
          </w:p>
          <w:p w:rsidR="00000000" w:rsidRPr="008D3DDE" w:rsidP="008D3DDE">
            <w:pPr>
              <w:pStyle w:val="ListBullet2"/>
            </w:pPr>
            <w:r w:rsidRPr="008D3DDE">
              <w:t>purpose and key features of gr</w:t>
            </w:r>
            <w:r w:rsidRPr="008D3DDE">
              <w:t>ants, subsidies and rebates</w:t>
            </w:r>
          </w:p>
          <w:p w:rsidR="00000000" w:rsidRPr="008D3DDE" w:rsidP="008D3DDE">
            <w:pPr>
              <w:pStyle w:val="ListBullet2"/>
            </w:pPr>
            <w:r w:rsidRPr="008D3DDE">
              <w:t>applicant eligibility criteria</w:t>
            </w:r>
          </w:p>
          <w:p w:rsidR="00000000" w:rsidRPr="008D3DDE" w:rsidP="008D3DDE">
            <w:pPr>
              <w:pStyle w:val="ListBullet2"/>
            </w:pPr>
            <w:r w:rsidRPr="008D3DDE">
              <w:t>transaction eligibility criteria</w:t>
            </w:r>
          </w:p>
          <w:p w:rsidR="00000000" w:rsidRPr="008D3DDE" w:rsidP="008D3DDE">
            <w:pPr>
              <w:pStyle w:val="ListBullet2"/>
            </w:pPr>
            <w:r w:rsidRPr="008D3DDE">
              <w:t>legislative decision making process</w:t>
            </w:r>
          </w:p>
          <w:p w:rsidR="00000000" w:rsidRPr="008D3DDE" w:rsidP="008D3DDE">
            <w:pPr>
              <w:pStyle w:val="ListBullet2"/>
            </w:pPr>
            <w:r w:rsidRPr="008D3DDE">
              <w:t>confidentiality provisions</w:t>
            </w:r>
          </w:p>
        </w:tc>
      </w:tr>
    </w:tbl>
    <w:p w:rsidR="00000000" w:rsidRPr="008D3DDE" w:rsidP="008D3DDE">
      <w:pPr>
        <w:pStyle w:val="BodyText"/>
      </w:pPr>
    </w:p>
    <w:p w:rsidR="00000000" w:rsidRPr="008D3DDE" w:rsidP="008D3DDE">
      <w:pPr>
        <w:pStyle w:val="AllowPageBreak"/>
      </w:pPr>
    </w:p>
    <w:p w:rsidR="00000000" w:rsidRPr="008D3DDE" w:rsidP="008D3DDE">
      <w:pPr>
        <w:pStyle w:val="Heading1"/>
      </w:pPr>
      <w:bookmarkStart w:id="10" w:name="O_499149"/>
      <w:bookmarkEnd w:id="10"/>
      <w:r w:rsidRPr="008D3DDE">
        <w:t>Evidence Guide</w:t>
      </w:r>
    </w:p>
    <w:tbl>
      <w:tblPr>
        <w:tblW w:w="9322" w:type="dxa"/>
        <w:tblLayout w:type="fixed"/>
        <w:tblCellMar>
          <w:left w:w="62" w:type="dxa"/>
          <w:right w:w="62" w:type="dxa"/>
        </w:tblCellMar>
        <w:tblLook w:val="0000"/>
      </w:tblPr>
      <w:tblGrid>
        <w:gridCol w:w="2660"/>
        <w:gridCol w:w="6662"/>
      </w:tblGrid>
      <w:tr w:rsidTr="00DF1B2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t>The Evidence Guide specifies the eviden</w:t>
            </w:r>
            <w:r w:rsidRPr="008D3DDE">
              <w:t>ce required to demonstrate achievement in the unit of competency as a whole. It must be read in conjunction with the unit descriptor, performance criteria, The range statement and the Assessment Guidelines for the Public Sector Training Package.</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Units to</w:t>
            </w:r>
            <w:r w:rsidRPr="008D3DDE">
              <w:rPr>
                <w:rStyle w:val="SpecialBold"/>
              </w:rPr>
              <w:t xml:space="preserve"> be assessed together</w:t>
            </w:r>
            <w:r w:rsidRPr="008D3DDE">
              <w:t xml:space="preserve"> </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Co-assessed units that may be assessed with this unit to increase the efficiency and realism of the assessment process include:</w:t>
            </w:r>
          </w:p>
          <w:p w:rsidR="00000000" w:rsidRPr="008D3DDE" w:rsidP="008D3DDE">
            <w:pPr>
              <w:pStyle w:val="ListBullet2"/>
            </w:pPr>
            <w:r w:rsidRPr="008D3DDE">
              <w:t>PSPETHC401A Uphold and support the values and principles of public service</w:t>
            </w:r>
          </w:p>
          <w:p w:rsidR="00000000" w:rsidRPr="008D3DDE" w:rsidP="008D3DDE">
            <w:pPr>
              <w:pStyle w:val="ListBullet2"/>
            </w:pPr>
            <w:r w:rsidRPr="008D3DDE">
              <w:t>PSPGOV422A Apply government p</w:t>
            </w:r>
            <w:r w:rsidRPr="008D3DDE">
              <w:t>rocesses</w:t>
            </w:r>
          </w:p>
          <w:p w:rsidR="00000000" w:rsidRPr="008D3DDE" w:rsidP="008D3DDE">
            <w:pPr>
              <w:pStyle w:val="ListBullet2"/>
            </w:pPr>
            <w:r w:rsidRPr="008D3DDE">
              <w:t>PSPGOV412A Use advanced workplace communication strategies</w:t>
            </w:r>
          </w:p>
          <w:p w:rsidR="00000000" w:rsidRPr="008D3DDE" w:rsidP="008D3DDE">
            <w:pPr>
              <w:pStyle w:val="ListBullet2"/>
            </w:pPr>
            <w:r w:rsidRPr="008D3DDE">
              <w:t>PSPGOV402B Deliver and monitor service to clients</w:t>
            </w:r>
          </w:p>
          <w:p w:rsidR="00000000" w:rsidP="008D3DDE">
            <w:pPr>
              <w:pStyle w:val="ListBullet2"/>
              <w:rPr>
                <w:lang w:val="en-NZ"/>
              </w:rPr>
            </w:pPr>
            <w:r w:rsidRPr="008D3DDE">
              <w:t>PSPGOV406B Gather and analyse information</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In addition to integrated demonstration of the elements and their related performance criteria, look for evidence that confirms:</w:t>
            </w:r>
          </w:p>
          <w:p w:rsidR="00000000" w:rsidRPr="008D3DDE" w:rsidP="008D3DDE">
            <w:pPr>
              <w:pStyle w:val="ListBullet2"/>
            </w:pPr>
            <w:r w:rsidRPr="008D3DDE">
              <w:t xml:space="preserve">knowledge requirements of this unit </w:t>
            </w:r>
          </w:p>
          <w:p w:rsidR="00000000" w:rsidRPr="008D3DDE" w:rsidP="008D3DDE">
            <w:pPr>
              <w:pStyle w:val="ListBullet2"/>
            </w:pPr>
            <w:r w:rsidRPr="008D3DDE">
              <w:t>skill requirements of this unit</w:t>
            </w:r>
          </w:p>
          <w:p w:rsidR="00000000" w:rsidRPr="008D3DDE" w:rsidP="008D3DDE">
            <w:pPr>
              <w:pStyle w:val="ListBullet2"/>
            </w:pPr>
            <w:r w:rsidRPr="008D3DDE">
              <w:t>application of employability skills as they relate to thi</w:t>
            </w:r>
            <w:r w:rsidRPr="008D3DDE">
              <w:t>s unit</w:t>
            </w:r>
          </w:p>
          <w:p w:rsidR="00000000" w:rsidP="008D3DDE">
            <w:pPr>
              <w:pStyle w:val="BodyText"/>
              <w:rPr>
                <w:lang w:val="en-NZ"/>
              </w:rPr>
            </w:pPr>
            <w:r w:rsidRPr="008D3DDE">
              <w:t>The assessment environment should not disadvantage the candidate and where the person has a disability the principle of reasonable adjustment should be applied during assessment.</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These resources include:</w:t>
            </w:r>
          </w:p>
          <w:p w:rsidR="00000000" w:rsidRPr="008D3DDE" w:rsidP="008D3DDE">
            <w:pPr>
              <w:pStyle w:val="ListBullet2"/>
            </w:pPr>
            <w:r w:rsidRPr="008D3DDE">
              <w:t>government legislation, regulations, rulings, Commissioner's practices and other applicable case law relating to grants, subsidies and rebates</w:t>
            </w:r>
          </w:p>
          <w:p w:rsidR="00000000" w:rsidRPr="008D3DDE" w:rsidP="008D3DDE">
            <w:pPr>
              <w:pStyle w:val="ListBullet2"/>
            </w:pPr>
            <w:r w:rsidRPr="008D3DDE">
              <w:t>organisational procedures and protocols relating to government grants, subsidies and rebates</w:t>
            </w:r>
          </w:p>
          <w:p w:rsidR="00000000" w:rsidRPr="008D3DDE" w:rsidP="008D3DDE">
            <w:pPr>
              <w:pStyle w:val="ListBullet2"/>
            </w:pPr>
            <w:r w:rsidRPr="008D3DDE">
              <w:t>legislative decision</w:t>
            </w:r>
            <w:r w:rsidRPr="008D3DDE">
              <w:t xml:space="preserve"> making process</w:t>
            </w:r>
          </w:p>
          <w:p w:rsidR="00000000" w:rsidRPr="008D3DDE" w:rsidP="008D3DDE">
            <w:pPr>
              <w:pStyle w:val="ListBullet2"/>
            </w:pPr>
            <w:r w:rsidRPr="008D3DDE">
              <w:t>scenarios and case studies to capture the range of situations likely to be encountered when assessing applications for grants, subsidies and rebates</w:t>
            </w:r>
          </w:p>
          <w:p w:rsidR="00000000" w:rsidP="008D3DDE">
            <w:pPr>
              <w:pStyle w:val="ListBullet2"/>
              <w:rPr>
                <w:lang w:val="en-NZ"/>
              </w:rPr>
            </w:pPr>
            <w:r w:rsidRPr="008D3DDE">
              <w:t>access to relevant systems</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 xml:space="preserve">Valid assessment of this unit requires: </w:t>
            </w:r>
          </w:p>
          <w:p w:rsidR="00000000" w:rsidRPr="008D3DDE" w:rsidP="008D3DDE">
            <w:pPr>
              <w:pStyle w:val="ListBullet2"/>
            </w:pPr>
            <w:r w:rsidRPr="008D3DDE">
              <w:t>a workplace environment or one that closely resembles normal work practice and replicates the range of conditions likely to be encountered when assessing applications for grants, subsidies and rebates, including co</w:t>
            </w:r>
            <w:r w:rsidRPr="008D3DDE">
              <w:t>ping with difficulties, irregularities and breakdowns in routine</w:t>
            </w:r>
          </w:p>
          <w:p w:rsidR="00000000" w:rsidRPr="008D3DDE" w:rsidP="008D3DDE">
            <w:pPr>
              <w:pStyle w:val="ListBullet2"/>
            </w:pPr>
            <w:r w:rsidRPr="008D3DDE">
              <w:t>assessment of applications for grants, subsidies and rebates in a range of three or more contexts or occasions, over time</w:t>
            </w:r>
          </w:p>
          <w:p w:rsidR="00000000" w:rsidRPr="008D3DDE" w:rsidP="008D3DDE">
            <w:pPr>
              <w:pStyle w:val="BodyText"/>
            </w:pPr>
            <w:r w:rsidRPr="008D3DDE">
              <w:t>Assessment methods should reflect but not exceed workplace demands, s</w:t>
            </w:r>
            <w:r w:rsidRPr="008D3DDE">
              <w:t>uch as literacy, and the needs of individuals who might be disadvantaged.</w:t>
            </w:r>
          </w:p>
          <w:p w:rsidR="00000000" w:rsidRPr="008D3DDE" w:rsidP="008D3DDE">
            <w:pPr>
              <w:pStyle w:val="BodyText"/>
            </w:pPr>
            <w:r w:rsidRPr="008D3DDE">
              <w:t>Assessment methods suitable for valid and reliable assessment of this unit must use authenticated evidence from the workplace and/or training courses and may include a combination of</w:t>
            </w:r>
            <w:r w:rsidRPr="008D3DDE">
              <w:t xml:space="preserve"> two or more of: </w:t>
            </w:r>
          </w:p>
          <w:p w:rsidR="00000000" w:rsidRPr="008D3DDE" w:rsidP="008D3DDE">
            <w:pPr>
              <w:pStyle w:val="ListBullet2"/>
            </w:pPr>
            <w:r w:rsidRPr="008D3DDE">
              <w:t>workplace projects</w:t>
            </w:r>
          </w:p>
          <w:p w:rsidR="00000000" w:rsidRPr="008D3DDE" w:rsidP="008D3DDE">
            <w:pPr>
              <w:pStyle w:val="ListBullet2"/>
            </w:pPr>
            <w:r w:rsidRPr="008D3DDE">
              <w:t>simulation or role plays</w:t>
            </w:r>
          </w:p>
          <w:p w:rsidR="00000000" w:rsidRPr="008D3DDE" w:rsidP="008D3DDE">
            <w:pPr>
              <w:pStyle w:val="ListBullet2"/>
            </w:pPr>
            <w:r w:rsidRPr="008D3DDE">
              <w:t>case studies and scenarios</w:t>
            </w:r>
          </w:p>
          <w:p w:rsidR="00000000" w:rsidRPr="008D3DDE" w:rsidP="008D3DDE">
            <w:pPr>
              <w:pStyle w:val="ListBullet2"/>
            </w:pPr>
            <w:r w:rsidRPr="008D3DDE">
              <w:t>observation</w:t>
            </w:r>
          </w:p>
          <w:p w:rsidR="00000000" w:rsidRPr="008D3DDE" w:rsidP="008D3DDE">
            <w:pPr>
              <w:pStyle w:val="ListBullet2"/>
            </w:pPr>
            <w:r w:rsidRPr="008D3DDE">
              <w:t>portfolios</w:t>
            </w:r>
          </w:p>
          <w:p w:rsidR="00000000" w:rsidP="008D3DDE">
            <w:pPr>
              <w:pStyle w:val="BodyText"/>
              <w:rPr>
                <w:lang w:val="en-NZ"/>
              </w:rPr>
            </w:pPr>
            <w:r w:rsidRPr="008D3DDE">
              <w:t>The assessment environment should not disadvantage the candidate and where the person has a disability the principle of reasonable adjustment s</w:t>
            </w:r>
            <w:r w:rsidRPr="008D3DDE">
              <w:t>hould be applied during assessment.</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BodyText"/>
            </w:pPr>
            <w:r w:rsidRPr="008D3DDE">
              <w:t>Evidence must be gathered over time in a range of contexts to ensure the person can achieve the unit outcome and apply the competency in different situations or environments.</w:t>
            </w:r>
          </w:p>
        </w:tc>
      </w:tr>
    </w:tbl>
    <w:p w:rsidR="00000000" w:rsidRPr="008D3DDE" w:rsidP="008D3DDE">
      <w:pPr>
        <w:pStyle w:val="BodyText"/>
      </w:pPr>
    </w:p>
    <w:p w:rsidR="00000000" w:rsidRPr="008D3DDE" w:rsidP="008D3DDE">
      <w:pPr>
        <w:pStyle w:val="AllowPageBreak"/>
      </w:pPr>
    </w:p>
    <w:p w:rsidR="00000000" w:rsidRPr="008D3DDE" w:rsidP="008D3DDE">
      <w:pPr>
        <w:pStyle w:val="Heading1"/>
      </w:pPr>
      <w:bookmarkStart w:id="11" w:name="O_499147"/>
      <w:bookmarkEnd w:id="11"/>
      <w:r w:rsidRPr="008D3DDE">
        <w:t>Range Statement</w:t>
      </w:r>
    </w:p>
    <w:tbl>
      <w:tblPr>
        <w:tblW w:w="9322" w:type="dxa"/>
        <w:tblLayout w:type="fixed"/>
        <w:tblCellMar>
          <w:left w:w="62" w:type="dxa"/>
          <w:right w:w="62" w:type="dxa"/>
        </w:tblCellMar>
        <w:tblLook w:val="0000"/>
      </w:tblPr>
      <w:tblGrid>
        <w:gridCol w:w="2660"/>
        <w:gridCol w:w="6662"/>
      </w:tblGrid>
      <w:tr w:rsidTr="00DF1B2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t>The range statement provides information about the context in which the unit of competency is carried out. The variables cater for differences between States and Territories and the Commonwealth, and between organisations and workpl</w:t>
            </w:r>
            <w:r w:rsidRPr="008D3DDE">
              <w:t xml:space="preserve">aces. They allow for different work requirements, work practices and knowledge. The range statement also provides a focus for assessment. It relates to the unit as a whole. Text in </w:t>
            </w:r>
            <w:r w:rsidRPr="008D3DDE">
              <w:rPr>
                <w:rStyle w:val="Emphasis"/>
              </w:rPr>
              <w:t>italics</w:t>
            </w:r>
            <w:r w:rsidRPr="008D3DDE">
              <w:t xml:space="preserve"> in the Performance criteria is explained here.</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BoldandItalics"/>
              </w:rPr>
              <w:t>Grants</w:t>
            </w:r>
            <w:r w:rsidRPr="008D3DDE">
              <w:t xml:space="preserve">, </w:t>
            </w:r>
            <w:r w:rsidRPr="008D3DDE">
              <w:rPr>
                <w:rStyle w:val="BoldandItalics"/>
              </w:rPr>
              <w:t>subsidies and rebates</w:t>
            </w:r>
            <w:r w:rsidRPr="008D3D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ListBullet2"/>
            </w:pPr>
            <w:r w:rsidRPr="008D3DDE">
              <w:t xml:space="preserve">First Home Owner Grant </w:t>
            </w:r>
          </w:p>
          <w:p w:rsidR="00000000" w:rsidRPr="008D3DDE" w:rsidP="008D3DDE">
            <w:pPr>
              <w:pStyle w:val="ListBullet2"/>
            </w:pPr>
            <w:r w:rsidRPr="008D3DDE">
              <w:t>First Home Owner Concession</w:t>
            </w:r>
          </w:p>
          <w:p w:rsidR="00000000" w:rsidRPr="008D3DDE" w:rsidP="008D3DDE">
            <w:pPr>
              <w:pStyle w:val="ListBullet2"/>
            </w:pPr>
            <w:r w:rsidRPr="008D3DDE">
              <w:t>First Home Owner Bonus</w:t>
            </w:r>
          </w:p>
          <w:p w:rsidR="00000000" w:rsidRPr="008D3DDE" w:rsidP="008D3DDE">
            <w:pPr>
              <w:pStyle w:val="ListBullet2"/>
            </w:pPr>
            <w:r w:rsidRPr="008D3DDE">
              <w:t>principal place of residence rebate</w:t>
            </w:r>
          </w:p>
          <w:p w:rsidR="00000000" w:rsidRPr="008D3DDE" w:rsidP="008D3DDE">
            <w:pPr>
              <w:pStyle w:val="ListBullet2"/>
            </w:pPr>
            <w:r w:rsidRPr="008D3DDE">
              <w:t>various fuel subsidies</w:t>
            </w:r>
          </w:p>
          <w:p w:rsidR="00000000" w:rsidRPr="008D3DDE" w:rsidP="008D3DDE">
            <w:pPr>
              <w:pStyle w:val="ListBullet2"/>
            </w:pPr>
            <w:r w:rsidRPr="008D3DDE">
              <w:t>thermo-regulatory dysfunction subsidy</w:t>
            </w:r>
          </w:p>
          <w:p w:rsidR="00000000" w:rsidRPr="008D3DDE" w:rsidP="008D3DDE">
            <w:pPr>
              <w:pStyle w:val="ListBullet2"/>
            </w:pPr>
            <w:r w:rsidRPr="008D3DDE">
              <w:t>life support equipment subsidy</w:t>
            </w:r>
          </w:p>
          <w:p w:rsidR="00000000" w:rsidRPr="008D3DDE" w:rsidP="008D3DDE">
            <w:pPr>
              <w:pStyle w:val="ListBullet2"/>
            </w:pPr>
            <w:r w:rsidRPr="008D3DDE">
              <w:t>public swimming pool subsidy</w:t>
            </w:r>
          </w:p>
          <w:p w:rsidR="00000000" w:rsidRPr="008D3DDE" w:rsidP="008D3DDE">
            <w:pPr>
              <w:pStyle w:val="ListBullet2"/>
            </w:pPr>
            <w:r w:rsidRPr="008D3DDE">
              <w:t>pensioner rebates</w:t>
            </w:r>
          </w:p>
          <w:p w:rsidR="00000000" w:rsidRPr="008D3DDE" w:rsidP="008D3DDE">
            <w:pPr>
              <w:pStyle w:val="ListBullet2"/>
            </w:pPr>
            <w:r w:rsidRPr="008D3DDE">
              <w:t>payroll tax subsidies and rebates, e.g. trainee and apprenticeship schemes</w:t>
            </w:r>
          </w:p>
          <w:p w:rsidR="00000000" w:rsidRPr="008D3DDE" w:rsidP="008D3DDE">
            <w:pPr>
              <w:pStyle w:val="ListBullet2"/>
            </w:pPr>
            <w:r w:rsidRPr="008D3DDE">
              <w:t>first home owner duty concession on vacant land</w:t>
            </w:r>
          </w:p>
          <w:p w:rsidR="00000000" w:rsidRPr="008D3DDE" w:rsidP="008D3DDE">
            <w:pPr>
              <w:pStyle w:val="ListBullet2"/>
            </w:pPr>
            <w:r w:rsidRPr="008D3DDE">
              <w:t>pensioner and first home buyer duty concessions</w:t>
            </w:r>
          </w:p>
          <w:p w:rsidR="00000000" w:rsidRPr="008D3DDE" w:rsidP="008D3DDE">
            <w:pPr>
              <w:pStyle w:val="ListBullet2"/>
            </w:pPr>
            <w:r w:rsidRPr="008D3DDE">
              <w:t>water and sewerage rebates</w:t>
            </w:r>
          </w:p>
          <w:p w:rsidR="00000000" w:rsidRPr="008D3DDE" w:rsidP="008D3DDE">
            <w:pPr>
              <w:pStyle w:val="ListBullet2"/>
            </w:pPr>
            <w:r w:rsidRPr="008D3DDE">
              <w:t>general dut</w:t>
            </w:r>
            <w:r w:rsidRPr="008D3DDE">
              <w:t>y concession schemes</w:t>
            </w:r>
          </w:p>
          <w:p w:rsidR="00000000" w:rsidRPr="008D3DDE" w:rsidP="008D3DDE">
            <w:pPr>
              <w:pStyle w:val="ListBullet2"/>
            </w:pPr>
            <w:r w:rsidRPr="008D3DDE">
              <w:t>other government grants, e.g. building, childcare and arts</w:t>
            </w:r>
          </w:p>
          <w:p w:rsidR="00000000" w:rsidRPr="008D3DDE" w:rsidP="008D3DDE">
            <w:pPr>
              <w:pStyle w:val="ListBullet2"/>
            </w:pPr>
            <w:r w:rsidRPr="008D3DDE">
              <w:t>stamp duty loans</w:t>
            </w:r>
          </w:p>
          <w:p w:rsidR="00000000" w:rsidRPr="008D3DDE" w:rsidP="008D3DDE">
            <w:pPr>
              <w:pStyle w:val="ListBullet2"/>
            </w:pPr>
            <w:r w:rsidRPr="008D3DDE">
              <w:t>IT grants</w:t>
            </w:r>
          </w:p>
          <w:p w:rsidR="00000000" w:rsidRPr="008D3DDE" w:rsidP="008D3DDE">
            <w:pPr>
              <w:pStyle w:val="ListBullet2"/>
            </w:pPr>
            <w:r w:rsidRPr="008D3DDE">
              <w:t>inner city rebates</w:t>
            </w:r>
          </w:p>
          <w:p w:rsidR="00000000" w:rsidP="008D3DDE">
            <w:pPr>
              <w:pStyle w:val="ListBullet2"/>
              <w:rPr>
                <w:lang w:val="en-NZ"/>
              </w:rPr>
            </w:pPr>
            <w:r w:rsidRPr="008D3DDE">
              <w:t>ex-serviceperson's concession</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BoldandItalics"/>
              </w:rPr>
              <w:t>Key features</w:t>
            </w:r>
            <w:r w:rsidRPr="008D3D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ListBullet2"/>
            </w:pPr>
            <w:r w:rsidRPr="008D3DDE">
              <w:t>eligibility criteria</w:t>
            </w:r>
          </w:p>
          <w:p w:rsidR="00000000" w:rsidRPr="008D3DDE" w:rsidP="008D3DDE">
            <w:pPr>
              <w:pStyle w:val="ListBullet2"/>
            </w:pPr>
            <w:r w:rsidRPr="008D3DDE">
              <w:t>amount of grant, subsidy or rebate</w:t>
            </w:r>
          </w:p>
          <w:p w:rsidR="00000000" w:rsidRPr="008D3DDE" w:rsidP="008D3DDE">
            <w:pPr>
              <w:pStyle w:val="ListBullet2"/>
            </w:pPr>
            <w:r w:rsidRPr="008D3DDE">
              <w:t>commencement and end dates</w:t>
            </w:r>
          </w:p>
          <w:p w:rsidR="00000000" w:rsidRPr="008D3DDE" w:rsidP="008D3DDE">
            <w:pPr>
              <w:pStyle w:val="ListBullet2"/>
            </w:pPr>
            <w:r w:rsidRPr="008D3DDE">
              <w:t>whether grant, subsidy or rebate is means tested</w:t>
            </w:r>
          </w:p>
          <w:p w:rsidR="00000000" w:rsidRPr="008D3DDE" w:rsidP="008D3DDE">
            <w:pPr>
              <w:pStyle w:val="ListBullet2"/>
            </w:pPr>
            <w:r w:rsidRPr="008D3DDE">
              <w:t>whether other grants, subsidies and rebates may be accessed in conjunction</w:t>
            </w:r>
          </w:p>
          <w:p w:rsidR="00000000" w:rsidRPr="008D3DDE" w:rsidP="008D3DDE">
            <w:pPr>
              <w:pStyle w:val="ListBullet2"/>
            </w:pPr>
            <w:r w:rsidRPr="008D3DDE">
              <w:t>limits and constraints</w:t>
            </w:r>
          </w:p>
          <w:p w:rsidR="00000000" w:rsidRPr="008D3DDE" w:rsidP="008D3DDE">
            <w:pPr>
              <w:pStyle w:val="ListBullet2"/>
            </w:pPr>
            <w:r w:rsidRPr="008D3DDE">
              <w:t>timing of payment</w:t>
            </w:r>
          </w:p>
          <w:p w:rsidR="00000000" w:rsidRPr="008D3DDE" w:rsidP="008D3DDE">
            <w:pPr>
              <w:pStyle w:val="ListBullet2"/>
            </w:pPr>
            <w:r w:rsidRPr="008D3DDE">
              <w:t>deferment of payment</w:t>
            </w:r>
          </w:p>
          <w:p w:rsidR="00000000" w:rsidRPr="008D3DDE" w:rsidP="008D3DDE">
            <w:pPr>
              <w:pStyle w:val="ListBullet2"/>
            </w:pPr>
            <w:r w:rsidRPr="008D3DDE">
              <w:t>licensing requirements</w:t>
            </w:r>
          </w:p>
          <w:p w:rsidR="00000000" w:rsidP="008D3DDE">
            <w:pPr>
              <w:pStyle w:val="ListBullet2"/>
              <w:rPr>
                <w:lang w:val="en-NZ"/>
              </w:rPr>
            </w:pPr>
            <w:r w:rsidRPr="008D3DDE">
              <w:t>record-keeping requi</w:t>
            </w:r>
            <w:r w:rsidRPr="008D3DDE">
              <w:t>rements</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BoldandItalics"/>
              </w:rPr>
              <w:t>Supporting evidence</w:t>
            </w:r>
            <w:r w:rsidRPr="008D3D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ListBullet2"/>
            </w:pPr>
            <w:r w:rsidRPr="008D3DDE">
              <w:t>application forms</w:t>
            </w:r>
          </w:p>
          <w:p w:rsidR="00000000" w:rsidRPr="008D3DDE" w:rsidP="008D3DDE">
            <w:pPr>
              <w:pStyle w:val="ListBullet2"/>
            </w:pPr>
            <w:r w:rsidRPr="008D3DDE">
              <w:t>proof of identity:</w:t>
            </w:r>
          </w:p>
          <w:p w:rsidR="00000000" w:rsidRPr="008D3DDE" w:rsidP="008D3DDE">
            <w:pPr>
              <w:pStyle w:val="ListBullet3"/>
            </w:pPr>
            <w:r w:rsidRPr="008D3DDE">
              <w:t>birth certificates</w:t>
            </w:r>
          </w:p>
          <w:p w:rsidR="00000000" w:rsidRPr="008D3DDE" w:rsidP="008D3DDE">
            <w:pPr>
              <w:pStyle w:val="ListBullet3"/>
            </w:pPr>
            <w:r w:rsidRPr="008D3DDE">
              <w:t>passports</w:t>
            </w:r>
          </w:p>
          <w:p w:rsidR="00000000" w:rsidRPr="008D3DDE" w:rsidP="008D3DDE">
            <w:pPr>
              <w:pStyle w:val="ListBullet3"/>
            </w:pPr>
            <w:r w:rsidRPr="008D3DDE">
              <w:t>permanent resident visa or special category visa</w:t>
            </w:r>
          </w:p>
          <w:p w:rsidR="00000000" w:rsidRPr="008D3DDE" w:rsidP="008D3DDE">
            <w:pPr>
              <w:pStyle w:val="ListBullet3"/>
            </w:pPr>
            <w:r w:rsidRPr="008D3DDE">
              <w:t>transaction contracts</w:t>
            </w:r>
          </w:p>
          <w:p w:rsidR="00000000" w:rsidRPr="008D3DDE" w:rsidP="008D3DDE">
            <w:pPr>
              <w:pStyle w:val="ListBullet2"/>
            </w:pPr>
            <w:r w:rsidRPr="008D3DDE">
              <w:t>evidence of usage</w:t>
            </w:r>
          </w:p>
          <w:p w:rsidR="00000000" w:rsidRPr="008D3DDE" w:rsidP="008D3DDE">
            <w:pPr>
              <w:pStyle w:val="ListBullet2"/>
            </w:pPr>
            <w:r w:rsidRPr="008D3DDE">
              <w:t>proof of occupancy</w:t>
            </w:r>
          </w:p>
          <w:p w:rsidR="00000000" w:rsidRPr="008D3DDE" w:rsidP="008D3DDE">
            <w:pPr>
              <w:pStyle w:val="ListBullet2"/>
            </w:pPr>
            <w:r w:rsidRPr="008D3DDE">
              <w:t>evidence of current address</w:t>
            </w:r>
          </w:p>
          <w:p w:rsidR="00000000" w:rsidP="008D3DDE">
            <w:pPr>
              <w:pStyle w:val="ListBullet2"/>
              <w:rPr>
                <w:lang w:val="en-NZ"/>
              </w:rPr>
            </w:pPr>
            <w:r w:rsidRPr="008D3DDE">
              <w:t>completion of transaction</w:t>
            </w:r>
          </w:p>
        </w:tc>
      </w:tr>
      <w:tr w:rsidTr="00DF1B2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3DDE">
            <w:pPr>
              <w:pStyle w:val="BodyText"/>
              <w:rPr>
                <w:lang w:val="en-NZ"/>
              </w:rPr>
            </w:pPr>
            <w:r w:rsidRPr="008D3DDE">
              <w:rPr>
                <w:rStyle w:val="BoldandItalics"/>
              </w:rPr>
              <w:t>Eligibility</w:t>
            </w:r>
            <w:r w:rsidRPr="008D3DD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3DDE" w:rsidP="008D3DDE">
            <w:pPr>
              <w:pStyle w:val="ListBullet2"/>
            </w:pPr>
            <w:r w:rsidRPr="008D3DDE">
              <w:t>for First Home Owner Grant applicants:</w:t>
            </w:r>
          </w:p>
          <w:p w:rsidR="00000000" w:rsidRPr="008D3DDE" w:rsidP="008D3DDE">
            <w:pPr>
              <w:pStyle w:val="ListBullet3"/>
            </w:pPr>
            <w:r w:rsidRPr="008D3DDE">
              <w:t>18 years of age or over</w:t>
            </w:r>
          </w:p>
          <w:p w:rsidR="00000000" w:rsidRPr="008D3DDE" w:rsidP="008D3DDE">
            <w:pPr>
              <w:pStyle w:val="ListBullet3"/>
            </w:pPr>
            <w:r w:rsidRPr="008D3DDE">
              <w:t>at least one applicant is an Australian citizen or permanent resident</w:t>
            </w:r>
          </w:p>
          <w:p w:rsidR="00000000" w:rsidRPr="008D3DDE" w:rsidP="008D3DDE">
            <w:pPr>
              <w:pStyle w:val="ListBullet3"/>
            </w:pPr>
            <w:r w:rsidRPr="008D3DDE">
              <w:t>no previous rec</w:t>
            </w:r>
            <w:r w:rsidRPr="008D3DDE">
              <w:t>eipt of a grant or subsidy in any other state or territory</w:t>
            </w:r>
          </w:p>
          <w:p w:rsidR="00000000" w:rsidRPr="008D3DDE" w:rsidP="008D3DDE">
            <w:pPr>
              <w:pStyle w:val="ListBullet3"/>
            </w:pPr>
            <w:r w:rsidRPr="008D3DDE">
              <w:t>ownership restrictions</w:t>
            </w:r>
          </w:p>
          <w:p w:rsidR="00000000" w:rsidRPr="008D3DDE" w:rsidP="008D3DDE">
            <w:pPr>
              <w:pStyle w:val="ListBullet3"/>
            </w:pPr>
            <w:r w:rsidRPr="008D3DDE">
              <w:t>compliance with grant, subsidy or rebate conditions, e.g. use of property</w:t>
            </w:r>
          </w:p>
          <w:p w:rsidR="00000000" w:rsidRPr="008D3DDE" w:rsidP="008D3DDE">
            <w:pPr>
              <w:pStyle w:val="ListBullet3"/>
            </w:pPr>
            <w:r w:rsidRPr="008D3DDE">
              <w:t>exercise of Commissioner's discretionary powers regarding use and occupation of property</w:t>
            </w:r>
          </w:p>
          <w:p w:rsidR="00000000" w:rsidRPr="008D3DDE" w:rsidP="008D3DDE">
            <w:pPr>
              <w:pStyle w:val="ListBullet3"/>
            </w:pPr>
            <w:r w:rsidRPr="008D3DDE">
              <w:t>restrictions in relation to receiving additional rebates or concessions</w:t>
            </w:r>
          </w:p>
          <w:p w:rsidR="00000000" w:rsidRPr="008D3DDE" w:rsidP="008D3DDE">
            <w:pPr>
              <w:pStyle w:val="ListBullet2"/>
            </w:pPr>
            <w:r w:rsidRPr="008D3DDE">
              <w:t>for First Home Owner Grant transactions:</w:t>
            </w:r>
          </w:p>
          <w:p w:rsidR="00000000" w:rsidRPr="008D3DDE" w:rsidP="008D3DDE">
            <w:pPr>
              <w:pStyle w:val="ListBullet3"/>
            </w:pPr>
            <w:r w:rsidRPr="008D3DDE">
              <w:t>contract to purchase established or new home</w:t>
            </w:r>
          </w:p>
          <w:p w:rsidR="00000000" w:rsidRPr="008D3DDE" w:rsidP="008D3DDE">
            <w:pPr>
              <w:pStyle w:val="ListBullet3"/>
            </w:pPr>
            <w:r w:rsidRPr="008D3DDE">
              <w:t>contract to build a new home</w:t>
            </w:r>
          </w:p>
          <w:p w:rsidR="00000000" w:rsidRPr="008D3DDE" w:rsidP="008D3DDE">
            <w:pPr>
              <w:pStyle w:val="ListBullet3"/>
            </w:pPr>
            <w:r w:rsidRPr="008D3DDE">
              <w:t>construction of a new home by an owner builder</w:t>
            </w:r>
          </w:p>
          <w:p w:rsidR="00000000" w:rsidRPr="008D3DDE" w:rsidP="008D3DDE">
            <w:pPr>
              <w:pStyle w:val="ListBullet3"/>
            </w:pPr>
            <w:r w:rsidRPr="008D3DDE">
              <w:t>contract to purchase</w:t>
            </w:r>
            <w:r w:rsidRPr="008D3DDE">
              <w:t xml:space="preserve"> a new home off-the-plan</w:t>
            </w:r>
          </w:p>
          <w:p w:rsidR="00000000" w:rsidRPr="008D3DDE" w:rsidP="008D3DDE">
            <w:pPr>
              <w:pStyle w:val="ListBullet2"/>
            </w:pPr>
            <w:r w:rsidRPr="008D3DDE">
              <w:t>for duty concessions:</w:t>
            </w:r>
          </w:p>
          <w:p w:rsidR="00000000" w:rsidRPr="008D3DDE" w:rsidP="008D3DDE">
            <w:pPr>
              <w:pStyle w:val="ListBullet3"/>
            </w:pPr>
            <w:r w:rsidRPr="008D3DDE">
              <w:t>consideration</w:t>
            </w:r>
          </w:p>
          <w:p w:rsidR="00000000" w:rsidRPr="008D3DDE" w:rsidP="008D3DDE">
            <w:pPr>
              <w:pStyle w:val="ListBullet3"/>
            </w:pPr>
            <w:r w:rsidRPr="008D3DDE">
              <w:t>purchase date</w:t>
            </w:r>
          </w:p>
          <w:p w:rsidR="00000000" w:rsidRPr="008D3DDE" w:rsidP="008D3DDE">
            <w:pPr>
              <w:pStyle w:val="ListBullet2"/>
            </w:pPr>
            <w:r w:rsidRPr="008D3DDE">
              <w:t>for stamp duty loans:</w:t>
            </w:r>
          </w:p>
          <w:p w:rsidR="00000000" w:rsidRPr="008D3DDE" w:rsidP="008D3DDE">
            <w:pPr>
              <w:pStyle w:val="ListBullet3"/>
            </w:pPr>
            <w:r w:rsidRPr="008D3DDE">
              <w:t>consideration</w:t>
            </w:r>
          </w:p>
          <w:p w:rsidR="00000000" w:rsidRPr="008D3DDE" w:rsidP="008D3DDE">
            <w:pPr>
              <w:pStyle w:val="ListBullet2"/>
            </w:pPr>
            <w:r w:rsidRPr="008D3DDE">
              <w:t>for inner city rebates:</w:t>
            </w:r>
          </w:p>
          <w:p w:rsidR="00000000" w:rsidRPr="008D3DDE" w:rsidP="008D3DDE">
            <w:pPr>
              <w:pStyle w:val="ListBullet3"/>
            </w:pPr>
            <w:r w:rsidRPr="008D3DDE">
              <w:t>new home unit in inner city</w:t>
            </w:r>
          </w:p>
          <w:p w:rsidR="00000000" w:rsidRPr="008D3DDE" w:rsidP="008D3DDE">
            <w:pPr>
              <w:pStyle w:val="ListBullet3"/>
            </w:pPr>
            <w:r w:rsidRPr="008D3DDE">
              <w:t>first transfer on new residential home unit</w:t>
            </w:r>
          </w:p>
          <w:p w:rsidR="00000000" w:rsidRPr="008D3DDE" w:rsidP="008D3DDE">
            <w:pPr>
              <w:pStyle w:val="ListBullet3"/>
            </w:pPr>
            <w:r w:rsidRPr="008D3DDE">
              <w:t>home unit size restriction</w:t>
            </w:r>
          </w:p>
          <w:p w:rsidR="00000000" w:rsidRPr="008D3DDE" w:rsidP="008D3DDE">
            <w:pPr>
              <w:pStyle w:val="ListBullet3"/>
            </w:pPr>
            <w:r w:rsidRPr="008D3DDE">
              <w:t>location restriction</w:t>
            </w:r>
          </w:p>
          <w:p w:rsidR="00000000" w:rsidRPr="008D3DDE" w:rsidP="008D3DDE">
            <w:pPr>
              <w:pStyle w:val="ListBullet2"/>
            </w:pPr>
            <w:r w:rsidRPr="008D3DDE">
              <w:t>for ex-serviceperson's concession:</w:t>
            </w:r>
          </w:p>
          <w:p w:rsidR="00000000" w:rsidRPr="008D3DDE" w:rsidP="008D3DDE">
            <w:pPr>
              <w:pStyle w:val="ListBullet3"/>
            </w:pPr>
            <w:r w:rsidRPr="008D3DDE">
              <w:t>transferee must be:</w:t>
            </w:r>
          </w:p>
          <w:p w:rsidR="00000000" w:rsidRPr="008D3DDE" w:rsidP="008D3DDE">
            <w:pPr>
              <w:pStyle w:val="ListBullet3"/>
            </w:pPr>
            <w:r w:rsidRPr="008D3DDE">
              <w:t>a prescribed person</w:t>
            </w:r>
          </w:p>
          <w:p w:rsidR="00000000" w:rsidRPr="008D3DDE" w:rsidP="008D3DDE">
            <w:pPr>
              <w:pStyle w:val="ListBullet3"/>
            </w:pPr>
            <w:r w:rsidRPr="008D3DDE">
              <w:t>never claimed exemption before</w:t>
            </w:r>
          </w:p>
          <w:p w:rsidR="00000000" w:rsidRPr="008D3DDE" w:rsidP="008D3DDE">
            <w:pPr>
              <w:pStyle w:val="ListBullet3"/>
            </w:pPr>
            <w:r w:rsidRPr="008D3DDE">
              <w:t>must have served in one of the wars specified</w:t>
            </w:r>
          </w:p>
          <w:p w:rsidR="00000000" w:rsidRPr="008D3DDE" w:rsidP="008D3DDE">
            <w:pPr>
              <w:pStyle w:val="ListBullet3"/>
            </w:pPr>
            <w:r w:rsidRPr="008D3DDE">
              <w:t>exemption applies regardless of whether person is still serving at time of claiming exemption</w:t>
            </w:r>
          </w:p>
          <w:p w:rsidR="00000000" w:rsidRPr="008D3DDE" w:rsidP="008D3DDE">
            <w:pPr>
              <w:pStyle w:val="ListBullet3"/>
            </w:pPr>
            <w:r w:rsidRPr="008D3DDE">
              <w:t>prescribed person includes a widow of the deceased</w:t>
            </w:r>
          </w:p>
          <w:p w:rsidR="00000000" w:rsidRPr="008D3DDE" w:rsidP="008D3DDE">
            <w:pPr>
              <w:pStyle w:val="ListBullet2"/>
            </w:pPr>
            <w:r w:rsidRPr="008D3DDE">
              <w:t>for payroll tax trainee wages rebate scheme:</w:t>
            </w:r>
          </w:p>
          <w:p w:rsidR="00000000" w:rsidRPr="008D3DDE" w:rsidP="008D3DDE">
            <w:pPr>
              <w:pStyle w:val="ListBullet3"/>
            </w:pPr>
            <w:r w:rsidRPr="008D3DDE">
              <w:t>trainees or apprentices who commence approved contract of traini</w:t>
            </w:r>
            <w:r w:rsidRPr="008D3DDE">
              <w:t>ng before a prescribed birthday</w:t>
            </w:r>
          </w:p>
          <w:p w:rsidR="00000000" w:rsidRPr="008D3DDE" w:rsidP="008D3DDE">
            <w:pPr>
              <w:pStyle w:val="ListBullet3"/>
            </w:pPr>
            <w:r w:rsidRPr="008D3DDE">
              <w:t>employer payroll obligations up-to-date</w:t>
            </w:r>
          </w:p>
          <w:p w:rsidR="00000000" w:rsidRPr="008D3DDE" w:rsidP="008D3DDE">
            <w:pPr>
              <w:pStyle w:val="ListBullet3"/>
            </w:pPr>
            <w:r w:rsidRPr="008D3DDE">
              <w:t>maximum rebate set at a fixed percentage of payroll tax on wages paid or payable in the rebate period</w:t>
            </w:r>
          </w:p>
          <w:p w:rsidR="00000000" w:rsidRPr="008D3DDE" w:rsidP="008D3DDE">
            <w:pPr>
              <w:pStyle w:val="ListBullet3"/>
            </w:pPr>
            <w:r w:rsidRPr="008D3DDE">
              <w:t>applications use approved form and are lodged within prescribed time period</w:t>
            </w:r>
          </w:p>
          <w:p w:rsidR="00000000" w:rsidRPr="008D3DDE" w:rsidP="008D3DDE">
            <w:pPr>
              <w:pStyle w:val="ListBullet2"/>
            </w:pPr>
            <w:r w:rsidRPr="008D3DDE">
              <w:t>for p</w:t>
            </w:r>
            <w:r w:rsidRPr="008D3DDE">
              <w:t>ayroll tax exporters rebate scheme:</w:t>
            </w:r>
          </w:p>
          <w:p w:rsidR="00000000" w:rsidRPr="008D3DDE" w:rsidP="008D3DDE">
            <w:pPr>
              <w:pStyle w:val="ListBullet3"/>
            </w:pPr>
            <w:r w:rsidRPr="008D3DDE">
              <w:t>taxpayer must be involved in producing value-added goods which are produced or processed in their final form in the location specified</w:t>
            </w:r>
          </w:p>
          <w:p w:rsidR="00000000" w:rsidRPr="008D3DDE" w:rsidP="008D3DDE">
            <w:pPr>
              <w:pStyle w:val="ListBullet3"/>
            </w:pPr>
            <w:r w:rsidRPr="008D3DDE">
              <w:t>restricted to private sector producers</w:t>
            </w:r>
          </w:p>
          <w:p w:rsidR="00000000" w:rsidRPr="008D3DDE" w:rsidP="008D3DDE">
            <w:pPr>
              <w:pStyle w:val="ListBullet2"/>
            </w:pPr>
            <w:r w:rsidRPr="008D3DDE">
              <w:t>for other subsidies and rebates:</w:t>
            </w:r>
          </w:p>
          <w:p w:rsidR="00000000" w:rsidRPr="008D3DDE" w:rsidP="008D3DDE">
            <w:pPr>
              <w:pStyle w:val="ListBullet3"/>
            </w:pPr>
            <w:r w:rsidRPr="008D3DDE">
              <w:t>commenceme</w:t>
            </w:r>
            <w:r w:rsidRPr="008D3DDE">
              <w:t>nt and completion dates</w:t>
            </w:r>
          </w:p>
          <w:p w:rsidR="00000000" w:rsidRPr="008D3DDE" w:rsidP="008D3DDE">
            <w:pPr>
              <w:pStyle w:val="ListBullet3"/>
            </w:pPr>
            <w:r w:rsidRPr="008D3DDE">
              <w:t>exceptions</w:t>
            </w:r>
          </w:p>
          <w:p w:rsidR="00000000" w:rsidRPr="008D3DDE" w:rsidP="008D3DDE">
            <w:pPr>
              <w:pStyle w:val="ListBullet3"/>
            </w:pPr>
            <w:r w:rsidRPr="008D3DDE">
              <w:t xml:space="preserve">restrictions, i.e. ineligible transactions </w:t>
            </w:r>
          </w:p>
          <w:p w:rsidR="00000000" w:rsidRPr="008D3DDE" w:rsidP="008D3DDE">
            <w:pPr>
              <w:pStyle w:val="ListBullet3"/>
            </w:pPr>
            <w:r w:rsidRPr="008D3DDE">
              <w:t>conditions</w:t>
            </w:r>
          </w:p>
          <w:p w:rsidR="00000000" w:rsidRPr="008D3DDE" w:rsidP="008D3DDE">
            <w:pPr>
              <w:pStyle w:val="ListBullet3"/>
            </w:pPr>
            <w:r w:rsidRPr="008D3DDE">
              <w:t>usage</w:t>
            </w:r>
          </w:p>
          <w:p w:rsidR="00000000" w:rsidRPr="008D3DDE" w:rsidP="008D3DDE">
            <w:pPr>
              <w:pStyle w:val="ListBullet3"/>
            </w:pPr>
            <w:r w:rsidRPr="008D3DDE">
              <w:t>record-keeping requirements</w:t>
            </w:r>
          </w:p>
        </w:tc>
      </w:tr>
    </w:tbl>
    <w:p w:rsidR="00DF1B20" w:rsidP="008D3DDE">
      <w:pPr>
        <w:pStyle w:val="BodyText"/>
      </w:pPr>
    </w:p>
    <w:p w:rsidR="00DF1B20" w:rsidP="008D3DDE">
      <w:pPr>
        <w:pStyle w:val="BodyText"/>
      </w:pPr>
    </w:p>
    <w:p w:rsidR="00000000" w:rsidRPr="008D3DDE" w:rsidP="008D3DDE">
      <w:pPr>
        <w:pStyle w:val="Heading1"/>
      </w:pPr>
      <w:bookmarkStart w:id="12" w:name="O_499154"/>
      <w:bookmarkEnd w:id="12"/>
      <w:r w:rsidRPr="008D3DDE">
        <w:t>Unit Sector(s)</w:t>
      </w:r>
    </w:p>
    <w:p w:rsidR="00000000" w:rsidRPr="008D3DDE" w:rsidP="008D3DDE">
      <w:pPr>
        <w:pStyle w:val="BodyText"/>
      </w:pPr>
      <w:r w:rsidRPr="008D3DDE">
        <w:t>Not applicable.</w:t>
      </w:r>
    </w:p>
    <w:p w:rsidR="00000000" w:rsidRPr="008D3DDE" w:rsidP="008D3DDE">
      <w:pPr>
        <w:pStyle w:val="AllowPageBreak"/>
      </w:pPr>
    </w:p>
    <w:p w:rsidR="00000000" w:rsidRPr="008D3DDE" w:rsidP="008D3DDE">
      <w:pPr>
        <w:pStyle w:val="Heading1"/>
      </w:pPr>
      <w:bookmarkStart w:id="13" w:name="O_499158"/>
      <w:bookmarkEnd w:id="13"/>
      <w:r w:rsidRPr="008D3DDE">
        <w:t>Competency field</w:t>
      </w:r>
    </w:p>
    <w:p w:rsidR="00000000" w:rsidRPr="008D3DDE" w:rsidP="008D3DDE">
      <w:pPr>
        <w:pStyle w:val="BodyText"/>
      </w:pPr>
      <w:r w:rsidRPr="008D3DDE">
        <w:t>Revenue Administration.</w:t>
      </w:r>
    </w:p>
    <w:p w:rsidR="00000000" w:rsidRPr="008D3DDE" w:rsidP="008D3DDE"/>
    <w:sectPr w:rsidSect="008D3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B20" w:rsidP="00DF1B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20" w:rsidP="008D3D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1B20" w:rsidP="008D3D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1B20" w:rsidP="008D3D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DE" w:rsidRPr="00DF1B20" w:rsidP="00DF1B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20" w:rsidRPr="002D2AF8" w:rsidP="008D3DDE">
    <w:pPr>
      <w:pStyle w:val="Header"/>
      <w:framePr w:wrap="around"/>
    </w:pPr>
    <w:r>
      <w:fldChar w:fldCharType="begin"/>
    </w:r>
    <w:r>
      <w:instrText xml:space="preserve"> TITLE   \* MERGEFORMAT </w:instrText>
    </w:r>
    <w:r>
      <w:fldChar w:fldCharType="separate"/>
    </w:r>
    <w:r>
      <w:t>PSPREV405A Assess applications for grants, subsidies and rebates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F1B20" w:rsidP="008D3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A09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1D20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DDE"/>
    <w:pPr>
      <w:spacing w:before="360" w:after="60"/>
      <w:outlineLvl w:val="0"/>
    </w:pPr>
    <w:rPr>
      <w:sz w:val="32"/>
    </w:rPr>
  </w:style>
  <w:style w:type="paragraph" w:styleId="Heading2">
    <w:name w:val="heading 2"/>
    <w:basedOn w:val="HeadingBase"/>
    <w:next w:val="BodyText"/>
    <w:link w:val="Heading2Char"/>
    <w:qFormat/>
    <w:rsid w:val="008D3DDE"/>
    <w:pPr>
      <w:keepLines/>
      <w:spacing w:before="240" w:after="120"/>
      <w:outlineLvl w:val="1"/>
    </w:pPr>
    <w:rPr>
      <w:sz w:val="28"/>
      <w:szCs w:val="40"/>
    </w:rPr>
  </w:style>
  <w:style w:type="paragraph" w:styleId="Heading3">
    <w:name w:val="heading 3"/>
    <w:basedOn w:val="HeadingBase"/>
    <w:next w:val="BodyText"/>
    <w:link w:val="Heading3Char"/>
    <w:qFormat/>
    <w:rsid w:val="008D3DDE"/>
    <w:pPr>
      <w:spacing w:before="180" w:after="120"/>
      <w:outlineLvl w:val="2"/>
    </w:pPr>
    <w:rPr>
      <w:spacing w:val="-10"/>
      <w:kern w:val="32"/>
    </w:rPr>
  </w:style>
  <w:style w:type="paragraph" w:styleId="Heading4">
    <w:name w:val="heading 4"/>
    <w:basedOn w:val="HeadingBase"/>
    <w:next w:val="BodyText"/>
    <w:link w:val="Heading4Char"/>
    <w:qFormat/>
    <w:rsid w:val="008D3DDE"/>
    <w:pPr>
      <w:spacing w:before="160" w:after="120"/>
      <w:outlineLvl w:val="3"/>
    </w:pPr>
    <w:rPr>
      <w:sz w:val="22"/>
    </w:rPr>
  </w:style>
  <w:style w:type="paragraph" w:styleId="Heading5">
    <w:name w:val="heading 5"/>
    <w:basedOn w:val="HeadingBase"/>
    <w:next w:val="Normal"/>
    <w:link w:val="Heading5Char"/>
    <w:qFormat/>
    <w:rsid w:val="008D3DDE"/>
    <w:pPr>
      <w:spacing w:before="80"/>
      <w:outlineLvl w:val="4"/>
    </w:pPr>
    <w:rPr>
      <w:color w:val="918585"/>
      <w:sz w:val="20"/>
    </w:rPr>
  </w:style>
  <w:style w:type="paragraph" w:styleId="Heading6">
    <w:name w:val="heading 6"/>
    <w:basedOn w:val="HeadingBase"/>
    <w:next w:val="Normal"/>
    <w:link w:val="Heading6Char"/>
    <w:qFormat/>
    <w:rsid w:val="008D3DDE"/>
    <w:pPr>
      <w:spacing w:before="60"/>
      <w:outlineLvl w:val="5"/>
    </w:pPr>
    <w:rPr>
      <w:color w:val="918585"/>
      <w:sz w:val="20"/>
    </w:rPr>
  </w:style>
  <w:style w:type="paragraph" w:styleId="Heading7">
    <w:name w:val="heading 7"/>
    <w:basedOn w:val="Normal"/>
    <w:next w:val="Normal"/>
    <w:link w:val="Heading7Char"/>
    <w:qFormat/>
    <w:rsid w:val="008D3DDE"/>
    <w:pPr>
      <w:ind w:left="720"/>
      <w:outlineLvl w:val="6"/>
    </w:pPr>
    <w:rPr>
      <w:i/>
    </w:rPr>
  </w:style>
  <w:style w:type="paragraph" w:styleId="Heading8">
    <w:name w:val="heading 8"/>
    <w:basedOn w:val="Normal"/>
    <w:next w:val="Normal"/>
    <w:link w:val="Heading8Char"/>
    <w:qFormat/>
    <w:rsid w:val="008D3DDE"/>
    <w:pPr>
      <w:ind w:left="720"/>
      <w:outlineLvl w:val="7"/>
    </w:pPr>
    <w:rPr>
      <w:i/>
    </w:rPr>
  </w:style>
  <w:style w:type="paragraph" w:styleId="Heading9">
    <w:name w:val="heading 9"/>
    <w:basedOn w:val="Normal"/>
    <w:next w:val="Normal"/>
    <w:link w:val="Heading9Char"/>
    <w:qFormat/>
    <w:rsid w:val="008D3DDE"/>
    <w:pPr>
      <w:ind w:left="720"/>
      <w:outlineLvl w:val="8"/>
    </w:pPr>
    <w:rPr>
      <w:i/>
    </w:rPr>
  </w:style>
  <w:style w:type="character" w:default="1" w:styleId="DefaultParagraphFont">
    <w:name w:val="Default Paragraph Font"/>
    <w:uiPriority w:val="1"/>
    <w:unhideWhenUsed/>
    <w:rsid w:val="008D3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DDE"/>
  </w:style>
  <w:style w:type="character" w:customStyle="1" w:styleId="Heading1Char">
    <w:name w:val="Heading 1 Char"/>
    <w:basedOn w:val="DefaultParagraphFont"/>
    <w:link w:val="Heading1"/>
    <w:rsid w:val="008D3DDE"/>
    <w:rPr>
      <w:rFonts w:ascii="Times New Roman" w:eastAsia="Times New Roman" w:hAnsi="Times New Roman" w:cs="Times New Roman"/>
      <w:b/>
      <w:sz w:val="32"/>
      <w:szCs w:val="20"/>
      <w:lang w:eastAsia="en-US"/>
    </w:rPr>
  </w:style>
  <w:style w:type="paragraph" w:styleId="BodyText">
    <w:name w:val="Body Text"/>
    <w:basedOn w:val="Normal"/>
    <w:link w:val="BodyTextChar"/>
    <w:rsid w:val="008D3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DDE"/>
    <w:rPr>
      <w:rFonts w:ascii="Times New Roman" w:eastAsia="Times New Roman" w:hAnsi="Times New Roman" w:cs="Times New Roman"/>
      <w:sz w:val="24"/>
      <w:lang w:eastAsia="en-US"/>
    </w:rPr>
  </w:style>
  <w:style w:type="paragraph" w:styleId="Footer">
    <w:name w:val="footer"/>
    <w:basedOn w:val="Normal"/>
    <w:link w:val="FooterChar"/>
    <w:rsid w:val="008D3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DDE"/>
    <w:rPr>
      <w:rFonts w:ascii="Times New Roman" w:eastAsia="Times New Roman" w:hAnsi="Times New Roman" w:cs="Times New Roman"/>
      <w:sz w:val="16"/>
      <w:lang w:eastAsia="en-US"/>
    </w:rPr>
  </w:style>
  <w:style w:type="paragraph" w:styleId="List">
    <w:name w:val="List"/>
    <w:basedOn w:val="BodyText"/>
    <w:next w:val="BodyText"/>
    <w:rsid w:val="008D3DDE"/>
    <w:pPr>
      <w:tabs>
        <w:tab w:val="left" w:pos="340"/>
      </w:tabs>
      <w:spacing w:before="60" w:after="60"/>
      <w:ind w:left="340" w:hanging="340"/>
    </w:pPr>
  </w:style>
  <w:style w:type="character" w:customStyle="1" w:styleId="SpecialBold">
    <w:name w:val="Special Bold"/>
    <w:basedOn w:val="DefaultParagraphFont"/>
    <w:rsid w:val="008D3DDE"/>
    <w:rPr>
      <w:b/>
      <w:spacing w:val="0"/>
    </w:rPr>
  </w:style>
  <w:style w:type="paragraph" w:styleId="ListBullet2">
    <w:name w:val="List Bullet 2"/>
    <w:basedOn w:val="List2"/>
    <w:rsid w:val="008D3DDE"/>
    <w:pPr>
      <w:numPr>
        <w:numId w:val="14"/>
      </w:numPr>
      <w:tabs>
        <w:tab w:val="clear" w:pos="680"/>
      </w:tabs>
    </w:pPr>
  </w:style>
  <w:style w:type="character" w:styleId="Emphasis">
    <w:name w:val="Emphasis"/>
    <w:basedOn w:val="DefaultParagraphFont"/>
    <w:qFormat/>
    <w:rsid w:val="008D3DDE"/>
    <w:rPr>
      <w:i/>
    </w:rPr>
  </w:style>
  <w:style w:type="paragraph" w:customStyle="1" w:styleId="SuperHeading">
    <w:name w:val="SuperHeading"/>
    <w:basedOn w:val="Normal"/>
    <w:rsid w:val="008D3DDE"/>
    <w:pPr>
      <w:spacing w:before="240" w:after="120"/>
      <w:outlineLvl w:val="0"/>
    </w:pPr>
    <w:rPr>
      <w:rFonts w:ascii="Times New Roman" w:hAnsi="Times New Roman"/>
      <w:b/>
      <w:sz w:val="28"/>
    </w:rPr>
  </w:style>
  <w:style w:type="paragraph" w:customStyle="1" w:styleId="AllowPageBreak">
    <w:name w:val="AllowPageBreak"/>
    <w:rsid w:val="008D3D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3DDE"/>
    <w:pPr>
      <w:numPr>
        <w:numId w:val="2"/>
      </w:numPr>
      <w:tabs>
        <w:tab w:val="clear" w:pos="1021"/>
      </w:tabs>
      <w:ind w:left="1037" w:hanging="357"/>
    </w:pPr>
  </w:style>
  <w:style w:type="character" w:customStyle="1" w:styleId="BoldandItalics">
    <w:name w:val="Bold and Italics"/>
    <w:qFormat/>
    <w:rsid w:val="008D3DDE"/>
    <w:rPr>
      <w:b/>
      <w:i/>
      <w:u w:val="none"/>
    </w:rPr>
  </w:style>
  <w:style w:type="character" w:customStyle="1" w:styleId="Heading2Char">
    <w:name w:val="Heading 2 Char"/>
    <w:basedOn w:val="DefaultParagraphFont"/>
    <w:link w:val="Heading2"/>
    <w:rsid w:val="008D3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DDE"/>
    <w:rPr>
      <w:rFonts w:ascii="Courier New" w:eastAsia="Times New Roman" w:hAnsi="Courier New" w:cs="Times New Roman"/>
      <w:i/>
      <w:szCs w:val="20"/>
      <w:lang w:eastAsia="en-US"/>
    </w:rPr>
  </w:style>
  <w:style w:type="paragraph" w:customStyle="1" w:styleId="HeadingBase">
    <w:name w:val="Heading Base"/>
    <w:rsid w:val="008D3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DDE"/>
    <w:pPr>
      <w:tabs>
        <w:tab w:val="right" w:leader="dot" w:pos="9072"/>
      </w:tabs>
      <w:ind w:left="567"/>
    </w:pPr>
    <w:rPr>
      <w:szCs w:val="22"/>
    </w:rPr>
  </w:style>
  <w:style w:type="paragraph" w:customStyle="1" w:styleId="TOCBase">
    <w:name w:val="TOC Base"/>
    <w:rsid w:val="008D3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DDE"/>
    <w:pPr>
      <w:tabs>
        <w:tab w:val="right" w:leader="dot" w:pos="9072"/>
      </w:tabs>
      <w:spacing w:before="40" w:after="40"/>
      <w:ind w:left="284"/>
    </w:pPr>
    <w:rPr>
      <w:rFonts w:ascii="Times New Roman" w:hAnsi="Times New Roman"/>
    </w:rPr>
  </w:style>
  <w:style w:type="paragraph" w:styleId="TOC1">
    <w:name w:val="toc 1"/>
    <w:basedOn w:val="TOCBase"/>
    <w:next w:val="Normal"/>
    <w:rsid w:val="008D3D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DDE"/>
    <w:pPr>
      <w:spacing w:before="5040"/>
      <w:jc w:val="center"/>
    </w:pPr>
    <w:rPr>
      <w:sz w:val="48"/>
      <w:szCs w:val="72"/>
      <w:lang w:val="en-US"/>
    </w:rPr>
  </w:style>
  <w:style w:type="character" w:customStyle="1" w:styleId="TitleChar">
    <w:name w:val="Title Char"/>
    <w:basedOn w:val="DefaultParagraphFont"/>
    <w:link w:val="Title"/>
    <w:rsid w:val="008D3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DDE"/>
    <w:pPr>
      <w:tabs>
        <w:tab w:val="left" w:pos="3600"/>
        <w:tab w:val="left" w:pos="3958"/>
      </w:tabs>
    </w:pPr>
  </w:style>
  <w:style w:type="paragraph" w:styleId="ListBullet">
    <w:name w:val="List Bullet"/>
    <w:basedOn w:val="List"/>
    <w:rsid w:val="008D3DDE"/>
    <w:pPr>
      <w:numPr>
        <w:numId w:val="13"/>
      </w:numPr>
      <w:tabs>
        <w:tab w:val="clear" w:pos="340"/>
      </w:tabs>
      <w:spacing w:before="40" w:after="40"/>
    </w:pPr>
  </w:style>
  <w:style w:type="paragraph" w:customStyle="1" w:styleId="Note">
    <w:name w:val="Note"/>
    <w:basedOn w:val="BodyText"/>
    <w:rsid w:val="008D3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DDE"/>
    <w:pPr>
      <w:framePr w:wrap="auto" w:hAnchor="text" w:y="6049"/>
    </w:pPr>
    <w:rPr>
      <w:color w:val="000000"/>
      <w:sz w:val="40"/>
    </w:rPr>
  </w:style>
  <w:style w:type="paragraph" w:customStyle="1" w:styleId="TOCTitle">
    <w:name w:val="TOCTitle"/>
    <w:basedOn w:val="Heading1"/>
    <w:rsid w:val="008D3DDE"/>
    <w:pPr>
      <w:spacing w:after="240"/>
      <w:jc w:val="center"/>
      <w:outlineLvl w:val="9"/>
    </w:pPr>
    <w:rPr>
      <w:caps/>
    </w:rPr>
  </w:style>
  <w:style w:type="paragraph" w:customStyle="1" w:styleId="Version">
    <w:name w:val="Version"/>
    <w:rsid w:val="008D3D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DDE"/>
    <w:pPr>
      <w:keepNext w:val="0"/>
      <w:tabs>
        <w:tab w:val="right" w:pos="4176"/>
      </w:tabs>
      <w:ind w:left="198" w:hanging="198"/>
    </w:pPr>
    <w:rPr>
      <w:rFonts w:ascii="Garamond" w:hAnsi="Garamond"/>
    </w:rPr>
  </w:style>
  <w:style w:type="paragraph" w:styleId="IndexHeading">
    <w:name w:val="index heading"/>
    <w:basedOn w:val="Normal"/>
    <w:next w:val="Index1"/>
    <w:semiHidden/>
    <w:rsid w:val="008D3DDE"/>
    <w:pPr>
      <w:spacing w:before="120" w:after="120"/>
    </w:pPr>
    <w:rPr>
      <w:rFonts w:ascii="Arial" w:hAnsi="Arial"/>
      <w:b/>
      <w:color w:val="918585"/>
      <w:sz w:val="24"/>
    </w:rPr>
  </w:style>
  <w:style w:type="paragraph" w:styleId="Header">
    <w:name w:val="header"/>
    <w:basedOn w:val="Normal"/>
    <w:link w:val="HeaderChar"/>
    <w:rsid w:val="008D3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DDE"/>
    <w:rPr>
      <w:rFonts w:ascii="Times New Roman" w:eastAsia="Times New Roman" w:hAnsi="Times New Roman" w:cs="Times New Roman"/>
      <w:sz w:val="16"/>
      <w:szCs w:val="20"/>
      <w:lang w:val="en-GB" w:eastAsia="en-US"/>
    </w:rPr>
  </w:style>
  <w:style w:type="paragraph" w:customStyle="1" w:styleId="Chapter">
    <w:name w:val="Chapter"/>
    <w:basedOn w:val="Normal"/>
    <w:rsid w:val="008D3DDE"/>
    <w:pPr>
      <w:spacing w:before="240"/>
    </w:pPr>
    <w:rPr>
      <w:rFonts w:ascii="Times New Roman" w:hAnsi="Times New Roman"/>
      <w:smallCaps/>
      <w:spacing w:val="80"/>
      <w:sz w:val="28"/>
    </w:rPr>
  </w:style>
  <w:style w:type="paragraph" w:customStyle="1" w:styleId="InChapter">
    <w:name w:val="InChapter"/>
    <w:basedOn w:val="Heading3"/>
    <w:rsid w:val="008D3DDE"/>
    <w:pPr>
      <w:spacing w:after="240"/>
      <w:outlineLvl w:val="9"/>
    </w:pPr>
    <w:rPr>
      <w:noProof/>
    </w:rPr>
  </w:style>
  <w:style w:type="paragraph" w:styleId="Index2">
    <w:name w:val="index 2"/>
    <w:basedOn w:val="Normal"/>
    <w:next w:val="Normal"/>
    <w:semiHidden/>
    <w:rsid w:val="008D3DDE"/>
    <w:pPr>
      <w:tabs>
        <w:tab w:val="right" w:pos="4176"/>
      </w:tabs>
      <w:ind w:left="568" w:hanging="284"/>
    </w:pPr>
    <w:rPr>
      <w:rFonts w:ascii="Garamond" w:hAnsi="Garamond"/>
    </w:rPr>
  </w:style>
  <w:style w:type="paragraph" w:customStyle="1" w:styleId="Byline">
    <w:name w:val="Byline"/>
    <w:rsid w:val="008D3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DDE"/>
    <w:pPr>
      <w:tabs>
        <w:tab w:val="clear" w:pos="3600"/>
        <w:tab w:val="clear" w:pos="3958"/>
      </w:tabs>
      <w:jc w:val="right"/>
    </w:pPr>
  </w:style>
  <w:style w:type="paragraph" w:styleId="Caption">
    <w:name w:val="caption"/>
    <w:basedOn w:val="BodyText"/>
    <w:next w:val="Normal"/>
    <w:qFormat/>
    <w:rsid w:val="008D3DDE"/>
    <w:pPr>
      <w:framePr w:w="2268" w:hSpace="181" w:vSpace="181" w:wrap="around" w:vAnchor="text" w:hAnchor="page" w:x="1135" w:y="285" w:anchorLock="1"/>
    </w:pPr>
    <w:rPr>
      <w:i/>
    </w:rPr>
  </w:style>
  <w:style w:type="paragraph" w:customStyle="1" w:styleId="MiniTOCTitle">
    <w:name w:val="MiniTOCTitle"/>
    <w:basedOn w:val="Heading4"/>
    <w:rsid w:val="008D3DDE"/>
    <w:pPr>
      <w:spacing w:before="240"/>
      <w:outlineLvl w:val="9"/>
    </w:pPr>
    <w:rPr>
      <w:noProof/>
      <w:sz w:val="24"/>
    </w:rPr>
  </w:style>
  <w:style w:type="paragraph" w:customStyle="1" w:styleId="MiniTOCItem">
    <w:name w:val="MiniTOCItem"/>
    <w:basedOn w:val="ListBullet"/>
    <w:rsid w:val="008D3DDE"/>
    <w:pPr>
      <w:numPr>
        <w:numId w:val="0"/>
      </w:numPr>
      <w:tabs>
        <w:tab w:val="right" w:leader="dot" w:pos="6521"/>
      </w:tabs>
      <w:spacing w:before="0" w:after="0"/>
    </w:pPr>
  </w:style>
  <w:style w:type="paragraph" w:customStyle="1" w:styleId="TOFTitle">
    <w:name w:val="TOFTitle"/>
    <w:basedOn w:val="TOCTitle"/>
    <w:rsid w:val="008D3DDE"/>
  </w:style>
  <w:style w:type="paragraph" w:styleId="TableofFigures">
    <w:name w:val="table of figures"/>
    <w:basedOn w:val="Normal"/>
    <w:next w:val="Normal"/>
    <w:semiHidden/>
    <w:rsid w:val="008D3DDE"/>
    <w:pPr>
      <w:tabs>
        <w:tab w:val="right" w:leader="dot" w:pos="9072"/>
      </w:tabs>
      <w:ind w:left="970" w:hanging="403"/>
    </w:pPr>
    <w:rPr>
      <w:rFonts w:ascii="Times New Roman" w:hAnsi="Times New Roman"/>
      <w:b/>
    </w:rPr>
  </w:style>
  <w:style w:type="paragraph" w:styleId="ListNumber">
    <w:name w:val="List Number"/>
    <w:basedOn w:val="List"/>
    <w:rsid w:val="008D3DDE"/>
    <w:pPr>
      <w:numPr>
        <w:numId w:val="11"/>
      </w:numPr>
    </w:pPr>
  </w:style>
  <w:style w:type="character" w:customStyle="1" w:styleId="WingdingSymbols">
    <w:name w:val="Wingding Symbols"/>
    <w:rsid w:val="008D3DDE"/>
    <w:rPr>
      <w:rFonts w:ascii="Wingdings" w:hAnsi="Wingdings"/>
    </w:rPr>
  </w:style>
  <w:style w:type="paragraph" w:customStyle="1" w:styleId="TableHeading">
    <w:name w:val="Table Heading"/>
    <w:basedOn w:val="HeadingBase"/>
    <w:rsid w:val="008D3DDE"/>
    <w:pPr>
      <w:keepLines/>
      <w:pBdr>
        <w:bottom w:val="single" w:sz="6" w:space="1" w:color="918585"/>
      </w:pBdr>
      <w:spacing w:before="240"/>
    </w:pPr>
  </w:style>
  <w:style w:type="character" w:customStyle="1" w:styleId="HotSpot">
    <w:name w:val="HotSpot"/>
    <w:rsid w:val="008D3DDE"/>
    <w:rPr>
      <w:color w:val="0033CC"/>
      <w:u w:val="none"/>
    </w:rPr>
  </w:style>
  <w:style w:type="paragraph" w:customStyle="1" w:styleId="BodyTextRight">
    <w:name w:val="Body Text Right"/>
    <w:basedOn w:val="BodyText"/>
    <w:rsid w:val="008D3DDE"/>
    <w:pPr>
      <w:spacing w:before="0" w:after="0"/>
      <w:jc w:val="right"/>
    </w:pPr>
  </w:style>
  <w:style w:type="paragraph" w:styleId="Index3">
    <w:name w:val="index 3"/>
    <w:basedOn w:val="ListNumber2"/>
    <w:next w:val="Normal"/>
    <w:semiHidden/>
    <w:rsid w:val="008D3DDE"/>
    <w:pPr>
      <w:numPr>
        <w:numId w:val="0"/>
      </w:numPr>
      <w:tabs>
        <w:tab w:val="right" w:leader="dot" w:pos="4176"/>
      </w:tabs>
    </w:pPr>
  </w:style>
  <w:style w:type="paragraph" w:styleId="ListNumber2">
    <w:name w:val="List Number 2"/>
    <w:basedOn w:val="List2"/>
    <w:rsid w:val="008D3DDE"/>
    <w:pPr>
      <w:numPr>
        <w:numId w:val="10"/>
      </w:numPr>
      <w:tabs>
        <w:tab w:val="clear" w:pos="1060"/>
      </w:tabs>
    </w:pPr>
  </w:style>
  <w:style w:type="paragraph" w:customStyle="1" w:styleId="MarginNote">
    <w:name w:val="Margin Note"/>
    <w:basedOn w:val="BodyText"/>
    <w:rsid w:val="008D3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DDE"/>
    <w:rPr>
      <w:sz w:val="32"/>
    </w:rPr>
  </w:style>
  <w:style w:type="paragraph" w:customStyle="1" w:styleId="HeadingProcedure">
    <w:name w:val="Heading Procedure"/>
    <w:basedOn w:val="HeadingBase"/>
    <w:next w:val="Normal"/>
    <w:rsid w:val="008D3DDE"/>
    <w:pPr>
      <w:tabs>
        <w:tab w:val="left" w:pos="0"/>
      </w:tabs>
      <w:spacing w:before="120" w:after="60"/>
    </w:pPr>
    <w:rPr>
      <w:i/>
      <w:color w:val="918585"/>
      <w:sz w:val="22"/>
    </w:rPr>
  </w:style>
  <w:style w:type="paragraph" w:customStyle="1" w:styleId="TableBodyText">
    <w:name w:val="Table Body Text"/>
    <w:basedOn w:val="BodyText"/>
    <w:rsid w:val="008D3DDE"/>
    <w:pPr>
      <w:spacing w:before="60" w:after="60"/>
    </w:pPr>
  </w:style>
  <w:style w:type="paragraph" w:styleId="ListContinue">
    <w:name w:val="List Continue"/>
    <w:basedOn w:val="List"/>
    <w:rsid w:val="008D3DDE"/>
    <w:pPr>
      <w:ind w:firstLine="0"/>
    </w:pPr>
  </w:style>
  <w:style w:type="paragraph" w:customStyle="1" w:styleId="ListNote">
    <w:name w:val="List Note"/>
    <w:basedOn w:val="List"/>
    <w:rsid w:val="008D3DDE"/>
    <w:pPr>
      <w:pBdr>
        <w:top w:val="single" w:sz="6" w:space="2" w:color="918585"/>
        <w:bottom w:val="single" w:sz="6" w:space="2" w:color="918585"/>
      </w:pBdr>
      <w:tabs>
        <w:tab w:val="left" w:pos="1021"/>
      </w:tabs>
      <w:ind w:firstLine="0"/>
    </w:pPr>
  </w:style>
  <w:style w:type="paragraph" w:customStyle="1" w:styleId="Warning">
    <w:name w:val="Warning"/>
    <w:basedOn w:val="BodyText"/>
    <w:rsid w:val="008D3DDE"/>
    <w:pPr>
      <w:shd w:val="clear" w:color="auto" w:fill="D9D9D9"/>
      <w:tabs>
        <w:tab w:val="left" w:pos="992"/>
      </w:tabs>
      <w:ind w:left="119" w:right="119"/>
    </w:pPr>
    <w:rPr>
      <w:sz w:val="20"/>
    </w:rPr>
  </w:style>
  <w:style w:type="paragraph" w:customStyle="1" w:styleId="MarginIcons">
    <w:name w:val="Margin Icons"/>
    <w:basedOn w:val="BodyText"/>
    <w:rsid w:val="008D3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DDE"/>
    <w:rPr>
      <w:rFonts w:ascii="Courier New" w:hAnsi="Courier New"/>
    </w:rPr>
  </w:style>
  <w:style w:type="paragraph" w:customStyle="1" w:styleId="NoteBullet">
    <w:name w:val="Note Bullet"/>
    <w:basedOn w:val="Note"/>
    <w:rsid w:val="008D3DDE"/>
    <w:pPr>
      <w:tabs>
        <w:tab w:val="clear" w:pos="680"/>
      </w:tabs>
      <w:spacing w:before="60" w:after="60"/>
    </w:pPr>
  </w:style>
  <w:style w:type="paragraph" w:customStyle="1" w:styleId="SubHeading2">
    <w:name w:val="SubHeading2"/>
    <w:basedOn w:val="HeadingBase"/>
    <w:rsid w:val="008D3DDE"/>
    <w:pPr>
      <w:spacing w:before="240" w:after="60"/>
    </w:pPr>
    <w:rPr>
      <w:sz w:val="20"/>
    </w:rPr>
  </w:style>
  <w:style w:type="paragraph" w:customStyle="1" w:styleId="SubHeading1">
    <w:name w:val="SubHeading1"/>
    <w:basedOn w:val="HeadingBase"/>
    <w:rsid w:val="008D3DDE"/>
    <w:pPr>
      <w:spacing w:before="240" w:after="60"/>
    </w:pPr>
    <w:rPr>
      <w:color w:val="918585"/>
      <w:sz w:val="22"/>
    </w:rPr>
  </w:style>
  <w:style w:type="paragraph" w:customStyle="1" w:styleId="SideHeading">
    <w:name w:val="Side Heading"/>
    <w:basedOn w:val="HeadingBase"/>
    <w:rsid w:val="008D3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DDE"/>
    <w:pPr>
      <w:numPr>
        <w:numId w:val="12"/>
      </w:numPr>
    </w:pPr>
  </w:style>
  <w:style w:type="paragraph" w:styleId="PlainText">
    <w:name w:val="Plain Text"/>
    <w:basedOn w:val="Normal"/>
    <w:link w:val="PlainTextChar"/>
    <w:rsid w:val="008D3DDE"/>
    <w:rPr>
      <w:sz w:val="20"/>
    </w:rPr>
  </w:style>
  <w:style w:type="character" w:customStyle="1" w:styleId="PlainTextChar">
    <w:name w:val="Plain Text Char"/>
    <w:basedOn w:val="DefaultParagraphFont"/>
    <w:link w:val="PlainText"/>
    <w:rsid w:val="008D3DDE"/>
    <w:rPr>
      <w:rFonts w:ascii="Courier New" w:eastAsia="Times New Roman" w:hAnsi="Courier New" w:cs="Times New Roman"/>
      <w:sz w:val="20"/>
      <w:szCs w:val="20"/>
      <w:lang w:eastAsia="en-US"/>
    </w:rPr>
  </w:style>
  <w:style w:type="character" w:customStyle="1" w:styleId="MenuOption">
    <w:name w:val="Menu Option"/>
    <w:basedOn w:val="DefaultParagraphFont"/>
    <w:rsid w:val="008D3DDE"/>
    <w:rPr>
      <w:b/>
      <w:smallCaps/>
    </w:rPr>
  </w:style>
  <w:style w:type="paragraph" w:customStyle="1" w:styleId="TableListNumber">
    <w:name w:val="Table List Number"/>
    <w:basedOn w:val="ListNumber"/>
    <w:rsid w:val="008D3DDE"/>
    <w:pPr>
      <w:numPr>
        <w:numId w:val="0"/>
      </w:numPr>
    </w:pPr>
  </w:style>
  <w:style w:type="paragraph" w:styleId="TOC4">
    <w:name w:val="toc 4"/>
    <w:basedOn w:val="TOCBase"/>
    <w:next w:val="Normal"/>
    <w:semiHidden/>
    <w:rsid w:val="008D3DDE"/>
    <w:pPr>
      <w:tabs>
        <w:tab w:val="right" w:leader="dot" w:pos="9071"/>
      </w:tabs>
      <w:ind w:left="1701"/>
    </w:pPr>
  </w:style>
  <w:style w:type="paragraph" w:customStyle="1" w:styleId="ListAlpha">
    <w:name w:val="List Alpha"/>
    <w:basedOn w:val="List"/>
    <w:rsid w:val="008D3DDE"/>
    <w:pPr>
      <w:numPr>
        <w:numId w:val="9"/>
      </w:numPr>
    </w:pPr>
  </w:style>
  <w:style w:type="paragraph" w:customStyle="1" w:styleId="ListAlpha2">
    <w:name w:val="List Alpha 2"/>
    <w:basedOn w:val="List2"/>
    <w:rsid w:val="008D3DDE"/>
    <w:pPr>
      <w:numPr>
        <w:numId w:val="8"/>
      </w:numPr>
    </w:pPr>
  </w:style>
  <w:style w:type="paragraph" w:styleId="List2">
    <w:name w:val="List 2"/>
    <w:basedOn w:val="BodyText"/>
    <w:rsid w:val="008D3DDE"/>
    <w:pPr>
      <w:tabs>
        <w:tab w:val="left" w:pos="680"/>
      </w:tabs>
      <w:spacing w:before="60" w:after="60"/>
      <w:ind w:left="680" w:hanging="340"/>
    </w:pPr>
  </w:style>
  <w:style w:type="paragraph" w:styleId="List3">
    <w:name w:val="List 3"/>
    <w:basedOn w:val="BodyText"/>
    <w:rsid w:val="008D3DDE"/>
    <w:pPr>
      <w:tabs>
        <w:tab w:val="left" w:pos="1021"/>
      </w:tabs>
      <w:spacing w:before="60" w:after="60"/>
      <w:ind w:left="1020" w:hanging="340"/>
    </w:pPr>
  </w:style>
  <w:style w:type="paragraph" w:styleId="List4">
    <w:name w:val="List 4"/>
    <w:basedOn w:val="BodyText"/>
    <w:rsid w:val="008D3DDE"/>
    <w:pPr>
      <w:tabs>
        <w:tab w:val="left" w:pos="1361"/>
      </w:tabs>
      <w:spacing w:before="60" w:after="60"/>
      <w:ind w:left="1361" w:hanging="340"/>
    </w:pPr>
  </w:style>
  <w:style w:type="paragraph" w:styleId="List5">
    <w:name w:val="List 5"/>
    <w:basedOn w:val="BodyText"/>
    <w:rsid w:val="008D3DDE"/>
    <w:pPr>
      <w:tabs>
        <w:tab w:val="left" w:pos="1701"/>
      </w:tabs>
      <w:spacing w:before="60" w:after="60"/>
      <w:ind w:left="1701" w:hanging="340"/>
    </w:pPr>
  </w:style>
  <w:style w:type="paragraph" w:styleId="ListBullet4">
    <w:name w:val="List Bullet 4"/>
    <w:basedOn w:val="List4"/>
    <w:rsid w:val="008D3DDE"/>
    <w:pPr>
      <w:numPr>
        <w:numId w:val="3"/>
      </w:numPr>
    </w:pPr>
  </w:style>
  <w:style w:type="paragraph" w:styleId="ListBullet5">
    <w:name w:val="List Bullet 5"/>
    <w:basedOn w:val="List5"/>
    <w:rsid w:val="008D3DDE"/>
    <w:pPr>
      <w:numPr>
        <w:numId w:val="4"/>
      </w:numPr>
    </w:pPr>
  </w:style>
  <w:style w:type="paragraph" w:styleId="ListContinue2">
    <w:name w:val="List Continue 2"/>
    <w:basedOn w:val="List2"/>
    <w:rsid w:val="008D3DDE"/>
    <w:pPr>
      <w:ind w:firstLine="0"/>
    </w:pPr>
  </w:style>
  <w:style w:type="paragraph" w:styleId="ListContinue3">
    <w:name w:val="List Continue 3"/>
    <w:basedOn w:val="List3"/>
    <w:rsid w:val="008D3DDE"/>
    <w:pPr>
      <w:ind w:left="1021" w:firstLine="0"/>
    </w:pPr>
  </w:style>
  <w:style w:type="paragraph" w:styleId="ListContinue4">
    <w:name w:val="List Continue 4"/>
    <w:basedOn w:val="List4"/>
    <w:rsid w:val="008D3DDE"/>
    <w:pPr>
      <w:ind w:firstLine="0"/>
    </w:pPr>
  </w:style>
  <w:style w:type="paragraph" w:styleId="ListContinue5">
    <w:name w:val="List Continue 5"/>
    <w:basedOn w:val="List5"/>
    <w:rsid w:val="008D3DDE"/>
    <w:pPr>
      <w:ind w:firstLine="0"/>
    </w:pPr>
  </w:style>
  <w:style w:type="paragraph" w:styleId="ListNumber3">
    <w:name w:val="List Number 3"/>
    <w:basedOn w:val="List3"/>
    <w:rsid w:val="008D3DDE"/>
    <w:pPr>
      <w:numPr>
        <w:numId w:val="5"/>
      </w:numPr>
    </w:pPr>
  </w:style>
  <w:style w:type="paragraph" w:styleId="ListNumber4">
    <w:name w:val="List Number 4"/>
    <w:basedOn w:val="List4"/>
    <w:rsid w:val="008D3DDE"/>
    <w:pPr>
      <w:numPr>
        <w:numId w:val="6"/>
      </w:numPr>
    </w:pPr>
  </w:style>
  <w:style w:type="paragraph" w:styleId="ListNumber5">
    <w:name w:val="List Number 5"/>
    <w:basedOn w:val="List5"/>
    <w:rsid w:val="008D3DDE"/>
    <w:pPr>
      <w:numPr>
        <w:numId w:val="7"/>
      </w:numPr>
    </w:pPr>
  </w:style>
  <w:style w:type="paragraph" w:styleId="BlockText">
    <w:name w:val="Block Text"/>
    <w:basedOn w:val="Normal"/>
    <w:rsid w:val="008D3DDE"/>
    <w:pPr>
      <w:spacing w:after="120"/>
      <w:ind w:left="1440" w:right="1440"/>
    </w:pPr>
  </w:style>
  <w:style w:type="character" w:customStyle="1" w:styleId="Subscript">
    <w:name w:val="Subscript"/>
    <w:basedOn w:val="DefaultParagraphFont"/>
    <w:rsid w:val="008D3DDE"/>
    <w:rPr>
      <w:sz w:val="16"/>
      <w:vertAlign w:val="subscript"/>
    </w:rPr>
  </w:style>
  <w:style w:type="character" w:customStyle="1" w:styleId="Superscript">
    <w:name w:val="Superscript"/>
    <w:basedOn w:val="DefaultParagraphFont"/>
    <w:rsid w:val="008D3DDE"/>
    <w:rPr>
      <w:sz w:val="16"/>
      <w:vertAlign w:val="superscript"/>
    </w:rPr>
  </w:style>
  <w:style w:type="character" w:customStyle="1" w:styleId="Symbols">
    <w:name w:val="Symbols"/>
    <w:basedOn w:val="DefaultParagraphFont"/>
    <w:rsid w:val="008D3DDE"/>
    <w:rPr>
      <w:rFonts w:ascii="Symbol" w:hAnsi="Symbol"/>
    </w:rPr>
  </w:style>
  <w:style w:type="character" w:customStyle="1" w:styleId="MenuOptions">
    <w:name w:val="Menu Options"/>
    <w:basedOn w:val="DefaultParagraphFont"/>
    <w:rsid w:val="008D3DDE"/>
    <w:rPr>
      <w:rFonts w:ascii="Arial Narrow" w:hAnsi="Arial Narrow"/>
      <w:smallCaps/>
    </w:rPr>
  </w:style>
  <w:style w:type="character" w:customStyle="1" w:styleId="Buttons">
    <w:name w:val="Buttons"/>
    <w:basedOn w:val="DefaultParagraphFont"/>
    <w:rsid w:val="008D3DDE"/>
    <w:rPr>
      <w:b/>
    </w:rPr>
  </w:style>
  <w:style w:type="character" w:customStyle="1" w:styleId="Underlined">
    <w:name w:val="Underlined"/>
    <w:basedOn w:val="DefaultParagraphFont"/>
    <w:rsid w:val="008D3DDE"/>
    <w:rPr>
      <w:u w:val="single"/>
    </w:rPr>
  </w:style>
  <w:style w:type="paragraph" w:customStyle="1" w:styleId="TableBodyTextRight">
    <w:name w:val="Table Body Text Right"/>
    <w:basedOn w:val="TableBodyText"/>
    <w:rsid w:val="008D3DDE"/>
    <w:pPr>
      <w:widowControl w:val="0"/>
      <w:autoSpaceDE w:val="0"/>
      <w:autoSpaceDN w:val="0"/>
      <w:adjustRightInd w:val="0"/>
      <w:jc w:val="right"/>
    </w:pPr>
    <w:rPr>
      <w:rFonts w:cs="Arial"/>
      <w:szCs w:val="18"/>
    </w:rPr>
  </w:style>
  <w:style w:type="paragraph" w:customStyle="1" w:styleId="CopyrightText">
    <w:name w:val="Copyright Text"/>
    <w:basedOn w:val="BodyText"/>
    <w:rsid w:val="008D3DDE"/>
    <w:rPr>
      <w:sz w:val="18"/>
    </w:rPr>
  </w:style>
  <w:style w:type="paragraph" w:customStyle="1" w:styleId="BodySmallRight">
    <w:name w:val="Body Small Right"/>
    <w:basedOn w:val="BodyTextRight"/>
    <w:rsid w:val="008D3DDE"/>
    <w:rPr>
      <w:sz w:val="18"/>
      <w:szCs w:val="18"/>
    </w:rPr>
  </w:style>
  <w:style w:type="paragraph" w:customStyle="1" w:styleId="MarginEdition">
    <w:name w:val="Margin Edition"/>
    <w:basedOn w:val="MarginNote"/>
    <w:rsid w:val="008D3DDE"/>
    <w:pPr>
      <w:spacing w:before="0" w:after="0"/>
    </w:pPr>
    <w:rPr>
      <w:rFonts w:ascii="Times New Roman" w:hAnsi="Times New Roman"/>
      <w:color w:val="999999"/>
    </w:rPr>
  </w:style>
  <w:style w:type="paragraph" w:customStyle="1" w:styleId="Spacer">
    <w:name w:val="Spacer"/>
    <w:basedOn w:val="Normal"/>
    <w:rsid w:val="008D3DDE"/>
    <w:rPr>
      <w:sz w:val="2"/>
      <w:szCs w:val="2"/>
    </w:rPr>
  </w:style>
  <w:style w:type="character" w:customStyle="1" w:styleId="Small">
    <w:name w:val="Small"/>
    <w:basedOn w:val="DefaultParagraphFont"/>
    <w:rsid w:val="008D3DDE"/>
    <w:rPr>
      <w:sz w:val="16"/>
    </w:rPr>
  </w:style>
  <w:style w:type="paragraph" w:customStyle="1" w:styleId="WideTable">
    <w:name w:val="Wide Table"/>
    <w:basedOn w:val="Normal"/>
    <w:rsid w:val="008D3DDE"/>
    <w:pPr>
      <w:ind w:left="-1418"/>
    </w:pPr>
    <w:rPr>
      <w:sz w:val="2"/>
      <w:szCs w:val="2"/>
    </w:rPr>
  </w:style>
  <w:style w:type="character" w:styleId="PageNumber">
    <w:name w:val="page number"/>
    <w:basedOn w:val="DefaultParagraphFont"/>
    <w:rsid w:val="008D3DDE"/>
  </w:style>
  <w:style w:type="paragraph" w:styleId="Quote">
    <w:name w:val="Quote"/>
    <w:basedOn w:val="Heading1"/>
    <w:link w:val="QuoteChar"/>
    <w:qFormat/>
    <w:rsid w:val="008D3DDE"/>
    <w:rPr>
      <w:b w:val="0"/>
      <w:sz w:val="72"/>
      <w:szCs w:val="72"/>
      <w:lang w:val="en-NZ"/>
    </w:rPr>
  </w:style>
  <w:style w:type="character" w:customStyle="1" w:styleId="QuoteChar">
    <w:name w:val="Quote Char"/>
    <w:basedOn w:val="DefaultParagraphFont"/>
    <w:link w:val="Quote"/>
    <w:rsid w:val="008D3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DDE"/>
    <w:pPr>
      <w:pageBreakBefore/>
    </w:pPr>
  </w:style>
  <w:style w:type="paragraph" w:customStyle="1" w:styleId="Border">
    <w:name w:val="Border"/>
    <w:basedOn w:val="Normal"/>
    <w:qFormat/>
    <w:rsid w:val="008D3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DDE"/>
    <w:rPr>
      <w:b/>
      <w:bCs/>
      <w:i/>
      <w:iCs/>
      <w:color w:val="auto"/>
    </w:rPr>
  </w:style>
  <w:style w:type="paragraph" w:styleId="IntenseQuote">
    <w:name w:val="Intense Quote"/>
    <w:basedOn w:val="Normal"/>
    <w:next w:val="Normal"/>
    <w:link w:val="IntenseQuoteChar"/>
    <w:uiPriority w:val="30"/>
    <w:qFormat/>
    <w:rsid w:val="008D3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DDE"/>
    <w:rPr>
      <w:smallCaps/>
      <w:color w:val="auto"/>
      <w:u w:val="single"/>
    </w:rPr>
  </w:style>
  <w:style w:type="character" w:styleId="IntenseReference">
    <w:name w:val="Intense Reference"/>
    <w:basedOn w:val="DefaultParagraphFont"/>
    <w:uiPriority w:val="32"/>
    <w:qFormat/>
    <w:rsid w:val="008D3DDE"/>
    <w:rPr>
      <w:b/>
      <w:bCs/>
      <w:smallCaps/>
      <w:color w:val="auto"/>
      <w:spacing w:val="5"/>
      <w:u w:val="single"/>
    </w:rPr>
  </w:style>
  <w:style w:type="paragraph" w:customStyle="1" w:styleId="2ColumnHeading">
    <w:name w:val="2Column Heading"/>
    <w:basedOn w:val="BodyText"/>
    <w:qFormat/>
    <w:rsid w:val="008D3DDE"/>
    <w:pPr>
      <w:spacing w:after="60"/>
      <w:ind w:left="-2268"/>
    </w:pPr>
    <w:rPr>
      <w:b/>
    </w:rPr>
  </w:style>
  <w:style w:type="paragraph" w:customStyle="1" w:styleId="Heading1TOC">
    <w:name w:val="Heading1 TOC"/>
    <w:basedOn w:val="Normal"/>
    <w:qFormat/>
    <w:rsid w:val="008D3DDE"/>
    <w:pPr>
      <w:spacing w:before="240" w:after="120"/>
    </w:pPr>
    <w:rPr>
      <w:rFonts w:ascii="Times New Roman" w:hAnsi="Times New Roman"/>
      <w:b/>
      <w:sz w:val="32"/>
    </w:rPr>
  </w:style>
  <w:style w:type="paragraph" w:customStyle="1" w:styleId="Heading2TOC">
    <w:name w:val="Heading2 TOC"/>
    <w:basedOn w:val="Normal"/>
    <w:qFormat/>
    <w:rsid w:val="008D3DDE"/>
    <w:pPr>
      <w:spacing w:before="240" w:after="60"/>
    </w:pPr>
    <w:rPr>
      <w:rFonts w:ascii="Times New Roman" w:hAnsi="Times New Roman"/>
      <w:b/>
      <w:sz w:val="28"/>
    </w:rPr>
  </w:style>
  <w:style w:type="character" w:customStyle="1" w:styleId="Underline">
    <w:name w:val="Underline"/>
    <w:basedOn w:val="DefaultParagraphFont"/>
    <w:qFormat/>
    <w:rsid w:val="008D3DDE"/>
    <w:rPr>
      <w:u w:val="single"/>
    </w:rPr>
  </w:style>
  <w:style w:type="paragraph" w:styleId="BalloonText">
    <w:name w:val="Balloon Text"/>
    <w:basedOn w:val="Normal"/>
    <w:link w:val="BalloonTextChar"/>
    <w:rsid w:val="008D3DDE"/>
    <w:rPr>
      <w:rFonts w:ascii="Tahoma" w:hAnsi="Tahoma" w:cs="Tahoma"/>
      <w:sz w:val="16"/>
      <w:szCs w:val="16"/>
    </w:rPr>
  </w:style>
  <w:style w:type="character" w:customStyle="1" w:styleId="BalloonTextChar">
    <w:name w:val="Balloon Text Char"/>
    <w:basedOn w:val="DefaultParagraphFont"/>
    <w:link w:val="BalloonText"/>
    <w:rsid w:val="008D3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DDE"/>
    <w:rPr>
      <w:b/>
      <w:color w:val="660033"/>
      <w:spacing w:val="0"/>
    </w:rPr>
  </w:style>
  <w:style w:type="paragraph" w:customStyle="1" w:styleId="Nameditemlist">
    <w:name w:val="Named item list"/>
    <w:basedOn w:val="BodyText"/>
    <w:qFormat/>
    <w:rsid w:val="008D3D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1637</Words>
  <Characters>10283</Characters>
  <Application>Microsoft Office Word</Application>
  <DocSecurity>0</DocSecurity>
  <Lines>323</Lines>
  <Paragraphs>195</Paragraphs>
  <ScaleCrop>false</ScaleCrop>
  <Company>Author-it Software Corporation Ltd.</Company>
  <LinksUpToDate>false</LinksUpToDate>
  <CharactersWithSpaces>11849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PSPREV405A Assess applications for grants, subsidies and rebates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2012-11-01T18:10:00Z</dcterms:created>
  <dcterms:modified xsi:type="dcterms:W3CDTF">2012-11-01T18:10:00Z</dcterms:modified>
</cp:coreProperties>
</file>