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166" w:rsidP="00B73166">
      <w:pPr>
        <w:pStyle w:val="Title"/>
      </w:pPr>
      <w:bookmarkStart w:id="0" w:name="_GoBack"/>
      <w:bookmarkEnd w:id="0"/>
      <w:r>
        <w:fldChar w:fldCharType="begin"/>
      </w:r>
      <w:r>
        <w:instrText xml:space="preserve"> TITLE   \* MERGEFORMAT </w:instrText>
      </w:r>
      <w:r>
        <w:fldChar w:fldCharType="separate"/>
      </w:r>
      <w:r>
        <w:t>PSPREV404A Interpret and assess contracts</w:t>
      </w:r>
      <w:r>
        <w:fldChar w:fldCharType="end"/>
      </w:r>
    </w:p>
    <w:p w:rsidR="00B73166" w:rsidP="00B73166">
      <w:pPr>
        <w:pStyle w:val="Version"/>
        <w:sectPr w:rsidSect="000F7B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0F7BB5" w:rsidP="000F7BB5">
      <w:pPr>
        <w:pStyle w:val="SuperHeading"/>
      </w:pPr>
      <w:r w:rsidRPr="000F7BB5">
        <w:t>PSPREV404A Interpret and assess contracts</w:t>
      </w:r>
    </w:p>
    <w:p w:rsidR="00000000" w:rsidRPr="000F7BB5" w:rsidP="000F7BB5">
      <w:pPr>
        <w:pStyle w:val="SuperHeading"/>
      </w:pPr>
    </w:p>
    <w:p w:rsidR="00000000" w:rsidRPr="000F7BB5" w:rsidP="000F7BB5">
      <w:pPr>
        <w:pStyle w:val="Heading1"/>
      </w:pPr>
      <w:bookmarkStart w:id="1" w:name="O_499133"/>
      <w:bookmarkEnd w:id="1"/>
      <w:r w:rsidRPr="000F7BB5">
        <w:t>Modification History</w:t>
      </w:r>
    </w:p>
    <w:tbl>
      <w:tblPr>
        <w:tblW w:w="0" w:type="auto"/>
        <w:tblLayout w:type="fixed"/>
        <w:tblCellMar>
          <w:left w:w="62" w:type="dxa"/>
          <w:right w:w="62" w:type="dxa"/>
        </w:tblCellMar>
        <w:tblLook w:val="0000"/>
      </w:tblPr>
      <w:tblGrid>
        <w:gridCol w:w="3052"/>
        <w:gridCol w:w="3052"/>
        <w:gridCol w:w="3052"/>
      </w:tblGrid>
      <w:tr w:rsidTr="00B7316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BB5" w:rsidP="000F7BB5">
            <w:pPr>
              <w:pStyle w:val="BodyText"/>
            </w:pPr>
            <w:r w:rsidRPr="000F7BB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BB5" w:rsidP="000F7BB5">
            <w:pPr>
              <w:pStyle w:val="BodyText"/>
            </w:pPr>
            <w:r w:rsidRPr="000F7BB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BB5">
            <w:pPr>
              <w:pStyle w:val="BodyText"/>
              <w:rPr>
                <w:lang w:val="en-NZ"/>
              </w:rPr>
            </w:pPr>
            <w:r w:rsidRPr="000F7BB5">
              <w:rPr>
                <w:rStyle w:val="SpecialBold"/>
              </w:rPr>
              <w:t>Comments</w:t>
            </w:r>
          </w:p>
        </w:tc>
      </w:tr>
      <w:tr w:rsidTr="00B7316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BB5">
            <w:pPr>
              <w:pStyle w:val="BodyText"/>
              <w:rPr>
                <w:lang w:val="en-NZ"/>
              </w:rPr>
            </w:pPr>
            <w:r w:rsidRPr="000F7BB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BB5">
            <w:pPr>
              <w:pStyle w:val="BodyText"/>
              <w:rPr>
                <w:lang w:val="en-NZ"/>
              </w:rPr>
            </w:pPr>
            <w:r w:rsidRPr="000F7BB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BB5">
            <w:pPr>
              <w:pStyle w:val="BodyText"/>
              <w:rPr>
                <w:lang w:val="en-NZ"/>
              </w:rPr>
            </w:pPr>
            <w:r w:rsidRPr="000F7BB5">
              <w:t xml:space="preserve">Unit descriptor edited. </w:t>
            </w:r>
          </w:p>
        </w:tc>
      </w:tr>
      <w:tr w:rsidTr="00B7316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BB5">
            <w:pPr>
              <w:pStyle w:val="BodyText"/>
              <w:rPr>
                <w:lang w:val="en-NZ"/>
              </w:rPr>
            </w:pPr>
            <w:r w:rsidRPr="000F7BB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BB5">
            <w:pPr>
              <w:pStyle w:val="BodyText"/>
              <w:rPr>
                <w:lang w:val="en-NZ"/>
              </w:rPr>
            </w:pPr>
            <w:r w:rsidRPr="000F7BB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BB5">
            <w:pPr>
              <w:pStyle w:val="BodyText"/>
              <w:rPr>
                <w:lang w:val="en-NZ"/>
              </w:rPr>
            </w:pPr>
            <w:r w:rsidRPr="000F7BB5">
              <w:t>Layout adjusted. No changes to content.</w:t>
            </w:r>
          </w:p>
        </w:tc>
      </w:tr>
      <w:tr w:rsidTr="00B7316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BB5">
            <w:pPr>
              <w:pStyle w:val="BodyText"/>
              <w:rPr>
                <w:lang w:val="en-NZ"/>
              </w:rPr>
            </w:pPr>
            <w:r w:rsidRPr="000F7BB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BB5">
            <w:pPr>
              <w:pStyle w:val="BodyText"/>
              <w:rPr>
                <w:lang w:val="en-NZ"/>
              </w:rPr>
            </w:pPr>
            <w:r w:rsidRPr="000F7BB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BB5" w:rsidP="000F7BB5">
            <w:pPr>
              <w:pStyle w:val="BodyText"/>
            </w:pPr>
            <w:r w:rsidRPr="000F7BB5">
              <w:t>Primary release.</w:t>
            </w:r>
          </w:p>
        </w:tc>
      </w:tr>
    </w:tbl>
    <w:p w:rsidR="00B73166" w:rsidP="000F7BB5">
      <w:pPr>
        <w:pStyle w:val="BodyText"/>
      </w:pPr>
    </w:p>
    <w:p w:rsidR="00B73166" w:rsidP="000F7BB5">
      <w:pPr>
        <w:pStyle w:val="BodyText"/>
      </w:pPr>
    </w:p>
    <w:p w:rsidR="00000000" w:rsidRPr="000F7BB5" w:rsidP="000F7BB5">
      <w:pPr>
        <w:pStyle w:val="Heading1"/>
      </w:pPr>
      <w:bookmarkStart w:id="2" w:name="O_499134"/>
      <w:bookmarkEnd w:id="2"/>
      <w:r w:rsidRPr="000F7BB5">
        <w:t>Unit Descriptor</w:t>
      </w:r>
    </w:p>
    <w:p w:rsidR="00000000" w:rsidRPr="000F7BB5" w:rsidP="000F7BB5">
      <w:pPr>
        <w:pStyle w:val="BodyText"/>
      </w:pPr>
      <w:r w:rsidRPr="000F7BB5">
        <w:t>This unit covers the interpretation and assessment of contracts to determine their legal effect, identifying the parties involved and the responsibili</w:t>
      </w:r>
      <w:r w:rsidRPr="000F7BB5">
        <w:t>ties of those parties in order to make decisions regarding liability or compliance.</w:t>
      </w:r>
    </w:p>
    <w:p w:rsidR="00000000" w:rsidRPr="000F7BB5" w:rsidP="000F7BB5">
      <w:pPr>
        <w:pStyle w:val="BodyText"/>
      </w:pPr>
      <w:r w:rsidRPr="000F7BB5">
        <w:t xml:space="preserve">In practice, interpreting and assessing contracts overlaps with other generalist or specialist work activities, such as acting ethically; applying statute law; undertaking </w:t>
      </w:r>
      <w:r w:rsidRPr="000F7BB5">
        <w:t xml:space="preserve">legislative decision making; dealing with legal entities, relationships and property; assessing applications for grants, subsidies or rebates; and delivering client service. Co-assessment with units of competency addressing these other activities could be </w:t>
      </w:r>
      <w:r w:rsidRPr="000F7BB5">
        <w:t>considered.</w:t>
      </w:r>
    </w:p>
    <w:p w:rsidR="00000000" w:rsidRPr="000F7BB5" w:rsidP="000F7BB5">
      <w:pPr>
        <w:pStyle w:val="BodyText"/>
      </w:pPr>
      <w:r w:rsidRPr="000F7BB5">
        <w:t>No licensing, legislative, regulatory or certification requirements apply to this unit at the time of endorsement.</w:t>
      </w:r>
    </w:p>
    <w:p w:rsidR="00000000" w:rsidRPr="000F7BB5" w:rsidP="000F7BB5">
      <w:pPr>
        <w:pStyle w:val="AllowPageBreak"/>
      </w:pPr>
    </w:p>
    <w:p w:rsidR="00000000" w:rsidRPr="000F7BB5" w:rsidP="000F7BB5">
      <w:pPr>
        <w:pStyle w:val="Heading1"/>
      </w:pPr>
      <w:bookmarkStart w:id="3" w:name="O_499143"/>
      <w:bookmarkEnd w:id="3"/>
      <w:r w:rsidRPr="000F7BB5">
        <w:t>Application of the Unit</w:t>
      </w:r>
    </w:p>
    <w:p w:rsidR="00000000" w:rsidRPr="000F7BB5" w:rsidP="000F7BB5">
      <w:pPr>
        <w:pStyle w:val="BodyText"/>
      </w:pPr>
      <w:r w:rsidRPr="000F7BB5">
        <w:t>In the workplace, staff typically interpret and assess contracts and identify the partie</w:t>
      </w:r>
      <w:r w:rsidRPr="000F7BB5">
        <w:t>s involved and the capacity in which they act, in order to determine their compliance with eligibility criteria for government grants, subsidies or rebates or to determine liability for taxation and duty.</w:t>
      </w:r>
    </w:p>
    <w:p w:rsidR="00000000" w:rsidRPr="000F7BB5" w:rsidP="000F7BB5">
      <w:pPr>
        <w:pStyle w:val="BodyText"/>
      </w:pPr>
      <w:r w:rsidRPr="000F7BB5">
        <w:t>Staff must be able to access and use the principles</w:t>
      </w:r>
      <w:r w:rsidRPr="000F7BB5">
        <w:t xml:space="preserve"> of contract law to identify the legal nature and elements of a contract as well as its terms and obligations. They also need to apply a sound knowledge of the way contracts are developed, terminated or assigned, to identify the parties involved and their </w:t>
      </w:r>
      <w:r w:rsidRPr="000F7BB5">
        <w:t>rights and obligations under the contract to make decisions regarding liability.</w:t>
      </w:r>
    </w:p>
    <w:p w:rsidR="00000000" w:rsidRPr="000F7BB5" w:rsidP="000F7BB5">
      <w:pPr>
        <w:pStyle w:val="AllowPageBreak"/>
      </w:pPr>
    </w:p>
    <w:p w:rsidR="00000000" w:rsidRPr="000F7BB5" w:rsidP="000F7BB5">
      <w:pPr>
        <w:pStyle w:val="Heading1"/>
      </w:pPr>
      <w:bookmarkStart w:id="4" w:name="O_499132"/>
      <w:bookmarkEnd w:id="4"/>
      <w:r w:rsidRPr="000F7BB5">
        <w:t>Licensing/Regulatory Information</w:t>
      </w:r>
    </w:p>
    <w:p w:rsidR="00000000" w:rsidRPr="000F7BB5" w:rsidP="000F7BB5">
      <w:pPr>
        <w:pStyle w:val="BodyText"/>
      </w:pPr>
      <w:r w:rsidRPr="000F7BB5">
        <w:t>Not applicable.</w:t>
      </w:r>
    </w:p>
    <w:p w:rsidR="00000000" w:rsidRPr="000F7BB5" w:rsidP="000F7BB5">
      <w:pPr>
        <w:pStyle w:val="AllowPageBreak"/>
      </w:pPr>
    </w:p>
    <w:p w:rsidR="00000000" w:rsidRPr="000F7BB5" w:rsidP="000F7BB5">
      <w:pPr>
        <w:pStyle w:val="Heading1"/>
      </w:pPr>
      <w:bookmarkStart w:id="5" w:name="O_499138"/>
      <w:bookmarkEnd w:id="5"/>
      <w:r w:rsidRPr="000F7BB5">
        <w:t>Pre-Requisites</w:t>
      </w:r>
    </w:p>
    <w:p w:rsidR="00000000" w:rsidRPr="000F7BB5" w:rsidP="000F7BB5">
      <w:pPr>
        <w:pStyle w:val="BodyText"/>
      </w:pPr>
      <w:r w:rsidRPr="000F7BB5">
        <w:t>Not applicable.</w:t>
      </w:r>
    </w:p>
    <w:p w:rsidR="00000000" w:rsidRPr="000F7BB5" w:rsidP="000F7BB5">
      <w:pPr>
        <w:pStyle w:val="AllowPageBreak"/>
      </w:pPr>
    </w:p>
    <w:p w:rsidR="00000000" w:rsidRPr="000F7BB5" w:rsidP="000F7BB5">
      <w:pPr>
        <w:pStyle w:val="Heading1"/>
      </w:pPr>
      <w:bookmarkStart w:id="6" w:name="O_499140"/>
      <w:bookmarkEnd w:id="6"/>
      <w:r w:rsidRPr="000F7BB5">
        <w:t>Employability Skills Information</w:t>
      </w:r>
    </w:p>
    <w:p w:rsidR="00000000" w:rsidRPr="000F7BB5" w:rsidP="000F7BB5">
      <w:pPr>
        <w:pStyle w:val="BodyText"/>
      </w:pPr>
      <w:r w:rsidRPr="000F7BB5">
        <w:t>This unit contains employability skills.</w:t>
      </w:r>
    </w:p>
    <w:p w:rsidR="00000000" w:rsidRPr="000F7BB5" w:rsidP="000F7BB5">
      <w:pPr>
        <w:pStyle w:val="AllowPageBreak"/>
      </w:pPr>
    </w:p>
    <w:p w:rsidR="00000000" w:rsidRPr="000F7BB5" w:rsidP="000F7BB5">
      <w:pPr>
        <w:pStyle w:val="Heading1"/>
      </w:pPr>
      <w:bookmarkStart w:id="7" w:name="O_499141"/>
      <w:bookmarkEnd w:id="7"/>
      <w:r w:rsidRPr="000F7BB5">
        <w:t>Elements and Performance Criteria Pre-Content</w:t>
      </w:r>
    </w:p>
    <w:tbl>
      <w:tblPr>
        <w:tblW w:w="9322" w:type="dxa"/>
        <w:tblLayout w:type="fixed"/>
        <w:tblCellMar>
          <w:left w:w="62" w:type="dxa"/>
          <w:right w:w="62" w:type="dxa"/>
        </w:tblCellMar>
        <w:tblLook w:val="0000"/>
      </w:tblPr>
      <w:tblGrid>
        <w:gridCol w:w="2943"/>
        <w:gridCol w:w="6379"/>
      </w:tblGrid>
      <w:tr w:rsidTr="00B73166">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0F7BB5">
            <w:pPr>
              <w:pStyle w:val="BodyText"/>
              <w:rPr>
                <w:lang w:val="en-NZ"/>
              </w:rPr>
            </w:pPr>
            <w:r w:rsidRPr="000F7BB5">
              <w:t>Elements are the essential outcomes of the unit of competency.</w:t>
            </w:r>
          </w:p>
        </w:tc>
        <w:tc>
          <w:tcPr>
            <w:tcW w:w="6379" w:type="dxa"/>
            <w:tcBorders>
              <w:top w:val="nil"/>
              <w:left w:val="nil"/>
              <w:bottom w:val="nil"/>
              <w:right w:val="nil"/>
            </w:tcBorders>
            <w:tcMar>
              <w:top w:w="0" w:type="dxa"/>
              <w:left w:w="62" w:type="dxa"/>
              <w:bottom w:w="0" w:type="dxa"/>
              <w:right w:w="62" w:type="dxa"/>
            </w:tcMar>
          </w:tcPr>
          <w:p w:rsidR="00000000" w:rsidRPr="000F7BB5" w:rsidP="000F7BB5">
            <w:pPr>
              <w:pStyle w:val="BodyText"/>
            </w:pPr>
            <w:r w:rsidRPr="000F7BB5">
              <w:t xml:space="preserve">Performance criteria describe the required performance needed to demonstrate achievement </w:t>
            </w:r>
            <w:r w:rsidRPr="000F7BB5">
              <w:t xml:space="preserve">of the element. Where </w:t>
            </w:r>
            <w:r w:rsidRPr="000F7BB5">
              <w:rPr>
                <w:rStyle w:val="BoldandItalics"/>
              </w:rPr>
              <w:t xml:space="preserve">bold italicised </w:t>
            </w:r>
            <w:r w:rsidRPr="000F7BB5">
              <w:t>text is used, further information is detailed in the range statement. Assessment of performance is to be consistent with the evidence guide.</w:t>
            </w:r>
          </w:p>
        </w:tc>
      </w:tr>
    </w:tbl>
    <w:p w:rsidR="00000000" w:rsidRPr="000F7BB5" w:rsidP="000F7BB5">
      <w:pPr>
        <w:pStyle w:val="BodyText"/>
      </w:pPr>
    </w:p>
    <w:p w:rsidR="00000000" w:rsidRPr="000F7BB5" w:rsidP="000F7BB5">
      <w:pPr>
        <w:pStyle w:val="AllowPageBreak"/>
      </w:pPr>
    </w:p>
    <w:p w:rsidR="00000000" w:rsidRPr="000F7BB5" w:rsidP="000F7BB5">
      <w:pPr>
        <w:pStyle w:val="Heading1"/>
      </w:pPr>
      <w:bookmarkStart w:id="8" w:name="O_499142"/>
      <w:bookmarkEnd w:id="8"/>
      <w:r w:rsidRPr="000F7BB5">
        <w:t>Elements and Performance Criteria</w:t>
      </w:r>
    </w:p>
    <w:tbl>
      <w:tblPr>
        <w:tblW w:w="9322" w:type="dxa"/>
        <w:tblLayout w:type="fixed"/>
        <w:tblCellMar>
          <w:left w:w="62" w:type="dxa"/>
          <w:right w:w="62" w:type="dxa"/>
        </w:tblCellMar>
        <w:tblLook w:val="0000"/>
      </w:tblPr>
      <w:tblGrid>
        <w:gridCol w:w="2943"/>
        <w:gridCol w:w="6379"/>
      </w:tblGrid>
      <w:tr w:rsidTr="00B73166">
        <w:tblPrEx>
          <w:tblW w:w="9322" w:type="dxa"/>
          <w:tblLayout w:type="fixed"/>
          <w:tblCellMar>
            <w:left w:w="62" w:type="dxa"/>
            <w:right w:w="62" w:type="dxa"/>
          </w:tblCellMar>
          <w:tblLook w:val="0000"/>
        </w:tblPrEx>
        <w:trPr>
          <w:tblHeader/>
        </w:trPr>
        <w:tc>
          <w:tcPr>
            <w:tcW w:w="2943" w:type="dxa"/>
            <w:tcBorders>
              <w:top w:val="nil"/>
              <w:left w:val="nil"/>
              <w:bottom w:val="nil"/>
              <w:right w:val="nil"/>
            </w:tcBorders>
            <w:tcMar>
              <w:top w:w="0" w:type="dxa"/>
              <w:left w:w="62" w:type="dxa"/>
              <w:bottom w:w="0" w:type="dxa"/>
              <w:right w:w="62" w:type="dxa"/>
            </w:tcMar>
          </w:tcPr>
          <w:p w:rsidR="00000000" w:rsidRPr="000F7BB5" w:rsidP="000F7BB5">
            <w:pPr>
              <w:pStyle w:val="BodyText"/>
            </w:pPr>
            <w:r w:rsidRPr="000F7BB5">
              <w:rPr>
                <w:rStyle w:val="SpecialBold"/>
              </w:rPr>
              <w:t>ELEMENT</w:t>
            </w:r>
          </w:p>
        </w:tc>
        <w:tc>
          <w:tcPr>
            <w:tcW w:w="6379" w:type="dxa"/>
            <w:tcBorders>
              <w:top w:val="nil"/>
              <w:left w:val="nil"/>
              <w:bottom w:val="nil"/>
              <w:right w:val="nil"/>
            </w:tcBorders>
            <w:tcMar>
              <w:top w:w="0" w:type="dxa"/>
              <w:left w:w="62" w:type="dxa"/>
              <w:bottom w:w="0" w:type="dxa"/>
              <w:right w:w="62" w:type="dxa"/>
            </w:tcMar>
          </w:tcPr>
          <w:p w:rsidR="00000000" w:rsidP="000F7BB5">
            <w:pPr>
              <w:pStyle w:val="BodyText"/>
              <w:rPr>
                <w:lang w:val="en-NZ"/>
              </w:rPr>
            </w:pPr>
            <w:r w:rsidRPr="000F7BB5">
              <w:rPr>
                <w:rStyle w:val="SpecialBold"/>
              </w:rPr>
              <w:t>PERFORMANCE CRITERIA</w:t>
            </w:r>
          </w:p>
        </w:tc>
      </w:tr>
      <w:tr w:rsidTr="00B73166">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0F7BB5">
            <w:pPr>
              <w:pStyle w:val="List"/>
              <w:rPr>
                <w:lang w:val="en-NZ"/>
              </w:rPr>
            </w:pPr>
            <w:r w:rsidRPr="000F7BB5">
              <w:rPr>
                <w:rStyle w:val="SpecialBold"/>
              </w:rPr>
              <w:t>1</w:t>
            </w:r>
            <w:r w:rsidRPr="000F7BB5">
              <w:t>.</w:t>
            </w:r>
            <w:r w:rsidRPr="000F7BB5">
              <w:tab/>
            </w:r>
            <w:r w:rsidRPr="000F7BB5">
              <w:rPr>
                <w:rStyle w:val="SpecialBold"/>
              </w:rPr>
              <w:t>Identify key features of contracts</w:t>
            </w:r>
          </w:p>
        </w:tc>
        <w:tc>
          <w:tcPr>
            <w:tcW w:w="6379" w:type="dxa"/>
            <w:tcBorders>
              <w:top w:val="nil"/>
              <w:left w:val="nil"/>
              <w:bottom w:val="nil"/>
              <w:right w:val="nil"/>
            </w:tcBorders>
            <w:tcMar>
              <w:top w:w="0" w:type="dxa"/>
              <w:left w:w="62" w:type="dxa"/>
              <w:bottom w:w="0" w:type="dxa"/>
              <w:right w:w="62" w:type="dxa"/>
            </w:tcMar>
          </w:tcPr>
          <w:p w:rsidR="00000000" w:rsidRPr="000F7BB5" w:rsidP="000F7BB5">
            <w:pPr>
              <w:pStyle w:val="List"/>
            </w:pPr>
            <w:r w:rsidRPr="000F7BB5">
              <w:t>1.1</w:t>
            </w:r>
            <w:r w:rsidRPr="000F7BB5">
              <w:tab/>
              <w:t>Contracts are analysed and parties involved in each contract are identified.</w:t>
            </w:r>
          </w:p>
          <w:p w:rsidR="00000000" w:rsidRPr="000F7BB5" w:rsidP="000F7BB5">
            <w:pPr>
              <w:pStyle w:val="List"/>
            </w:pPr>
            <w:r w:rsidRPr="000F7BB5">
              <w:t>1.2</w:t>
            </w:r>
            <w:r w:rsidRPr="000F7BB5">
              <w:tab/>
              <w:t>Legal nature and</w:t>
            </w:r>
            <w:r w:rsidRPr="000F7BB5">
              <w:rPr>
                <w:rStyle w:val="BoldandItalics"/>
              </w:rPr>
              <w:t xml:space="preserve"> elements of contracts</w:t>
            </w:r>
            <w:r w:rsidRPr="000F7BB5">
              <w:t>, terms and obligations are identified in accordance with contract law.</w:t>
            </w:r>
          </w:p>
          <w:p w:rsidR="00000000" w:rsidRPr="000F7BB5" w:rsidP="000F7BB5">
            <w:pPr>
              <w:pStyle w:val="List"/>
            </w:pPr>
            <w:r w:rsidRPr="000F7BB5">
              <w:t>1.3</w:t>
            </w:r>
            <w:r w:rsidRPr="000F7BB5">
              <w:tab/>
            </w:r>
            <w:r w:rsidRPr="000F7BB5">
              <w:rPr>
                <w:rStyle w:val="BoldandItalics"/>
              </w:rPr>
              <w:t>Conditions</w:t>
            </w:r>
            <w:r w:rsidRPr="000F7BB5">
              <w:t xml:space="preserve">, </w:t>
            </w:r>
            <w:r w:rsidRPr="000F7BB5">
              <w:rPr>
                <w:rStyle w:val="BoldandItalics"/>
              </w:rPr>
              <w:t xml:space="preserve">warranties </w:t>
            </w:r>
            <w:r w:rsidRPr="000F7BB5">
              <w:t xml:space="preserve">and </w:t>
            </w:r>
            <w:r w:rsidRPr="000F7BB5">
              <w:rPr>
                <w:rStyle w:val="BoldandItalics"/>
              </w:rPr>
              <w:t xml:space="preserve">contingencies </w:t>
            </w:r>
            <w:r w:rsidRPr="000F7BB5">
              <w:t>identified in the contract are differentiated.</w:t>
            </w:r>
          </w:p>
          <w:p w:rsidR="00000000" w:rsidRPr="000F7BB5" w:rsidP="000F7BB5">
            <w:pPr>
              <w:pStyle w:val="List"/>
            </w:pPr>
            <w:r w:rsidRPr="000F7BB5">
              <w:t>1.4</w:t>
            </w:r>
            <w:r w:rsidRPr="000F7BB5">
              <w:tab/>
              <w:t>Circumstances and consequences of terminating contracts are identified.</w:t>
            </w:r>
          </w:p>
          <w:p w:rsidR="00000000" w:rsidP="000F7BB5">
            <w:pPr>
              <w:pStyle w:val="List"/>
              <w:rPr>
                <w:lang w:val="en-NZ"/>
              </w:rPr>
            </w:pPr>
            <w:r w:rsidRPr="000F7BB5">
              <w:t>1.5</w:t>
            </w:r>
            <w:r w:rsidRPr="000F7BB5">
              <w:tab/>
              <w:t>If contractual rights have been assigned, assignment is confirmed as valid in accord</w:t>
            </w:r>
            <w:r w:rsidRPr="000F7BB5">
              <w:t>ance with applicable legal principles.</w:t>
            </w:r>
          </w:p>
        </w:tc>
      </w:tr>
      <w:tr w:rsidTr="00B73166">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0F7BB5">
            <w:pPr>
              <w:pStyle w:val="List"/>
              <w:rPr>
                <w:lang w:val="en-NZ"/>
              </w:rPr>
            </w:pPr>
            <w:r w:rsidRPr="000F7BB5">
              <w:rPr>
                <w:rStyle w:val="SpecialBold"/>
              </w:rPr>
              <w:t>2</w:t>
            </w:r>
            <w:r w:rsidRPr="000F7BB5">
              <w:t xml:space="preserve">. </w:t>
            </w:r>
            <w:r w:rsidRPr="000F7BB5">
              <w:tab/>
            </w:r>
            <w:r w:rsidRPr="000F7BB5">
              <w:rPr>
                <w:rStyle w:val="SpecialBold"/>
              </w:rPr>
              <w:t>Assess contracts for eligibility and liability</w:t>
            </w:r>
          </w:p>
        </w:tc>
        <w:tc>
          <w:tcPr>
            <w:tcW w:w="6379" w:type="dxa"/>
            <w:tcBorders>
              <w:top w:val="nil"/>
              <w:left w:val="nil"/>
              <w:bottom w:val="nil"/>
              <w:right w:val="nil"/>
            </w:tcBorders>
            <w:tcMar>
              <w:top w:w="0" w:type="dxa"/>
              <w:left w:w="62" w:type="dxa"/>
              <w:bottom w:w="0" w:type="dxa"/>
              <w:right w:w="62" w:type="dxa"/>
            </w:tcMar>
          </w:tcPr>
          <w:p w:rsidR="00000000" w:rsidRPr="000F7BB5" w:rsidP="000F7BB5">
            <w:pPr>
              <w:pStyle w:val="List"/>
            </w:pPr>
            <w:r w:rsidRPr="000F7BB5">
              <w:t>2.1</w:t>
            </w:r>
            <w:r w:rsidRPr="000F7BB5">
              <w:tab/>
              <w:t xml:space="preserve">Contracts are analysed in accordance with criteria using a legislative decision making process. </w:t>
            </w:r>
          </w:p>
          <w:p w:rsidR="00000000" w:rsidRPr="000F7BB5" w:rsidP="000F7BB5">
            <w:pPr>
              <w:pStyle w:val="List"/>
            </w:pPr>
            <w:r w:rsidRPr="000F7BB5">
              <w:t>2.2</w:t>
            </w:r>
            <w:r w:rsidRPr="000F7BB5">
              <w:tab/>
              <w:t>Eligibility or liability of contracts is confirmed or denied</w:t>
            </w:r>
            <w:r w:rsidRPr="000F7BB5">
              <w:t xml:space="preserve"> in accordance with applicable statute law and case law.</w:t>
            </w:r>
          </w:p>
          <w:p w:rsidR="00000000" w:rsidRPr="000F7BB5" w:rsidP="000F7BB5">
            <w:pPr>
              <w:pStyle w:val="List"/>
            </w:pPr>
            <w:r w:rsidRPr="000F7BB5">
              <w:t>2.3</w:t>
            </w:r>
            <w:r w:rsidRPr="000F7BB5">
              <w:tab/>
              <w:t>Decisions are made and notified to customers in accordance with organisational policy and procedures.</w:t>
            </w:r>
          </w:p>
        </w:tc>
      </w:tr>
    </w:tbl>
    <w:p w:rsidR="00000000" w:rsidRPr="000F7BB5" w:rsidP="000F7BB5">
      <w:pPr>
        <w:pStyle w:val="BodyText"/>
      </w:pPr>
    </w:p>
    <w:p w:rsidR="00000000" w:rsidRPr="000F7BB5" w:rsidP="000F7BB5">
      <w:pPr>
        <w:pStyle w:val="AllowPageBreak"/>
      </w:pPr>
    </w:p>
    <w:p w:rsidR="00000000" w:rsidRPr="000F7BB5" w:rsidP="000F7BB5">
      <w:pPr>
        <w:pStyle w:val="Heading1"/>
      </w:pPr>
      <w:bookmarkStart w:id="9" w:name="O_499135"/>
      <w:bookmarkEnd w:id="9"/>
      <w:r w:rsidRPr="000F7BB5">
        <w:t>Required Skills and Knowledge</w:t>
      </w:r>
    </w:p>
    <w:tbl>
      <w:tblPr>
        <w:tblW w:w="9322" w:type="dxa"/>
        <w:tblLayout w:type="fixed"/>
        <w:tblCellMar>
          <w:left w:w="62" w:type="dxa"/>
          <w:right w:w="62" w:type="dxa"/>
        </w:tblCellMar>
        <w:tblLook w:val="0000"/>
      </w:tblPr>
      <w:tblGrid>
        <w:gridCol w:w="9322"/>
      </w:tblGrid>
      <w:tr w:rsidTr="00B73166">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P="000F7BB5">
            <w:pPr>
              <w:pStyle w:val="BodyText"/>
              <w:rPr>
                <w:lang w:val="en-NZ"/>
              </w:rPr>
            </w:pPr>
            <w:r w:rsidRPr="000F7BB5">
              <w:t>This section describes the ess</w:t>
            </w:r>
            <w:r w:rsidRPr="000F7BB5">
              <w:t>ential skills and knowledge and their level, required for this unit.</w:t>
            </w:r>
          </w:p>
        </w:tc>
      </w:tr>
      <w:tr w:rsidTr="00B73166">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0F7BB5" w:rsidP="000F7BB5">
            <w:pPr>
              <w:pStyle w:val="BodyText"/>
            </w:pPr>
            <w:r w:rsidRPr="000F7BB5">
              <w:rPr>
                <w:rStyle w:val="SpecialBold"/>
              </w:rPr>
              <w:t>Required skills</w:t>
            </w:r>
            <w:r w:rsidRPr="000F7BB5">
              <w:t>:</w:t>
            </w:r>
          </w:p>
          <w:p w:rsidR="00000000" w:rsidRPr="000F7BB5" w:rsidP="000F7BB5">
            <w:pPr>
              <w:pStyle w:val="BodyText"/>
            </w:pPr>
            <w:r w:rsidRPr="000F7BB5">
              <w:t>Look for evidence that confirms skills in:</w:t>
            </w:r>
          </w:p>
          <w:p w:rsidR="00000000" w:rsidRPr="000F7BB5" w:rsidP="000F7BB5">
            <w:pPr>
              <w:pStyle w:val="ListBullet2"/>
            </w:pPr>
            <w:r w:rsidRPr="000F7BB5">
              <w:t>reading and analysing complex and formal documents, such as contracts, legislation and related materials and applying them to</w:t>
            </w:r>
            <w:r w:rsidRPr="000F7BB5">
              <w:t xml:space="preserve"> work situations</w:t>
            </w:r>
          </w:p>
          <w:p w:rsidR="00000000" w:rsidRPr="000F7BB5" w:rsidP="000F7BB5">
            <w:pPr>
              <w:pStyle w:val="ListBullet2"/>
            </w:pPr>
            <w:r w:rsidRPr="000F7BB5">
              <w:t>communicating with others involving exchanges of complex information when gathering information and notifying customers of decisions relating to obligations that have arisen in relation to contracts</w:t>
            </w:r>
          </w:p>
          <w:p w:rsidR="00000000" w:rsidRPr="000F7BB5" w:rsidP="000F7BB5">
            <w:pPr>
              <w:pStyle w:val="ListBullet2"/>
            </w:pPr>
            <w:r w:rsidRPr="000F7BB5">
              <w:t>using technology to conduct research, ma</w:t>
            </w:r>
            <w:r w:rsidRPr="000F7BB5">
              <w:t>ke enquiries, review available data, access legislative requirements and record outcomes</w:t>
            </w:r>
          </w:p>
          <w:p w:rsidR="00000000" w:rsidRPr="000F7BB5" w:rsidP="000F7BB5">
            <w:pPr>
              <w:pStyle w:val="ListBullet2"/>
            </w:pPr>
            <w:r w:rsidRPr="000F7BB5">
              <w:t>responding to diversity, including gender and disability, when dealing with customers</w:t>
            </w:r>
          </w:p>
          <w:p w:rsidR="00000000" w:rsidP="000F7BB5">
            <w:pPr>
              <w:pStyle w:val="ListBullet2"/>
              <w:rPr>
                <w:lang w:val="en-NZ"/>
              </w:rPr>
            </w:pPr>
            <w:r w:rsidRPr="000F7BB5">
              <w:t>applying environmental and occupational health and safety procedures to administr</w:t>
            </w:r>
            <w:r w:rsidRPr="000F7BB5">
              <w:t>ative work and when dealing with customers</w:t>
            </w:r>
          </w:p>
        </w:tc>
      </w:tr>
      <w:tr w:rsidTr="00B73166">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0F7BB5" w:rsidP="000F7BB5">
            <w:pPr>
              <w:pStyle w:val="BodyText"/>
            </w:pPr>
            <w:r w:rsidRPr="000F7BB5">
              <w:rPr>
                <w:rStyle w:val="SpecialBold"/>
              </w:rPr>
              <w:t>Required knowledge</w:t>
            </w:r>
            <w:r w:rsidRPr="000F7BB5">
              <w:t>:</w:t>
            </w:r>
          </w:p>
          <w:p w:rsidR="00000000" w:rsidRPr="000F7BB5" w:rsidP="000F7BB5">
            <w:pPr>
              <w:pStyle w:val="BodyText"/>
            </w:pPr>
            <w:r w:rsidRPr="000F7BB5">
              <w:t>Look for evidence that confirms knowledge and understanding of:</w:t>
            </w:r>
          </w:p>
          <w:p w:rsidR="00000000" w:rsidRPr="000F7BB5" w:rsidP="000F7BB5">
            <w:pPr>
              <w:pStyle w:val="ListBullet2"/>
            </w:pPr>
            <w:r w:rsidRPr="000F7BB5">
              <w:t>sources of contract law</w:t>
            </w:r>
          </w:p>
          <w:p w:rsidR="00000000" w:rsidRPr="000F7BB5" w:rsidP="000F7BB5">
            <w:pPr>
              <w:pStyle w:val="ListBullet2"/>
            </w:pPr>
            <w:r w:rsidRPr="000F7BB5">
              <w:t>rules of construction of contracts</w:t>
            </w:r>
          </w:p>
          <w:p w:rsidR="00000000" w:rsidRPr="000F7BB5" w:rsidP="000F7BB5">
            <w:pPr>
              <w:pStyle w:val="ListBullet2"/>
            </w:pPr>
            <w:r w:rsidRPr="000F7BB5">
              <w:t>privacy doctrine of contracts</w:t>
            </w:r>
          </w:p>
          <w:p w:rsidR="00000000" w:rsidRPr="000F7BB5" w:rsidP="000F7BB5">
            <w:pPr>
              <w:pStyle w:val="ListBullet2"/>
            </w:pPr>
            <w:r w:rsidRPr="000F7BB5">
              <w:t>what may constitute a breach of contract</w:t>
            </w:r>
          </w:p>
          <w:p w:rsidR="00000000" w:rsidRPr="000F7BB5" w:rsidP="000F7BB5">
            <w:pPr>
              <w:pStyle w:val="ListBullet2"/>
            </w:pPr>
            <w:r w:rsidRPr="000F7BB5">
              <w:t>termination of contract, e.g. by consent, by frustration, etc.</w:t>
            </w:r>
          </w:p>
          <w:p w:rsidR="00000000" w:rsidRPr="000F7BB5" w:rsidP="000F7BB5">
            <w:pPr>
              <w:pStyle w:val="ListBullet2"/>
            </w:pPr>
            <w:r w:rsidRPr="000F7BB5">
              <w:t>legislative decision making process</w:t>
            </w:r>
          </w:p>
          <w:p w:rsidR="00000000" w:rsidRPr="000F7BB5" w:rsidP="000F7BB5">
            <w:pPr>
              <w:pStyle w:val="ListBullet2"/>
            </w:pPr>
            <w:r w:rsidRPr="000F7BB5">
              <w:t>principles applicable to assignment of contractual rights</w:t>
            </w:r>
          </w:p>
          <w:p w:rsidR="00000000" w:rsidRPr="000F7BB5" w:rsidP="000F7BB5">
            <w:pPr>
              <w:pStyle w:val="ListBullet2"/>
            </w:pPr>
            <w:r w:rsidRPr="000F7BB5">
              <w:t>confidentiality provisions</w:t>
            </w:r>
          </w:p>
        </w:tc>
      </w:tr>
    </w:tbl>
    <w:p w:rsidR="00000000" w:rsidRPr="000F7BB5" w:rsidP="000F7BB5">
      <w:pPr>
        <w:pStyle w:val="BodyText"/>
      </w:pPr>
    </w:p>
    <w:p w:rsidR="00000000" w:rsidRPr="000F7BB5" w:rsidP="000F7BB5">
      <w:pPr>
        <w:pStyle w:val="AllowPageBreak"/>
      </w:pPr>
    </w:p>
    <w:p w:rsidR="00000000" w:rsidRPr="000F7BB5" w:rsidP="000F7BB5">
      <w:pPr>
        <w:pStyle w:val="Heading1"/>
      </w:pPr>
      <w:bookmarkStart w:id="10" w:name="O_499137"/>
      <w:bookmarkEnd w:id="10"/>
      <w:r w:rsidRPr="000F7BB5">
        <w:t>Evidence Gui</w:t>
      </w:r>
      <w:r w:rsidRPr="000F7BB5">
        <w:t>de</w:t>
      </w:r>
    </w:p>
    <w:tbl>
      <w:tblPr>
        <w:tblW w:w="9322" w:type="dxa"/>
        <w:tblLayout w:type="fixed"/>
        <w:tblCellMar>
          <w:left w:w="62" w:type="dxa"/>
          <w:right w:w="62" w:type="dxa"/>
        </w:tblCellMar>
        <w:tblLook w:val="0000"/>
      </w:tblPr>
      <w:tblGrid>
        <w:gridCol w:w="2660"/>
        <w:gridCol w:w="6662"/>
      </w:tblGrid>
      <w:tr w:rsidTr="00B7316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F7BB5">
            <w:pPr>
              <w:pStyle w:val="BodyText"/>
              <w:rPr>
                <w:lang w:val="en-NZ"/>
              </w:rPr>
            </w:pPr>
            <w:r w:rsidRPr="000F7BB5">
              <w:t xml:space="preserve">The Evidence Guide specifies the evidence required to demonstrate achievement in the unit of competency as a whole. It must be read in conjunction with the unit descriptor, performance criteria, The range statement and the Assessment Guidelines for the </w:t>
            </w:r>
            <w:r w:rsidRPr="000F7BB5">
              <w:t>Public Sector Training Package.</w:t>
            </w:r>
          </w:p>
        </w:tc>
      </w:tr>
      <w:tr w:rsidTr="00B7316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F7BB5">
            <w:pPr>
              <w:pStyle w:val="BodyText"/>
              <w:rPr>
                <w:lang w:val="en-NZ"/>
              </w:rPr>
            </w:pPr>
            <w:r w:rsidRPr="000F7BB5">
              <w:rPr>
                <w:rStyle w:val="SpecialBold"/>
              </w:rPr>
              <w:t>Units to be assessed together</w:t>
            </w:r>
            <w:r w:rsidRPr="000F7BB5">
              <w:t xml:space="preserve"> </w:t>
            </w:r>
          </w:p>
        </w:tc>
        <w:tc>
          <w:tcPr>
            <w:tcW w:w="6662" w:type="dxa"/>
            <w:tcBorders>
              <w:top w:val="nil"/>
              <w:left w:val="nil"/>
              <w:bottom w:val="nil"/>
              <w:right w:val="nil"/>
            </w:tcBorders>
            <w:tcMar>
              <w:top w:w="0" w:type="dxa"/>
              <w:left w:w="62" w:type="dxa"/>
              <w:bottom w:w="0" w:type="dxa"/>
              <w:right w:w="62" w:type="dxa"/>
            </w:tcMar>
          </w:tcPr>
          <w:p w:rsidR="00000000" w:rsidRPr="000F7BB5" w:rsidP="000F7BB5">
            <w:pPr>
              <w:pStyle w:val="BodyText"/>
            </w:pPr>
            <w:r w:rsidRPr="000F7BB5">
              <w:t>Co-assessed units that may be assessed with this unit to increase the efficiency and realism of the assessment process include:</w:t>
            </w:r>
          </w:p>
          <w:p w:rsidR="00000000" w:rsidRPr="000F7BB5" w:rsidP="000F7BB5">
            <w:pPr>
              <w:pStyle w:val="ListBullet2"/>
            </w:pPr>
            <w:r w:rsidRPr="000F7BB5">
              <w:t>PSPETHC401A Uphold and support the values and principles of public service</w:t>
            </w:r>
          </w:p>
          <w:p w:rsidR="00000000" w:rsidRPr="000F7BB5" w:rsidP="000F7BB5">
            <w:pPr>
              <w:pStyle w:val="ListBullet2"/>
            </w:pPr>
            <w:r w:rsidRPr="000F7BB5">
              <w:t>PSPREV401A Identify and apply statute law</w:t>
            </w:r>
          </w:p>
          <w:p w:rsidR="00000000" w:rsidRPr="000F7BB5" w:rsidP="000F7BB5">
            <w:pPr>
              <w:pStyle w:val="ListBullet2"/>
            </w:pPr>
            <w:r w:rsidRPr="000F7BB5">
              <w:t>PSPREV402A Undertake legislative decision making</w:t>
            </w:r>
          </w:p>
          <w:p w:rsidR="00000000" w:rsidRPr="000F7BB5" w:rsidP="000F7BB5">
            <w:pPr>
              <w:pStyle w:val="ListBullet2"/>
            </w:pPr>
            <w:r w:rsidRPr="000F7BB5">
              <w:t>PSPREV403A Manage information on legal entities, relationships and property</w:t>
            </w:r>
          </w:p>
          <w:p w:rsidR="00000000" w:rsidRPr="000F7BB5" w:rsidP="000F7BB5">
            <w:pPr>
              <w:pStyle w:val="ListBullet2"/>
            </w:pPr>
            <w:r w:rsidRPr="000F7BB5">
              <w:t>PSPREV405A Ass</w:t>
            </w:r>
            <w:r w:rsidRPr="000F7BB5">
              <w:t>ess applications for grants, subsidies and rebates</w:t>
            </w:r>
          </w:p>
          <w:p w:rsidR="00000000" w:rsidP="000F7BB5">
            <w:pPr>
              <w:pStyle w:val="ListBullet2"/>
              <w:rPr>
                <w:lang w:val="en-NZ"/>
              </w:rPr>
            </w:pPr>
            <w:r w:rsidRPr="000F7BB5">
              <w:t>PSPGOV402B Deliver and monitor service to clients</w:t>
            </w:r>
          </w:p>
        </w:tc>
      </w:tr>
      <w:tr w:rsidTr="00B7316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F7BB5">
            <w:pPr>
              <w:pStyle w:val="BodyText"/>
              <w:rPr>
                <w:lang w:val="en-NZ"/>
              </w:rPr>
            </w:pPr>
            <w:r w:rsidRPr="000F7BB5">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0F7BB5" w:rsidP="000F7BB5">
            <w:pPr>
              <w:pStyle w:val="BodyText"/>
            </w:pPr>
            <w:r w:rsidRPr="000F7BB5">
              <w:t>In addition to integrated demonstration of the elements and their related performance criteria, look for evidence that confirms:</w:t>
            </w:r>
          </w:p>
          <w:p w:rsidR="00000000" w:rsidRPr="000F7BB5" w:rsidP="000F7BB5">
            <w:pPr>
              <w:pStyle w:val="ListBullet2"/>
            </w:pPr>
            <w:r w:rsidRPr="000F7BB5">
              <w:t xml:space="preserve">knowledge requirements of this unit </w:t>
            </w:r>
          </w:p>
          <w:p w:rsidR="00000000" w:rsidRPr="000F7BB5" w:rsidP="000F7BB5">
            <w:pPr>
              <w:pStyle w:val="ListBullet2"/>
            </w:pPr>
            <w:r w:rsidRPr="000F7BB5">
              <w:t>skill requirements of this unit</w:t>
            </w:r>
          </w:p>
          <w:p w:rsidR="00000000" w:rsidRPr="000F7BB5" w:rsidP="000F7BB5">
            <w:pPr>
              <w:pStyle w:val="ListBullet2"/>
            </w:pPr>
            <w:r w:rsidRPr="000F7BB5">
              <w:t>application of employability skills as they relate to thi</w:t>
            </w:r>
            <w:r w:rsidRPr="000F7BB5">
              <w:t>s unit</w:t>
            </w:r>
          </w:p>
          <w:p w:rsidR="00000000" w:rsidP="000F7BB5">
            <w:pPr>
              <w:pStyle w:val="BodyText"/>
              <w:rPr>
                <w:lang w:val="en-NZ"/>
              </w:rPr>
            </w:pPr>
            <w:r w:rsidRPr="000F7BB5">
              <w:t>The assessment environment should not disadvantage the candidate and where the person has a disability the principle of reasonable adjustment should be applied during assessment.</w:t>
            </w:r>
          </w:p>
        </w:tc>
      </w:tr>
      <w:tr w:rsidTr="00B7316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F7BB5">
            <w:pPr>
              <w:pStyle w:val="BodyText"/>
              <w:rPr>
                <w:lang w:val="en-NZ"/>
              </w:rPr>
            </w:pPr>
            <w:r w:rsidRPr="000F7BB5">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0F7BB5" w:rsidP="000F7BB5">
            <w:pPr>
              <w:pStyle w:val="BodyText"/>
            </w:pPr>
            <w:r w:rsidRPr="000F7BB5">
              <w:t>These resources include:</w:t>
            </w:r>
          </w:p>
          <w:p w:rsidR="00000000" w:rsidRPr="000F7BB5" w:rsidP="000F7BB5">
            <w:pPr>
              <w:pStyle w:val="ListBullet2"/>
            </w:pPr>
            <w:r w:rsidRPr="000F7BB5">
              <w:t>legislative decision making process</w:t>
            </w:r>
          </w:p>
          <w:p w:rsidR="00000000" w:rsidRPr="000F7BB5" w:rsidP="000F7BB5">
            <w:pPr>
              <w:pStyle w:val="ListBullet2"/>
            </w:pPr>
            <w:r w:rsidRPr="000F7BB5">
              <w:t>government legislation, regulations, rulings, Commissioner's practices and other applicable case law relating to contracts</w:t>
            </w:r>
          </w:p>
          <w:p w:rsidR="00000000" w:rsidRPr="000F7BB5" w:rsidP="000F7BB5">
            <w:pPr>
              <w:pStyle w:val="ListBullet2"/>
            </w:pPr>
            <w:r w:rsidRPr="000F7BB5">
              <w:t>organisational procedures and protocols relating to interpretation and assessment of contracts</w:t>
            </w:r>
          </w:p>
          <w:p w:rsidR="00000000" w:rsidRPr="000F7BB5" w:rsidP="000F7BB5">
            <w:pPr>
              <w:pStyle w:val="ListBullet2"/>
            </w:pPr>
            <w:r w:rsidRPr="000F7BB5">
              <w:t>sc</w:t>
            </w:r>
            <w:r w:rsidRPr="000F7BB5">
              <w:t>enarios and case studies to capture the range of situations likely to be encountered when interpreting and assessing contracts</w:t>
            </w:r>
          </w:p>
          <w:p w:rsidR="00000000" w:rsidP="000F7BB5">
            <w:pPr>
              <w:pStyle w:val="ListBullet2"/>
              <w:rPr>
                <w:lang w:val="en-NZ"/>
              </w:rPr>
            </w:pPr>
            <w:r w:rsidRPr="000F7BB5">
              <w:t>access to relevant systems</w:t>
            </w:r>
          </w:p>
        </w:tc>
      </w:tr>
      <w:tr w:rsidTr="00B7316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F7BB5">
            <w:pPr>
              <w:pStyle w:val="BodyText"/>
              <w:rPr>
                <w:lang w:val="en-NZ"/>
              </w:rPr>
            </w:pPr>
            <w:r w:rsidRPr="000F7BB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0F7BB5" w:rsidP="000F7BB5">
            <w:pPr>
              <w:pStyle w:val="BodyText"/>
            </w:pPr>
            <w:r w:rsidRPr="000F7BB5">
              <w:t xml:space="preserve">Valid assessment of this unit requires: </w:t>
            </w:r>
          </w:p>
          <w:p w:rsidR="00000000" w:rsidRPr="000F7BB5" w:rsidP="000F7BB5">
            <w:pPr>
              <w:pStyle w:val="ListBullet2"/>
            </w:pPr>
            <w:r w:rsidRPr="000F7BB5">
              <w:t>a workplace environment</w:t>
            </w:r>
            <w:r w:rsidRPr="000F7BB5">
              <w:t xml:space="preserve"> or one that closely resembles normal work practice and replicates the range of conditions likely to be encountered when interpreting and assessing contracts, including coping with difficulties, irregularities and breakdowns in routine</w:t>
            </w:r>
          </w:p>
          <w:p w:rsidR="00000000" w:rsidRPr="000F7BB5" w:rsidP="000F7BB5">
            <w:pPr>
              <w:pStyle w:val="ListBullet2"/>
            </w:pPr>
            <w:r w:rsidRPr="000F7BB5">
              <w:t>interpretation and a</w:t>
            </w:r>
            <w:r w:rsidRPr="000F7BB5">
              <w:t>ssessment of contracts in a range of three or more contexts or occasions, over time</w:t>
            </w:r>
          </w:p>
          <w:p w:rsidR="00000000" w:rsidRPr="000F7BB5" w:rsidP="000F7BB5">
            <w:pPr>
              <w:pStyle w:val="BodyText"/>
            </w:pPr>
            <w:r w:rsidRPr="000F7BB5">
              <w:t>Assessment methods should reflect but not exceed workplace demands, such as literacy, and the needs of individuals who might be disadvantaged.</w:t>
            </w:r>
          </w:p>
          <w:p w:rsidR="00000000" w:rsidRPr="000F7BB5" w:rsidP="000F7BB5">
            <w:pPr>
              <w:pStyle w:val="BodyText"/>
            </w:pPr>
            <w:r w:rsidRPr="000F7BB5">
              <w:t>Assessment methods suitable f</w:t>
            </w:r>
            <w:r w:rsidRPr="000F7BB5">
              <w:t xml:space="preserve">or valid and reliable assessment of this unit must use authenticated evidence from the workplace and/or training courses and may include a combination of two or more of: </w:t>
            </w:r>
          </w:p>
          <w:p w:rsidR="00000000" w:rsidRPr="000F7BB5" w:rsidP="000F7BB5">
            <w:pPr>
              <w:pStyle w:val="ListBullet2"/>
            </w:pPr>
            <w:r w:rsidRPr="000F7BB5">
              <w:t>workplace projects</w:t>
            </w:r>
          </w:p>
          <w:p w:rsidR="00000000" w:rsidRPr="000F7BB5" w:rsidP="000F7BB5">
            <w:pPr>
              <w:pStyle w:val="ListBullet2"/>
            </w:pPr>
            <w:r w:rsidRPr="000F7BB5">
              <w:t>simulation or role plays</w:t>
            </w:r>
          </w:p>
          <w:p w:rsidR="00000000" w:rsidRPr="000F7BB5" w:rsidP="000F7BB5">
            <w:pPr>
              <w:pStyle w:val="ListBullet2"/>
            </w:pPr>
            <w:r w:rsidRPr="000F7BB5">
              <w:t>case studies and scenarios</w:t>
            </w:r>
          </w:p>
          <w:p w:rsidR="00000000" w:rsidRPr="000F7BB5" w:rsidP="000F7BB5">
            <w:pPr>
              <w:pStyle w:val="ListBullet2"/>
            </w:pPr>
            <w:r w:rsidRPr="000F7BB5">
              <w:t>portfolios</w:t>
            </w:r>
          </w:p>
          <w:p w:rsidR="00000000" w:rsidP="000F7BB5">
            <w:pPr>
              <w:pStyle w:val="BodyText"/>
              <w:rPr>
                <w:lang w:val="en-NZ"/>
              </w:rPr>
            </w:pPr>
            <w:r w:rsidRPr="000F7BB5">
              <w:t>Th</w:t>
            </w:r>
            <w:r w:rsidRPr="000F7BB5">
              <w:t>e assessment environment should not disadvantage the candidate and where the person has a disability the principle of reasonable adjustment should be applied during assessment.</w:t>
            </w:r>
          </w:p>
        </w:tc>
      </w:tr>
      <w:tr w:rsidTr="00B7316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F7BB5">
            <w:pPr>
              <w:pStyle w:val="BodyText"/>
              <w:rPr>
                <w:lang w:val="en-NZ"/>
              </w:rPr>
            </w:pPr>
            <w:r w:rsidRPr="000F7BB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0F7BB5" w:rsidP="000F7BB5">
            <w:pPr>
              <w:pStyle w:val="BodyText"/>
            </w:pPr>
            <w:r w:rsidRPr="000F7BB5">
              <w:t>Evidence must be gathered over time in a range of contexts to ensure the person can achieve the unit outcome and apply the competency in different situations or environments.</w:t>
            </w:r>
          </w:p>
        </w:tc>
      </w:tr>
    </w:tbl>
    <w:p w:rsidR="00000000" w:rsidRPr="000F7BB5" w:rsidP="000F7BB5">
      <w:pPr>
        <w:pStyle w:val="BodyText"/>
      </w:pPr>
    </w:p>
    <w:p w:rsidR="00000000" w:rsidRPr="000F7BB5" w:rsidP="000F7BB5">
      <w:pPr>
        <w:pStyle w:val="AllowPageBreak"/>
      </w:pPr>
    </w:p>
    <w:p w:rsidR="00000000" w:rsidRPr="000F7BB5" w:rsidP="000F7BB5">
      <w:pPr>
        <w:pStyle w:val="Heading1"/>
      </w:pPr>
      <w:bookmarkStart w:id="11" w:name="O_499131"/>
      <w:bookmarkEnd w:id="11"/>
      <w:r w:rsidRPr="000F7BB5">
        <w:t>Range Statement</w:t>
      </w:r>
    </w:p>
    <w:tbl>
      <w:tblPr>
        <w:tblW w:w="9322" w:type="dxa"/>
        <w:tblLayout w:type="fixed"/>
        <w:tblCellMar>
          <w:left w:w="62" w:type="dxa"/>
          <w:right w:w="62" w:type="dxa"/>
        </w:tblCellMar>
        <w:tblLook w:val="0000"/>
      </w:tblPr>
      <w:tblGrid>
        <w:gridCol w:w="2660"/>
        <w:gridCol w:w="6662"/>
      </w:tblGrid>
      <w:tr w:rsidTr="00B7316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F7BB5">
            <w:pPr>
              <w:pStyle w:val="BodyText"/>
              <w:rPr>
                <w:lang w:val="en-NZ"/>
              </w:rPr>
            </w:pPr>
            <w:r w:rsidRPr="000F7BB5">
              <w:t>The range statement provides information about</w:t>
            </w:r>
            <w:r w:rsidRPr="000F7BB5">
              <w:t xml:space="preserve"> the context in which the unit of competency is carried out. The variables cater for differences between States and Territories and the Commonwealth, and between organisations and workplaces. They allow for different work requirements, work practices and k</w:t>
            </w:r>
            <w:r w:rsidRPr="000F7BB5">
              <w:t xml:space="preserve">nowledge. The range statement also provides a focus for assessment. It relates to the unit as a whole. Text in </w:t>
            </w:r>
            <w:r w:rsidRPr="000F7BB5">
              <w:rPr>
                <w:rStyle w:val="Emphasis"/>
              </w:rPr>
              <w:t>italics</w:t>
            </w:r>
            <w:r w:rsidRPr="000F7BB5">
              <w:t xml:space="preserve"> in the Performance criteria is explained here.</w:t>
            </w:r>
          </w:p>
        </w:tc>
      </w:tr>
      <w:tr w:rsidTr="00B7316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F7BB5">
            <w:pPr>
              <w:pStyle w:val="BodyText"/>
              <w:rPr>
                <w:lang w:val="en-NZ"/>
              </w:rPr>
            </w:pPr>
            <w:r w:rsidRPr="000F7BB5">
              <w:rPr>
                <w:rStyle w:val="BoldandItalics"/>
              </w:rPr>
              <w:t>Elements of a contract</w:t>
            </w:r>
            <w:r w:rsidRPr="000F7BB5">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0F7BB5" w:rsidP="000F7BB5">
            <w:pPr>
              <w:pStyle w:val="ListBullet2"/>
            </w:pPr>
            <w:r w:rsidRPr="000F7BB5">
              <w:t>parameters of agreement</w:t>
            </w:r>
          </w:p>
          <w:p w:rsidR="00000000" w:rsidRPr="000F7BB5" w:rsidP="000F7BB5">
            <w:pPr>
              <w:pStyle w:val="ListBullet2"/>
            </w:pPr>
            <w:r w:rsidRPr="000F7BB5">
              <w:t>consideration</w:t>
            </w:r>
          </w:p>
          <w:p w:rsidR="00000000" w:rsidRPr="000F7BB5" w:rsidP="000F7BB5">
            <w:pPr>
              <w:pStyle w:val="ListBullet2"/>
            </w:pPr>
            <w:r w:rsidRPr="000F7BB5">
              <w:t>intention to create legal relations</w:t>
            </w:r>
          </w:p>
          <w:p w:rsidR="00000000" w:rsidP="000F7BB5">
            <w:pPr>
              <w:pStyle w:val="ListBullet2"/>
              <w:rPr>
                <w:lang w:val="en-NZ"/>
              </w:rPr>
            </w:pPr>
            <w:r w:rsidRPr="000F7BB5">
              <w:t>impartiality</w:t>
            </w:r>
          </w:p>
        </w:tc>
      </w:tr>
      <w:tr w:rsidTr="00B7316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F7BB5">
            <w:pPr>
              <w:pStyle w:val="BodyText"/>
              <w:rPr>
                <w:lang w:val="en-NZ"/>
              </w:rPr>
            </w:pPr>
            <w:r w:rsidRPr="000F7BB5">
              <w:rPr>
                <w:rStyle w:val="BoldandItalics"/>
              </w:rPr>
              <w:t>Conditions</w:t>
            </w:r>
            <w:r w:rsidRPr="000F7BB5">
              <w:t xml:space="preserve"> are:</w:t>
            </w:r>
          </w:p>
        </w:tc>
        <w:tc>
          <w:tcPr>
            <w:tcW w:w="6662" w:type="dxa"/>
            <w:tcBorders>
              <w:top w:val="nil"/>
              <w:left w:val="nil"/>
              <w:bottom w:val="nil"/>
              <w:right w:val="nil"/>
            </w:tcBorders>
            <w:tcMar>
              <w:top w:w="0" w:type="dxa"/>
              <w:left w:w="62" w:type="dxa"/>
              <w:bottom w:w="0" w:type="dxa"/>
              <w:right w:w="62" w:type="dxa"/>
            </w:tcMar>
          </w:tcPr>
          <w:p w:rsidR="00000000" w:rsidP="000F7BB5">
            <w:pPr>
              <w:pStyle w:val="ListBullet2"/>
              <w:rPr>
                <w:lang w:val="en-NZ"/>
              </w:rPr>
            </w:pPr>
            <w:r w:rsidRPr="000F7BB5">
              <w:t>important contractual terms in a contract where a breach deprives the innocent party of substantially the whole intended benefit from the contract, and allows the party to terminate the con</w:t>
            </w:r>
            <w:r w:rsidRPr="000F7BB5">
              <w:t>tract and sue for damages</w:t>
            </w:r>
          </w:p>
        </w:tc>
      </w:tr>
      <w:tr w:rsidTr="00B7316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F7BB5">
            <w:pPr>
              <w:pStyle w:val="BodyText"/>
              <w:rPr>
                <w:lang w:val="en-NZ"/>
              </w:rPr>
            </w:pPr>
            <w:r w:rsidRPr="000F7BB5">
              <w:rPr>
                <w:rStyle w:val="BoldandItalics"/>
              </w:rPr>
              <w:t>Warranties</w:t>
            </w:r>
            <w:r w:rsidRPr="000F7BB5">
              <w:t xml:space="preserve"> are:</w:t>
            </w:r>
          </w:p>
        </w:tc>
        <w:tc>
          <w:tcPr>
            <w:tcW w:w="6662" w:type="dxa"/>
            <w:tcBorders>
              <w:top w:val="nil"/>
              <w:left w:val="nil"/>
              <w:bottom w:val="nil"/>
              <w:right w:val="nil"/>
            </w:tcBorders>
            <w:tcMar>
              <w:top w:w="0" w:type="dxa"/>
              <w:left w:w="62" w:type="dxa"/>
              <w:bottom w:w="0" w:type="dxa"/>
              <w:right w:w="62" w:type="dxa"/>
            </w:tcMar>
          </w:tcPr>
          <w:p w:rsidR="00000000" w:rsidP="000F7BB5">
            <w:pPr>
              <w:pStyle w:val="ListBullet2"/>
              <w:rPr>
                <w:lang w:val="en-NZ"/>
              </w:rPr>
            </w:pPr>
            <w:r w:rsidRPr="000F7BB5">
              <w:t>less important terms in a contract where a breach will not deprive the innocent party of substantially the whole intended benefit from the contract, and will only entitle the innocent party to sue for damages</w:t>
            </w:r>
          </w:p>
        </w:tc>
      </w:tr>
      <w:tr w:rsidTr="00B7316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F7BB5">
            <w:pPr>
              <w:pStyle w:val="BodyText"/>
              <w:rPr>
                <w:lang w:val="en-NZ"/>
              </w:rPr>
            </w:pPr>
            <w:r w:rsidRPr="000F7BB5">
              <w:rPr>
                <w:rStyle w:val="BoldandItalics"/>
              </w:rPr>
              <w:t>Co</w:t>
            </w:r>
            <w:r w:rsidRPr="000F7BB5">
              <w:rPr>
                <w:rStyle w:val="BoldandItalics"/>
              </w:rPr>
              <w:t>ntingencies</w:t>
            </w:r>
            <w:r w:rsidRPr="000F7BB5">
              <w:t xml:space="preserve"> are:</w:t>
            </w:r>
          </w:p>
        </w:tc>
        <w:tc>
          <w:tcPr>
            <w:tcW w:w="6662" w:type="dxa"/>
            <w:tcBorders>
              <w:top w:val="nil"/>
              <w:left w:val="nil"/>
              <w:bottom w:val="nil"/>
              <w:right w:val="nil"/>
            </w:tcBorders>
            <w:tcMar>
              <w:top w:w="0" w:type="dxa"/>
              <w:left w:w="62" w:type="dxa"/>
              <w:bottom w:w="0" w:type="dxa"/>
              <w:right w:w="62" w:type="dxa"/>
            </w:tcMar>
          </w:tcPr>
          <w:p w:rsidR="00000000" w:rsidRPr="000F7BB5" w:rsidP="000F7BB5">
            <w:pPr>
              <w:pStyle w:val="ListBullet2"/>
            </w:pPr>
            <w:r w:rsidRPr="000F7BB5">
              <w:t>obligations that are conditional upon the happening of a prescribed event</w:t>
            </w:r>
          </w:p>
        </w:tc>
      </w:tr>
    </w:tbl>
    <w:p w:rsidR="00B73166" w:rsidP="000F7BB5">
      <w:pPr>
        <w:pStyle w:val="BodyText"/>
      </w:pPr>
    </w:p>
    <w:p w:rsidR="00B73166" w:rsidP="000F7BB5">
      <w:pPr>
        <w:pStyle w:val="BodyText"/>
      </w:pPr>
    </w:p>
    <w:p w:rsidR="00000000" w:rsidRPr="000F7BB5" w:rsidP="000F7BB5">
      <w:pPr>
        <w:pStyle w:val="Heading1"/>
      </w:pPr>
      <w:bookmarkStart w:id="12" w:name="O_499139"/>
      <w:bookmarkEnd w:id="12"/>
      <w:r w:rsidRPr="000F7BB5">
        <w:t>Unit Sector(s)</w:t>
      </w:r>
    </w:p>
    <w:p w:rsidR="00000000" w:rsidRPr="000F7BB5" w:rsidP="000F7BB5">
      <w:pPr>
        <w:pStyle w:val="BodyText"/>
      </w:pPr>
      <w:r w:rsidRPr="000F7BB5">
        <w:t>Not applicable.</w:t>
      </w:r>
    </w:p>
    <w:p w:rsidR="00000000" w:rsidRPr="000F7BB5" w:rsidP="000F7BB5">
      <w:pPr>
        <w:pStyle w:val="AllowPageBreak"/>
      </w:pPr>
    </w:p>
    <w:p w:rsidR="00000000" w:rsidRPr="000F7BB5" w:rsidP="000F7BB5">
      <w:pPr>
        <w:pStyle w:val="Heading1"/>
      </w:pPr>
      <w:bookmarkStart w:id="13" w:name="O_499144"/>
      <w:bookmarkEnd w:id="13"/>
      <w:r w:rsidRPr="000F7BB5">
        <w:t>Competency field</w:t>
      </w:r>
    </w:p>
    <w:p w:rsidR="00000000" w:rsidRPr="000F7BB5" w:rsidP="000F7BB5">
      <w:pPr>
        <w:pStyle w:val="BodyText"/>
      </w:pPr>
      <w:r w:rsidRPr="000F7BB5">
        <w:t>Revenue Administration.</w:t>
      </w:r>
    </w:p>
    <w:p w:rsidR="00000000" w:rsidRPr="000F7BB5" w:rsidP="000F7BB5"/>
    <w:sectPr w:rsidSect="000F7B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166" w:rsidP="00B7316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166" w:rsidP="000F7B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73166" w:rsidP="000F7B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73166" w:rsidP="000F7B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B5" w:rsidRPr="00B73166" w:rsidP="00B731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166" w:rsidRPr="002D2AF8" w:rsidP="000F7BB5">
    <w:pPr>
      <w:pStyle w:val="Header"/>
      <w:framePr w:wrap="around"/>
    </w:pPr>
    <w:r>
      <w:fldChar w:fldCharType="begin"/>
    </w:r>
    <w:r>
      <w:instrText xml:space="preserve"> TITLE   \* MERGEFORMAT </w:instrText>
    </w:r>
    <w:r>
      <w:fldChar w:fldCharType="separate"/>
    </w:r>
    <w:r>
      <w:t>PSPREV404A Interpret and assess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B73166" w:rsidP="000F7B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E88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B282D7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B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7BB5"/>
    <w:pPr>
      <w:spacing w:before="360" w:after="60"/>
      <w:outlineLvl w:val="0"/>
    </w:pPr>
    <w:rPr>
      <w:sz w:val="32"/>
    </w:rPr>
  </w:style>
  <w:style w:type="paragraph" w:styleId="Heading2">
    <w:name w:val="heading 2"/>
    <w:basedOn w:val="HeadingBase"/>
    <w:next w:val="BodyText"/>
    <w:link w:val="Heading2Char"/>
    <w:qFormat/>
    <w:rsid w:val="000F7BB5"/>
    <w:pPr>
      <w:keepLines/>
      <w:spacing w:before="240" w:after="120"/>
      <w:outlineLvl w:val="1"/>
    </w:pPr>
    <w:rPr>
      <w:sz w:val="28"/>
      <w:szCs w:val="40"/>
    </w:rPr>
  </w:style>
  <w:style w:type="paragraph" w:styleId="Heading3">
    <w:name w:val="heading 3"/>
    <w:basedOn w:val="HeadingBase"/>
    <w:next w:val="BodyText"/>
    <w:link w:val="Heading3Char"/>
    <w:qFormat/>
    <w:rsid w:val="000F7BB5"/>
    <w:pPr>
      <w:spacing w:before="180" w:after="120"/>
      <w:outlineLvl w:val="2"/>
    </w:pPr>
    <w:rPr>
      <w:spacing w:val="-10"/>
      <w:kern w:val="32"/>
    </w:rPr>
  </w:style>
  <w:style w:type="paragraph" w:styleId="Heading4">
    <w:name w:val="heading 4"/>
    <w:basedOn w:val="HeadingBase"/>
    <w:next w:val="BodyText"/>
    <w:link w:val="Heading4Char"/>
    <w:qFormat/>
    <w:rsid w:val="000F7BB5"/>
    <w:pPr>
      <w:spacing w:before="160" w:after="120"/>
      <w:outlineLvl w:val="3"/>
    </w:pPr>
    <w:rPr>
      <w:sz w:val="22"/>
    </w:rPr>
  </w:style>
  <w:style w:type="paragraph" w:styleId="Heading5">
    <w:name w:val="heading 5"/>
    <w:basedOn w:val="HeadingBase"/>
    <w:next w:val="Normal"/>
    <w:link w:val="Heading5Char"/>
    <w:qFormat/>
    <w:rsid w:val="000F7BB5"/>
    <w:pPr>
      <w:spacing w:before="80"/>
      <w:outlineLvl w:val="4"/>
    </w:pPr>
    <w:rPr>
      <w:color w:val="918585"/>
      <w:sz w:val="20"/>
    </w:rPr>
  </w:style>
  <w:style w:type="paragraph" w:styleId="Heading6">
    <w:name w:val="heading 6"/>
    <w:basedOn w:val="HeadingBase"/>
    <w:next w:val="Normal"/>
    <w:link w:val="Heading6Char"/>
    <w:qFormat/>
    <w:rsid w:val="000F7BB5"/>
    <w:pPr>
      <w:spacing w:before="60"/>
      <w:outlineLvl w:val="5"/>
    </w:pPr>
    <w:rPr>
      <w:color w:val="918585"/>
      <w:sz w:val="20"/>
    </w:rPr>
  </w:style>
  <w:style w:type="paragraph" w:styleId="Heading7">
    <w:name w:val="heading 7"/>
    <w:basedOn w:val="Normal"/>
    <w:next w:val="Normal"/>
    <w:link w:val="Heading7Char"/>
    <w:qFormat/>
    <w:rsid w:val="000F7BB5"/>
    <w:pPr>
      <w:ind w:left="720"/>
      <w:outlineLvl w:val="6"/>
    </w:pPr>
    <w:rPr>
      <w:i/>
    </w:rPr>
  </w:style>
  <w:style w:type="paragraph" w:styleId="Heading8">
    <w:name w:val="heading 8"/>
    <w:basedOn w:val="Normal"/>
    <w:next w:val="Normal"/>
    <w:link w:val="Heading8Char"/>
    <w:qFormat/>
    <w:rsid w:val="000F7BB5"/>
    <w:pPr>
      <w:ind w:left="720"/>
      <w:outlineLvl w:val="7"/>
    </w:pPr>
    <w:rPr>
      <w:i/>
    </w:rPr>
  </w:style>
  <w:style w:type="paragraph" w:styleId="Heading9">
    <w:name w:val="heading 9"/>
    <w:basedOn w:val="Normal"/>
    <w:next w:val="Normal"/>
    <w:link w:val="Heading9Char"/>
    <w:qFormat/>
    <w:rsid w:val="000F7BB5"/>
    <w:pPr>
      <w:ind w:left="720"/>
      <w:outlineLvl w:val="8"/>
    </w:pPr>
    <w:rPr>
      <w:i/>
    </w:rPr>
  </w:style>
  <w:style w:type="character" w:default="1" w:styleId="DefaultParagraphFont">
    <w:name w:val="Default Paragraph Font"/>
    <w:uiPriority w:val="1"/>
    <w:unhideWhenUsed/>
    <w:rsid w:val="000F7B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BB5"/>
  </w:style>
  <w:style w:type="character" w:customStyle="1" w:styleId="Heading1Char">
    <w:name w:val="Heading 1 Char"/>
    <w:basedOn w:val="DefaultParagraphFont"/>
    <w:link w:val="Heading1"/>
    <w:rsid w:val="000F7BB5"/>
    <w:rPr>
      <w:rFonts w:ascii="Times New Roman" w:eastAsia="Times New Roman" w:hAnsi="Times New Roman" w:cs="Times New Roman"/>
      <w:b/>
      <w:sz w:val="32"/>
      <w:szCs w:val="20"/>
      <w:lang w:eastAsia="en-US"/>
    </w:rPr>
  </w:style>
  <w:style w:type="paragraph" w:styleId="BodyText">
    <w:name w:val="Body Text"/>
    <w:basedOn w:val="Normal"/>
    <w:link w:val="BodyTextChar"/>
    <w:rsid w:val="000F7B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7BB5"/>
    <w:rPr>
      <w:rFonts w:ascii="Times New Roman" w:eastAsia="Times New Roman" w:hAnsi="Times New Roman" w:cs="Times New Roman"/>
      <w:sz w:val="24"/>
      <w:lang w:eastAsia="en-US"/>
    </w:rPr>
  </w:style>
  <w:style w:type="paragraph" w:styleId="Footer">
    <w:name w:val="footer"/>
    <w:basedOn w:val="Normal"/>
    <w:link w:val="FooterChar"/>
    <w:rsid w:val="000F7B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BB5"/>
    <w:rPr>
      <w:rFonts w:ascii="Times New Roman" w:eastAsia="Times New Roman" w:hAnsi="Times New Roman" w:cs="Times New Roman"/>
      <w:sz w:val="16"/>
      <w:lang w:eastAsia="en-US"/>
    </w:rPr>
  </w:style>
  <w:style w:type="paragraph" w:styleId="List">
    <w:name w:val="List"/>
    <w:basedOn w:val="BodyText"/>
    <w:next w:val="BodyText"/>
    <w:rsid w:val="000F7BB5"/>
    <w:pPr>
      <w:tabs>
        <w:tab w:val="left" w:pos="340"/>
      </w:tabs>
      <w:spacing w:before="60" w:after="60"/>
      <w:ind w:left="340" w:hanging="340"/>
    </w:pPr>
  </w:style>
  <w:style w:type="character" w:customStyle="1" w:styleId="SpecialBold">
    <w:name w:val="Special Bold"/>
    <w:basedOn w:val="DefaultParagraphFont"/>
    <w:rsid w:val="000F7BB5"/>
    <w:rPr>
      <w:b/>
      <w:spacing w:val="0"/>
    </w:rPr>
  </w:style>
  <w:style w:type="paragraph" w:styleId="ListBullet2">
    <w:name w:val="List Bullet 2"/>
    <w:basedOn w:val="List2"/>
    <w:rsid w:val="000F7BB5"/>
    <w:pPr>
      <w:numPr>
        <w:numId w:val="13"/>
      </w:numPr>
      <w:tabs>
        <w:tab w:val="clear" w:pos="680"/>
      </w:tabs>
    </w:pPr>
  </w:style>
  <w:style w:type="character" w:styleId="Emphasis">
    <w:name w:val="Emphasis"/>
    <w:basedOn w:val="DefaultParagraphFont"/>
    <w:qFormat/>
    <w:rsid w:val="000F7BB5"/>
    <w:rPr>
      <w:i/>
    </w:rPr>
  </w:style>
  <w:style w:type="paragraph" w:customStyle="1" w:styleId="SuperHeading">
    <w:name w:val="SuperHeading"/>
    <w:basedOn w:val="Normal"/>
    <w:rsid w:val="000F7BB5"/>
    <w:pPr>
      <w:spacing w:before="240" w:after="120"/>
      <w:outlineLvl w:val="0"/>
    </w:pPr>
    <w:rPr>
      <w:rFonts w:ascii="Times New Roman" w:hAnsi="Times New Roman"/>
      <w:b/>
      <w:sz w:val="28"/>
    </w:rPr>
  </w:style>
  <w:style w:type="paragraph" w:customStyle="1" w:styleId="AllowPageBreak">
    <w:name w:val="AllowPageBreak"/>
    <w:rsid w:val="000F7B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7BB5"/>
    <w:rPr>
      <w:b/>
      <w:i/>
      <w:u w:val="none"/>
    </w:rPr>
  </w:style>
  <w:style w:type="character" w:customStyle="1" w:styleId="Heading2Char">
    <w:name w:val="Heading 2 Char"/>
    <w:basedOn w:val="DefaultParagraphFont"/>
    <w:link w:val="Heading2"/>
    <w:rsid w:val="000F7B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B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B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B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B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B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7B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7BB5"/>
    <w:rPr>
      <w:rFonts w:ascii="Courier New" w:eastAsia="Times New Roman" w:hAnsi="Courier New" w:cs="Times New Roman"/>
      <w:i/>
      <w:szCs w:val="20"/>
      <w:lang w:eastAsia="en-US"/>
    </w:rPr>
  </w:style>
  <w:style w:type="paragraph" w:customStyle="1" w:styleId="HeadingBase">
    <w:name w:val="Heading Base"/>
    <w:rsid w:val="000F7B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BB5"/>
    <w:pPr>
      <w:tabs>
        <w:tab w:val="right" w:leader="dot" w:pos="9072"/>
      </w:tabs>
      <w:ind w:left="567"/>
    </w:pPr>
    <w:rPr>
      <w:szCs w:val="22"/>
    </w:rPr>
  </w:style>
  <w:style w:type="paragraph" w:customStyle="1" w:styleId="TOCBase">
    <w:name w:val="TOC Base"/>
    <w:rsid w:val="000F7B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BB5"/>
    <w:pPr>
      <w:tabs>
        <w:tab w:val="right" w:leader="dot" w:pos="9072"/>
      </w:tabs>
      <w:spacing w:before="40" w:after="40"/>
      <w:ind w:left="284"/>
    </w:pPr>
    <w:rPr>
      <w:rFonts w:ascii="Times New Roman" w:hAnsi="Times New Roman"/>
    </w:rPr>
  </w:style>
  <w:style w:type="paragraph" w:styleId="TOC1">
    <w:name w:val="toc 1"/>
    <w:basedOn w:val="TOCBase"/>
    <w:next w:val="Normal"/>
    <w:rsid w:val="000F7B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7BB5"/>
    <w:pPr>
      <w:spacing w:before="5040"/>
      <w:jc w:val="center"/>
    </w:pPr>
    <w:rPr>
      <w:sz w:val="48"/>
      <w:szCs w:val="72"/>
      <w:lang w:val="en-US"/>
    </w:rPr>
  </w:style>
  <w:style w:type="character" w:customStyle="1" w:styleId="TitleChar">
    <w:name w:val="Title Char"/>
    <w:basedOn w:val="DefaultParagraphFont"/>
    <w:link w:val="Title"/>
    <w:rsid w:val="000F7B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BB5"/>
    <w:pPr>
      <w:tabs>
        <w:tab w:val="left" w:pos="3600"/>
        <w:tab w:val="left" w:pos="3958"/>
      </w:tabs>
    </w:pPr>
  </w:style>
  <w:style w:type="paragraph" w:styleId="ListBullet">
    <w:name w:val="List Bullet"/>
    <w:basedOn w:val="List"/>
    <w:rsid w:val="000F7BB5"/>
    <w:pPr>
      <w:numPr>
        <w:numId w:val="12"/>
      </w:numPr>
      <w:tabs>
        <w:tab w:val="clear" w:pos="340"/>
      </w:tabs>
      <w:spacing w:before="40" w:after="40"/>
    </w:pPr>
  </w:style>
  <w:style w:type="paragraph" w:customStyle="1" w:styleId="Note">
    <w:name w:val="Note"/>
    <w:basedOn w:val="BodyText"/>
    <w:rsid w:val="000F7B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BB5"/>
    <w:pPr>
      <w:framePr w:wrap="auto" w:hAnchor="text" w:y="6049"/>
    </w:pPr>
    <w:rPr>
      <w:color w:val="000000"/>
      <w:sz w:val="40"/>
    </w:rPr>
  </w:style>
  <w:style w:type="paragraph" w:customStyle="1" w:styleId="TOCTitle">
    <w:name w:val="TOCTitle"/>
    <w:basedOn w:val="Heading1"/>
    <w:rsid w:val="000F7BB5"/>
    <w:pPr>
      <w:spacing w:after="240"/>
      <w:jc w:val="center"/>
      <w:outlineLvl w:val="9"/>
    </w:pPr>
    <w:rPr>
      <w:caps/>
    </w:rPr>
  </w:style>
  <w:style w:type="paragraph" w:customStyle="1" w:styleId="Version">
    <w:name w:val="Version"/>
    <w:rsid w:val="000F7B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BB5"/>
    <w:pPr>
      <w:keepNext w:val="0"/>
      <w:tabs>
        <w:tab w:val="right" w:pos="4176"/>
      </w:tabs>
      <w:ind w:left="198" w:hanging="198"/>
    </w:pPr>
    <w:rPr>
      <w:rFonts w:ascii="Garamond" w:hAnsi="Garamond"/>
    </w:rPr>
  </w:style>
  <w:style w:type="paragraph" w:styleId="IndexHeading">
    <w:name w:val="index heading"/>
    <w:basedOn w:val="Normal"/>
    <w:next w:val="Index1"/>
    <w:semiHidden/>
    <w:rsid w:val="000F7BB5"/>
    <w:pPr>
      <w:spacing w:before="120" w:after="120"/>
    </w:pPr>
    <w:rPr>
      <w:rFonts w:ascii="Arial" w:hAnsi="Arial"/>
      <w:b/>
      <w:color w:val="918585"/>
      <w:sz w:val="24"/>
    </w:rPr>
  </w:style>
  <w:style w:type="paragraph" w:styleId="Header">
    <w:name w:val="header"/>
    <w:basedOn w:val="Normal"/>
    <w:link w:val="HeaderChar"/>
    <w:rsid w:val="000F7B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BB5"/>
    <w:rPr>
      <w:rFonts w:ascii="Times New Roman" w:eastAsia="Times New Roman" w:hAnsi="Times New Roman" w:cs="Times New Roman"/>
      <w:sz w:val="16"/>
      <w:szCs w:val="20"/>
      <w:lang w:val="en-GB" w:eastAsia="en-US"/>
    </w:rPr>
  </w:style>
  <w:style w:type="paragraph" w:customStyle="1" w:styleId="Chapter">
    <w:name w:val="Chapter"/>
    <w:basedOn w:val="Normal"/>
    <w:rsid w:val="000F7BB5"/>
    <w:pPr>
      <w:spacing w:before="240"/>
    </w:pPr>
    <w:rPr>
      <w:rFonts w:ascii="Times New Roman" w:hAnsi="Times New Roman"/>
      <w:smallCaps/>
      <w:spacing w:val="80"/>
      <w:sz w:val="28"/>
    </w:rPr>
  </w:style>
  <w:style w:type="paragraph" w:customStyle="1" w:styleId="InChapter">
    <w:name w:val="InChapter"/>
    <w:basedOn w:val="Heading3"/>
    <w:rsid w:val="000F7BB5"/>
    <w:pPr>
      <w:spacing w:after="240"/>
      <w:outlineLvl w:val="9"/>
    </w:pPr>
    <w:rPr>
      <w:noProof/>
    </w:rPr>
  </w:style>
  <w:style w:type="paragraph" w:styleId="Index2">
    <w:name w:val="index 2"/>
    <w:basedOn w:val="Normal"/>
    <w:next w:val="Normal"/>
    <w:semiHidden/>
    <w:rsid w:val="000F7BB5"/>
    <w:pPr>
      <w:tabs>
        <w:tab w:val="right" w:pos="4176"/>
      </w:tabs>
      <w:ind w:left="568" w:hanging="284"/>
    </w:pPr>
    <w:rPr>
      <w:rFonts w:ascii="Garamond" w:hAnsi="Garamond"/>
    </w:rPr>
  </w:style>
  <w:style w:type="paragraph" w:customStyle="1" w:styleId="Byline">
    <w:name w:val="Byline"/>
    <w:rsid w:val="000F7B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BB5"/>
    <w:pPr>
      <w:tabs>
        <w:tab w:val="clear" w:pos="3600"/>
        <w:tab w:val="clear" w:pos="3958"/>
      </w:tabs>
      <w:jc w:val="right"/>
    </w:pPr>
  </w:style>
  <w:style w:type="paragraph" w:styleId="Caption">
    <w:name w:val="caption"/>
    <w:basedOn w:val="BodyText"/>
    <w:next w:val="Normal"/>
    <w:qFormat/>
    <w:rsid w:val="000F7BB5"/>
    <w:pPr>
      <w:framePr w:w="2268" w:hSpace="181" w:vSpace="181" w:wrap="around" w:vAnchor="text" w:hAnchor="page" w:x="1135" w:y="285" w:anchorLock="1"/>
    </w:pPr>
    <w:rPr>
      <w:i/>
    </w:rPr>
  </w:style>
  <w:style w:type="paragraph" w:customStyle="1" w:styleId="MiniTOCTitle">
    <w:name w:val="MiniTOCTitle"/>
    <w:basedOn w:val="Heading4"/>
    <w:rsid w:val="000F7BB5"/>
    <w:pPr>
      <w:spacing w:before="240"/>
      <w:outlineLvl w:val="9"/>
    </w:pPr>
    <w:rPr>
      <w:noProof/>
      <w:sz w:val="24"/>
    </w:rPr>
  </w:style>
  <w:style w:type="paragraph" w:customStyle="1" w:styleId="MiniTOCItem">
    <w:name w:val="MiniTOCItem"/>
    <w:basedOn w:val="ListBullet"/>
    <w:rsid w:val="000F7BB5"/>
    <w:pPr>
      <w:numPr>
        <w:numId w:val="0"/>
      </w:numPr>
      <w:tabs>
        <w:tab w:val="right" w:leader="dot" w:pos="6521"/>
      </w:tabs>
      <w:spacing w:before="0" w:after="0"/>
    </w:pPr>
  </w:style>
  <w:style w:type="paragraph" w:customStyle="1" w:styleId="TOFTitle">
    <w:name w:val="TOFTitle"/>
    <w:basedOn w:val="TOCTitle"/>
    <w:rsid w:val="000F7BB5"/>
  </w:style>
  <w:style w:type="paragraph" w:styleId="TableofFigures">
    <w:name w:val="table of figures"/>
    <w:basedOn w:val="Normal"/>
    <w:next w:val="Normal"/>
    <w:semiHidden/>
    <w:rsid w:val="000F7BB5"/>
    <w:pPr>
      <w:tabs>
        <w:tab w:val="right" w:leader="dot" w:pos="9072"/>
      </w:tabs>
      <w:ind w:left="970" w:hanging="403"/>
    </w:pPr>
    <w:rPr>
      <w:rFonts w:ascii="Times New Roman" w:hAnsi="Times New Roman"/>
      <w:b/>
    </w:rPr>
  </w:style>
  <w:style w:type="paragraph" w:styleId="ListNumber">
    <w:name w:val="List Number"/>
    <w:basedOn w:val="List"/>
    <w:rsid w:val="000F7BB5"/>
    <w:pPr>
      <w:numPr>
        <w:numId w:val="10"/>
      </w:numPr>
    </w:pPr>
  </w:style>
  <w:style w:type="character" w:customStyle="1" w:styleId="WingdingSymbols">
    <w:name w:val="Wingding Symbols"/>
    <w:rsid w:val="000F7BB5"/>
    <w:rPr>
      <w:rFonts w:ascii="Wingdings" w:hAnsi="Wingdings"/>
    </w:rPr>
  </w:style>
  <w:style w:type="paragraph" w:customStyle="1" w:styleId="TableHeading">
    <w:name w:val="Table Heading"/>
    <w:basedOn w:val="HeadingBase"/>
    <w:rsid w:val="000F7BB5"/>
    <w:pPr>
      <w:keepLines/>
      <w:pBdr>
        <w:bottom w:val="single" w:sz="6" w:space="1" w:color="918585"/>
      </w:pBdr>
      <w:spacing w:before="240"/>
    </w:pPr>
  </w:style>
  <w:style w:type="character" w:customStyle="1" w:styleId="HotSpot">
    <w:name w:val="HotSpot"/>
    <w:rsid w:val="000F7BB5"/>
    <w:rPr>
      <w:color w:val="0033CC"/>
      <w:u w:val="none"/>
    </w:rPr>
  </w:style>
  <w:style w:type="paragraph" w:customStyle="1" w:styleId="BodyTextRight">
    <w:name w:val="Body Text Right"/>
    <w:basedOn w:val="BodyText"/>
    <w:rsid w:val="000F7BB5"/>
    <w:pPr>
      <w:spacing w:before="0" w:after="0"/>
      <w:jc w:val="right"/>
    </w:pPr>
  </w:style>
  <w:style w:type="paragraph" w:styleId="Index3">
    <w:name w:val="index 3"/>
    <w:basedOn w:val="ListNumber2"/>
    <w:next w:val="Normal"/>
    <w:semiHidden/>
    <w:rsid w:val="000F7BB5"/>
    <w:pPr>
      <w:numPr>
        <w:numId w:val="0"/>
      </w:numPr>
      <w:tabs>
        <w:tab w:val="right" w:leader="dot" w:pos="4176"/>
      </w:tabs>
    </w:pPr>
  </w:style>
  <w:style w:type="paragraph" w:styleId="ListNumber2">
    <w:name w:val="List Number 2"/>
    <w:basedOn w:val="List2"/>
    <w:rsid w:val="000F7BB5"/>
    <w:pPr>
      <w:numPr>
        <w:numId w:val="9"/>
      </w:numPr>
      <w:tabs>
        <w:tab w:val="clear" w:pos="1060"/>
      </w:tabs>
    </w:pPr>
  </w:style>
  <w:style w:type="paragraph" w:customStyle="1" w:styleId="MarginNote">
    <w:name w:val="Margin Note"/>
    <w:basedOn w:val="BodyText"/>
    <w:rsid w:val="000F7B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B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B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7BB5"/>
    <w:rPr>
      <w:sz w:val="32"/>
    </w:rPr>
  </w:style>
  <w:style w:type="paragraph" w:customStyle="1" w:styleId="HeadingProcedure">
    <w:name w:val="Heading Procedure"/>
    <w:basedOn w:val="HeadingBase"/>
    <w:next w:val="Normal"/>
    <w:rsid w:val="000F7BB5"/>
    <w:pPr>
      <w:tabs>
        <w:tab w:val="left" w:pos="0"/>
      </w:tabs>
      <w:spacing w:before="120" w:after="60"/>
    </w:pPr>
    <w:rPr>
      <w:i/>
      <w:color w:val="918585"/>
      <w:sz w:val="22"/>
    </w:rPr>
  </w:style>
  <w:style w:type="paragraph" w:customStyle="1" w:styleId="TableBodyText">
    <w:name w:val="Table Body Text"/>
    <w:basedOn w:val="BodyText"/>
    <w:rsid w:val="000F7BB5"/>
    <w:pPr>
      <w:spacing w:before="60" w:after="60"/>
    </w:pPr>
  </w:style>
  <w:style w:type="paragraph" w:styleId="ListContinue">
    <w:name w:val="List Continue"/>
    <w:basedOn w:val="List"/>
    <w:rsid w:val="000F7BB5"/>
    <w:pPr>
      <w:ind w:firstLine="0"/>
    </w:pPr>
  </w:style>
  <w:style w:type="paragraph" w:customStyle="1" w:styleId="ListNote">
    <w:name w:val="List Note"/>
    <w:basedOn w:val="List"/>
    <w:rsid w:val="000F7BB5"/>
    <w:pPr>
      <w:pBdr>
        <w:top w:val="single" w:sz="6" w:space="2" w:color="918585"/>
        <w:bottom w:val="single" w:sz="6" w:space="2" w:color="918585"/>
      </w:pBdr>
      <w:tabs>
        <w:tab w:val="left" w:pos="1021"/>
      </w:tabs>
      <w:ind w:firstLine="0"/>
    </w:pPr>
  </w:style>
  <w:style w:type="paragraph" w:customStyle="1" w:styleId="Warning">
    <w:name w:val="Warning"/>
    <w:basedOn w:val="BodyText"/>
    <w:rsid w:val="000F7BB5"/>
    <w:pPr>
      <w:shd w:val="clear" w:color="auto" w:fill="D9D9D9"/>
      <w:tabs>
        <w:tab w:val="left" w:pos="992"/>
      </w:tabs>
      <w:ind w:left="119" w:right="119"/>
    </w:pPr>
    <w:rPr>
      <w:sz w:val="20"/>
    </w:rPr>
  </w:style>
  <w:style w:type="paragraph" w:customStyle="1" w:styleId="MarginIcons">
    <w:name w:val="Margin Icons"/>
    <w:basedOn w:val="BodyText"/>
    <w:rsid w:val="000F7B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BB5"/>
    <w:rPr>
      <w:rFonts w:ascii="Courier New" w:hAnsi="Courier New"/>
    </w:rPr>
  </w:style>
  <w:style w:type="paragraph" w:customStyle="1" w:styleId="NoteBullet">
    <w:name w:val="Note Bullet"/>
    <w:basedOn w:val="Note"/>
    <w:rsid w:val="000F7BB5"/>
    <w:pPr>
      <w:tabs>
        <w:tab w:val="clear" w:pos="680"/>
      </w:tabs>
      <w:spacing w:before="60" w:after="60"/>
    </w:pPr>
  </w:style>
  <w:style w:type="paragraph" w:customStyle="1" w:styleId="SubHeading2">
    <w:name w:val="SubHeading2"/>
    <w:basedOn w:val="HeadingBase"/>
    <w:rsid w:val="000F7BB5"/>
    <w:pPr>
      <w:spacing w:before="240" w:after="60"/>
    </w:pPr>
    <w:rPr>
      <w:sz w:val="20"/>
    </w:rPr>
  </w:style>
  <w:style w:type="paragraph" w:customStyle="1" w:styleId="SubHeading1">
    <w:name w:val="SubHeading1"/>
    <w:basedOn w:val="HeadingBase"/>
    <w:rsid w:val="000F7BB5"/>
    <w:pPr>
      <w:spacing w:before="240" w:after="60"/>
    </w:pPr>
    <w:rPr>
      <w:color w:val="918585"/>
      <w:sz w:val="22"/>
    </w:rPr>
  </w:style>
  <w:style w:type="paragraph" w:customStyle="1" w:styleId="SideHeading">
    <w:name w:val="Side Heading"/>
    <w:basedOn w:val="HeadingBase"/>
    <w:rsid w:val="000F7B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BB5"/>
    <w:pPr>
      <w:tabs>
        <w:tab w:val="num" w:pos="360"/>
      </w:tabs>
    </w:pPr>
  </w:style>
  <w:style w:type="paragraph" w:styleId="PlainText">
    <w:name w:val="Plain Text"/>
    <w:basedOn w:val="Normal"/>
    <w:link w:val="PlainTextChar"/>
    <w:rsid w:val="000F7BB5"/>
    <w:rPr>
      <w:sz w:val="20"/>
    </w:rPr>
  </w:style>
  <w:style w:type="character" w:customStyle="1" w:styleId="PlainTextChar">
    <w:name w:val="Plain Text Char"/>
    <w:basedOn w:val="DefaultParagraphFont"/>
    <w:link w:val="PlainText"/>
    <w:rsid w:val="000F7BB5"/>
    <w:rPr>
      <w:rFonts w:ascii="Courier New" w:eastAsia="Times New Roman" w:hAnsi="Courier New" w:cs="Times New Roman"/>
      <w:sz w:val="20"/>
      <w:szCs w:val="20"/>
      <w:lang w:eastAsia="en-US"/>
    </w:rPr>
  </w:style>
  <w:style w:type="character" w:customStyle="1" w:styleId="MenuOption">
    <w:name w:val="Menu Option"/>
    <w:basedOn w:val="DefaultParagraphFont"/>
    <w:rsid w:val="000F7BB5"/>
    <w:rPr>
      <w:b/>
      <w:smallCaps/>
    </w:rPr>
  </w:style>
  <w:style w:type="paragraph" w:customStyle="1" w:styleId="TableListNumber">
    <w:name w:val="Table List Number"/>
    <w:basedOn w:val="ListNumber"/>
    <w:rsid w:val="000F7BB5"/>
    <w:pPr>
      <w:numPr>
        <w:numId w:val="0"/>
      </w:numPr>
    </w:pPr>
  </w:style>
  <w:style w:type="paragraph" w:styleId="TOC4">
    <w:name w:val="toc 4"/>
    <w:basedOn w:val="TOCBase"/>
    <w:next w:val="Normal"/>
    <w:semiHidden/>
    <w:rsid w:val="000F7BB5"/>
    <w:pPr>
      <w:tabs>
        <w:tab w:val="right" w:leader="dot" w:pos="9071"/>
      </w:tabs>
      <w:ind w:left="1701"/>
    </w:pPr>
  </w:style>
  <w:style w:type="paragraph" w:customStyle="1" w:styleId="ListAlpha">
    <w:name w:val="List Alpha"/>
    <w:basedOn w:val="List"/>
    <w:rsid w:val="000F7BB5"/>
    <w:pPr>
      <w:numPr>
        <w:numId w:val="8"/>
      </w:numPr>
    </w:pPr>
  </w:style>
  <w:style w:type="paragraph" w:customStyle="1" w:styleId="ListAlpha2">
    <w:name w:val="List Alpha 2"/>
    <w:basedOn w:val="List2"/>
    <w:rsid w:val="000F7BB5"/>
    <w:pPr>
      <w:numPr>
        <w:numId w:val="7"/>
      </w:numPr>
    </w:pPr>
  </w:style>
  <w:style w:type="paragraph" w:styleId="List2">
    <w:name w:val="List 2"/>
    <w:basedOn w:val="BodyText"/>
    <w:rsid w:val="000F7BB5"/>
    <w:pPr>
      <w:tabs>
        <w:tab w:val="left" w:pos="680"/>
      </w:tabs>
      <w:spacing w:before="60" w:after="60"/>
      <w:ind w:left="680" w:hanging="340"/>
    </w:pPr>
  </w:style>
  <w:style w:type="paragraph" w:styleId="List3">
    <w:name w:val="List 3"/>
    <w:basedOn w:val="BodyText"/>
    <w:rsid w:val="000F7BB5"/>
    <w:pPr>
      <w:tabs>
        <w:tab w:val="left" w:pos="1021"/>
      </w:tabs>
      <w:spacing w:before="60" w:after="60"/>
      <w:ind w:left="1020" w:hanging="340"/>
    </w:pPr>
  </w:style>
  <w:style w:type="paragraph" w:styleId="List4">
    <w:name w:val="List 4"/>
    <w:basedOn w:val="BodyText"/>
    <w:rsid w:val="000F7BB5"/>
    <w:pPr>
      <w:tabs>
        <w:tab w:val="left" w:pos="1361"/>
      </w:tabs>
      <w:spacing w:before="60" w:after="60"/>
      <w:ind w:left="1361" w:hanging="340"/>
    </w:pPr>
  </w:style>
  <w:style w:type="paragraph" w:styleId="List5">
    <w:name w:val="List 5"/>
    <w:basedOn w:val="BodyText"/>
    <w:rsid w:val="000F7BB5"/>
    <w:pPr>
      <w:tabs>
        <w:tab w:val="left" w:pos="1701"/>
      </w:tabs>
      <w:spacing w:before="60" w:after="60"/>
      <w:ind w:left="1701" w:hanging="340"/>
    </w:pPr>
  </w:style>
  <w:style w:type="paragraph" w:styleId="ListBullet3">
    <w:name w:val="List Bullet 3"/>
    <w:basedOn w:val="List3"/>
    <w:rsid w:val="000F7BB5"/>
    <w:pPr>
      <w:numPr>
        <w:numId w:val="14"/>
      </w:numPr>
      <w:tabs>
        <w:tab w:val="clear" w:pos="1021"/>
      </w:tabs>
      <w:ind w:left="1037" w:hanging="357"/>
    </w:pPr>
  </w:style>
  <w:style w:type="paragraph" w:styleId="ListBullet4">
    <w:name w:val="List Bullet 4"/>
    <w:basedOn w:val="List4"/>
    <w:rsid w:val="000F7BB5"/>
    <w:pPr>
      <w:numPr>
        <w:numId w:val="2"/>
      </w:numPr>
    </w:pPr>
  </w:style>
  <w:style w:type="paragraph" w:styleId="ListBullet5">
    <w:name w:val="List Bullet 5"/>
    <w:basedOn w:val="List5"/>
    <w:rsid w:val="000F7BB5"/>
    <w:pPr>
      <w:numPr>
        <w:numId w:val="3"/>
      </w:numPr>
    </w:pPr>
  </w:style>
  <w:style w:type="paragraph" w:styleId="ListContinue2">
    <w:name w:val="List Continue 2"/>
    <w:basedOn w:val="List2"/>
    <w:rsid w:val="000F7BB5"/>
    <w:pPr>
      <w:ind w:firstLine="0"/>
    </w:pPr>
  </w:style>
  <w:style w:type="paragraph" w:styleId="ListContinue3">
    <w:name w:val="List Continue 3"/>
    <w:basedOn w:val="List3"/>
    <w:rsid w:val="000F7BB5"/>
    <w:pPr>
      <w:ind w:left="1021" w:firstLine="0"/>
    </w:pPr>
  </w:style>
  <w:style w:type="paragraph" w:styleId="ListContinue4">
    <w:name w:val="List Continue 4"/>
    <w:basedOn w:val="List4"/>
    <w:rsid w:val="000F7BB5"/>
    <w:pPr>
      <w:ind w:firstLine="0"/>
    </w:pPr>
  </w:style>
  <w:style w:type="paragraph" w:styleId="ListContinue5">
    <w:name w:val="List Continue 5"/>
    <w:basedOn w:val="List5"/>
    <w:rsid w:val="000F7BB5"/>
    <w:pPr>
      <w:ind w:firstLine="0"/>
    </w:pPr>
  </w:style>
  <w:style w:type="paragraph" w:styleId="ListNumber3">
    <w:name w:val="List Number 3"/>
    <w:basedOn w:val="List3"/>
    <w:rsid w:val="000F7BB5"/>
    <w:pPr>
      <w:numPr>
        <w:numId w:val="4"/>
      </w:numPr>
    </w:pPr>
  </w:style>
  <w:style w:type="paragraph" w:styleId="ListNumber4">
    <w:name w:val="List Number 4"/>
    <w:basedOn w:val="List4"/>
    <w:rsid w:val="000F7BB5"/>
    <w:pPr>
      <w:numPr>
        <w:numId w:val="5"/>
      </w:numPr>
    </w:pPr>
  </w:style>
  <w:style w:type="paragraph" w:styleId="ListNumber5">
    <w:name w:val="List Number 5"/>
    <w:basedOn w:val="List5"/>
    <w:rsid w:val="000F7BB5"/>
    <w:pPr>
      <w:numPr>
        <w:numId w:val="6"/>
      </w:numPr>
    </w:pPr>
  </w:style>
  <w:style w:type="paragraph" w:styleId="BlockText">
    <w:name w:val="Block Text"/>
    <w:basedOn w:val="Normal"/>
    <w:rsid w:val="000F7BB5"/>
    <w:pPr>
      <w:spacing w:after="120"/>
      <w:ind w:left="1440" w:right="1440"/>
    </w:pPr>
  </w:style>
  <w:style w:type="character" w:customStyle="1" w:styleId="Subscript">
    <w:name w:val="Subscript"/>
    <w:basedOn w:val="DefaultParagraphFont"/>
    <w:rsid w:val="000F7BB5"/>
    <w:rPr>
      <w:sz w:val="16"/>
      <w:vertAlign w:val="subscript"/>
    </w:rPr>
  </w:style>
  <w:style w:type="character" w:customStyle="1" w:styleId="Superscript">
    <w:name w:val="Superscript"/>
    <w:basedOn w:val="DefaultParagraphFont"/>
    <w:rsid w:val="000F7BB5"/>
    <w:rPr>
      <w:sz w:val="16"/>
      <w:vertAlign w:val="superscript"/>
    </w:rPr>
  </w:style>
  <w:style w:type="character" w:customStyle="1" w:styleId="Symbols">
    <w:name w:val="Symbols"/>
    <w:basedOn w:val="DefaultParagraphFont"/>
    <w:rsid w:val="000F7BB5"/>
    <w:rPr>
      <w:rFonts w:ascii="Symbol" w:hAnsi="Symbol"/>
    </w:rPr>
  </w:style>
  <w:style w:type="character" w:customStyle="1" w:styleId="MenuOptions">
    <w:name w:val="Menu Options"/>
    <w:basedOn w:val="DefaultParagraphFont"/>
    <w:rsid w:val="000F7BB5"/>
    <w:rPr>
      <w:rFonts w:ascii="Arial Narrow" w:hAnsi="Arial Narrow"/>
      <w:smallCaps/>
    </w:rPr>
  </w:style>
  <w:style w:type="character" w:customStyle="1" w:styleId="Buttons">
    <w:name w:val="Buttons"/>
    <w:basedOn w:val="DefaultParagraphFont"/>
    <w:rsid w:val="000F7BB5"/>
    <w:rPr>
      <w:b/>
    </w:rPr>
  </w:style>
  <w:style w:type="character" w:customStyle="1" w:styleId="Underlined">
    <w:name w:val="Underlined"/>
    <w:basedOn w:val="DefaultParagraphFont"/>
    <w:rsid w:val="000F7BB5"/>
    <w:rPr>
      <w:u w:val="single"/>
    </w:rPr>
  </w:style>
  <w:style w:type="paragraph" w:customStyle="1" w:styleId="TableBodyTextRight">
    <w:name w:val="Table Body Text Right"/>
    <w:basedOn w:val="TableBodyText"/>
    <w:rsid w:val="000F7BB5"/>
    <w:pPr>
      <w:widowControl w:val="0"/>
      <w:autoSpaceDE w:val="0"/>
      <w:autoSpaceDN w:val="0"/>
      <w:adjustRightInd w:val="0"/>
      <w:jc w:val="right"/>
    </w:pPr>
    <w:rPr>
      <w:rFonts w:cs="Arial"/>
      <w:szCs w:val="18"/>
    </w:rPr>
  </w:style>
  <w:style w:type="paragraph" w:customStyle="1" w:styleId="CopyrightText">
    <w:name w:val="Copyright Text"/>
    <w:basedOn w:val="BodyText"/>
    <w:rsid w:val="000F7BB5"/>
    <w:rPr>
      <w:sz w:val="18"/>
    </w:rPr>
  </w:style>
  <w:style w:type="paragraph" w:customStyle="1" w:styleId="BodySmallRight">
    <w:name w:val="Body Small Right"/>
    <w:basedOn w:val="BodyTextRight"/>
    <w:rsid w:val="000F7BB5"/>
    <w:rPr>
      <w:sz w:val="18"/>
      <w:szCs w:val="18"/>
    </w:rPr>
  </w:style>
  <w:style w:type="paragraph" w:customStyle="1" w:styleId="MarginEdition">
    <w:name w:val="Margin Edition"/>
    <w:basedOn w:val="MarginNote"/>
    <w:rsid w:val="000F7BB5"/>
    <w:pPr>
      <w:spacing w:before="0" w:after="0"/>
    </w:pPr>
    <w:rPr>
      <w:rFonts w:ascii="Times New Roman" w:hAnsi="Times New Roman"/>
      <w:color w:val="999999"/>
    </w:rPr>
  </w:style>
  <w:style w:type="paragraph" w:customStyle="1" w:styleId="Spacer">
    <w:name w:val="Spacer"/>
    <w:basedOn w:val="Normal"/>
    <w:rsid w:val="000F7BB5"/>
    <w:rPr>
      <w:sz w:val="2"/>
      <w:szCs w:val="2"/>
    </w:rPr>
  </w:style>
  <w:style w:type="character" w:customStyle="1" w:styleId="Small">
    <w:name w:val="Small"/>
    <w:basedOn w:val="DefaultParagraphFont"/>
    <w:rsid w:val="000F7BB5"/>
    <w:rPr>
      <w:sz w:val="16"/>
    </w:rPr>
  </w:style>
  <w:style w:type="paragraph" w:customStyle="1" w:styleId="WideTable">
    <w:name w:val="Wide Table"/>
    <w:basedOn w:val="Normal"/>
    <w:rsid w:val="000F7BB5"/>
    <w:pPr>
      <w:ind w:left="-1418"/>
    </w:pPr>
    <w:rPr>
      <w:sz w:val="2"/>
      <w:szCs w:val="2"/>
    </w:rPr>
  </w:style>
  <w:style w:type="character" w:styleId="PageNumber">
    <w:name w:val="page number"/>
    <w:basedOn w:val="DefaultParagraphFont"/>
    <w:rsid w:val="000F7BB5"/>
  </w:style>
  <w:style w:type="paragraph" w:styleId="Quote">
    <w:name w:val="Quote"/>
    <w:basedOn w:val="Heading1"/>
    <w:link w:val="QuoteChar"/>
    <w:qFormat/>
    <w:rsid w:val="000F7BB5"/>
    <w:rPr>
      <w:b w:val="0"/>
      <w:sz w:val="72"/>
      <w:szCs w:val="72"/>
      <w:lang w:val="en-NZ"/>
    </w:rPr>
  </w:style>
  <w:style w:type="character" w:customStyle="1" w:styleId="QuoteChar">
    <w:name w:val="Quote Char"/>
    <w:basedOn w:val="DefaultParagraphFont"/>
    <w:link w:val="Quote"/>
    <w:rsid w:val="000F7B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BB5"/>
    <w:pPr>
      <w:pageBreakBefore/>
    </w:pPr>
  </w:style>
  <w:style w:type="paragraph" w:customStyle="1" w:styleId="Border">
    <w:name w:val="Border"/>
    <w:basedOn w:val="Normal"/>
    <w:qFormat/>
    <w:rsid w:val="000F7B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BB5"/>
    <w:rPr>
      <w:b/>
      <w:bCs/>
      <w:i/>
      <w:iCs/>
      <w:color w:val="auto"/>
    </w:rPr>
  </w:style>
  <w:style w:type="paragraph" w:styleId="IntenseQuote">
    <w:name w:val="Intense Quote"/>
    <w:basedOn w:val="Normal"/>
    <w:next w:val="Normal"/>
    <w:link w:val="IntenseQuoteChar"/>
    <w:uiPriority w:val="30"/>
    <w:qFormat/>
    <w:rsid w:val="000F7B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B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7BB5"/>
    <w:rPr>
      <w:smallCaps/>
      <w:color w:val="auto"/>
      <w:u w:val="single"/>
    </w:rPr>
  </w:style>
  <w:style w:type="character" w:styleId="IntenseReference">
    <w:name w:val="Intense Reference"/>
    <w:basedOn w:val="DefaultParagraphFont"/>
    <w:uiPriority w:val="32"/>
    <w:qFormat/>
    <w:rsid w:val="000F7BB5"/>
    <w:rPr>
      <w:b/>
      <w:bCs/>
      <w:smallCaps/>
      <w:color w:val="auto"/>
      <w:spacing w:val="5"/>
      <w:u w:val="single"/>
    </w:rPr>
  </w:style>
  <w:style w:type="paragraph" w:customStyle="1" w:styleId="2ColumnHeading">
    <w:name w:val="2Column Heading"/>
    <w:basedOn w:val="BodyText"/>
    <w:qFormat/>
    <w:rsid w:val="000F7BB5"/>
    <w:pPr>
      <w:spacing w:after="60"/>
      <w:ind w:left="-2268"/>
    </w:pPr>
    <w:rPr>
      <w:b/>
    </w:rPr>
  </w:style>
  <w:style w:type="paragraph" w:customStyle="1" w:styleId="Heading1TOC">
    <w:name w:val="Heading1 TOC"/>
    <w:basedOn w:val="Normal"/>
    <w:qFormat/>
    <w:rsid w:val="000F7BB5"/>
    <w:pPr>
      <w:spacing w:before="240" w:after="120"/>
    </w:pPr>
    <w:rPr>
      <w:rFonts w:ascii="Times New Roman" w:hAnsi="Times New Roman"/>
      <w:b/>
      <w:sz w:val="32"/>
    </w:rPr>
  </w:style>
  <w:style w:type="paragraph" w:customStyle="1" w:styleId="Heading2TOC">
    <w:name w:val="Heading2 TOC"/>
    <w:basedOn w:val="Normal"/>
    <w:qFormat/>
    <w:rsid w:val="000F7BB5"/>
    <w:pPr>
      <w:spacing w:before="240" w:after="60"/>
    </w:pPr>
    <w:rPr>
      <w:rFonts w:ascii="Times New Roman" w:hAnsi="Times New Roman"/>
      <w:b/>
      <w:sz w:val="28"/>
    </w:rPr>
  </w:style>
  <w:style w:type="character" w:customStyle="1" w:styleId="Underline">
    <w:name w:val="Underline"/>
    <w:basedOn w:val="DefaultParagraphFont"/>
    <w:qFormat/>
    <w:rsid w:val="000F7BB5"/>
    <w:rPr>
      <w:u w:val="single"/>
    </w:rPr>
  </w:style>
  <w:style w:type="paragraph" w:styleId="BalloonText">
    <w:name w:val="Balloon Text"/>
    <w:basedOn w:val="Normal"/>
    <w:link w:val="BalloonTextChar"/>
    <w:rsid w:val="000F7BB5"/>
    <w:rPr>
      <w:rFonts w:ascii="Tahoma" w:hAnsi="Tahoma" w:cs="Tahoma"/>
      <w:sz w:val="16"/>
      <w:szCs w:val="16"/>
    </w:rPr>
  </w:style>
  <w:style w:type="character" w:customStyle="1" w:styleId="BalloonTextChar">
    <w:name w:val="Balloon Text Char"/>
    <w:basedOn w:val="DefaultParagraphFont"/>
    <w:link w:val="BalloonText"/>
    <w:rsid w:val="000F7B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7B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7B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7BB5"/>
    <w:rPr>
      <w:b/>
      <w:color w:val="660033"/>
      <w:spacing w:val="0"/>
    </w:rPr>
  </w:style>
  <w:style w:type="paragraph" w:customStyle="1" w:styleId="Nameditemlist">
    <w:name w:val="Named item list"/>
    <w:basedOn w:val="BodyText"/>
    <w:qFormat/>
    <w:rsid w:val="000F7B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1239</Words>
  <Characters>7580</Characters>
  <Application>Microsoft Office Word</Application>
  <DocSecurity>0</DocSecurity>
  <Lines>221</Lines>
  <Paragraphs>117</Paragraphs>
  <ScaleCrop>false</ScaleCrop>
  <Company>Author-it Software Corporation Ltd.</Company>
  <LinksUpToDate>false</LinksUpToDate>
  <CharactersWithSpaces>8748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PSPREV404A Interpret and assess contracts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2012-11-01T17:41:00Z</dcterms:created>
  <dcterms:modified xsi:type="dcterms:W3CDTF">2012-11-01T17:41:00Z</dcterms:modified>
</cp:coreProperties>
</file>