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14E1" w:rsidP="001D14E1">
      <w:pPr>
        <w:pStyle w:val="Title"/>
      </w:pPr>
      <w:bookmarkStart w:id="0" w:name="_GoBack"/>
      <w:bookmarkEnd w:id="0"/>
      <w:r>
        <w:fldChar w:fldCharType="begin"/>
      </w:r>
      <w:r>
        <w:instrText xml:space="preserve"> TITLE   \* MERGEFORMAT </w:instrText>
      </w:r>
      <w:r>
        <w:fldChar w:fldCharType="separate"/>
      </w:r>
      <w:r>
        <w:t>PSPREV403A Manage information on legal entities, relationships and property</w:t>
      </w:r>
      <w:r>
        <w:fldChar w:fldCharType="end"/>
      </w:r>
    </w:p>
    <w:p w:rsidR="001D14E1" w:rsidP="001D14E1">
      <w:pPr>
        <w:pStyle w:val="Version"/>
        <w:sectPr w:rsidSect="00194D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194DF9" w:rsidP="00194DF9">
      <w:pPr>
        <w:pStyle w:val="SuperHeading"/>
      </w:pPr>
      <w:r w:rsidRPr="00194DF9">
        <w:t>PSPREV403A Manage information on legal entities, relationships and property</w:t>
      </w:r>
    </w:p>
    <w:p w:rsidR="00000000" w:rsidRPr="00194DF9" w:rsidP="00194DF9">
      <w:pPr>
        <w:pStyle w:val="SuperHeading"/>
      </w:pPr>
    </w:p>
    <w:p w:rsidR="00000000" w:rsidRPr="00194DF9" w:rsidP="00194DF9">
      <w:pPr>
        <w:pStyle w:val="Heading1"/>
      </w:pPr>
      <w:bookmarkStart w:id="1" w:name="O_499117"/>
      <w:bookmarkEnd w:id="1"/>
      <w:r w:rsidRPr="00194DF9">
        <w:t>Modification History</w:t>
      </w:r>
    </w:p>
    <w:tbl>
      <w:tblPr>
        <w:tblW w:w="0" w:type="auto"/>
        <w:tblLayout w:type="fixed"/>
        <w:tblCellMar>
          <w:left w:w="62" w:type="dxa"/>
          <w:right w:w="62" w:type="dxa"/>
        </w:tblCellMar>
        <w:tblLook w:val="0000"/>
      </w:tblPr>
      <w:tblGrid>
        <w:gridCol w:w="3052"/>
        <w:gridCol w:w="3052"/>
        <w:gridCol w:w="3052"/>
      </w:tblGrid>
      <w:tr w:rsidTr="001D14E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DF9" w:rsidP="00194DF9">
            <w:pPr>
              <w:pStyle w:val="BodyText"/>
            </w:pPr>
            <w:r w:rsidRPr="00194DF9">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DF9" w:rsidP="00194DF9">
            <w:pPr>
              <w:pStyle w:val="BodyText"/>
            </w:pPr>
            <w:r w:rsidRPr="00194DF9">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DF9">
            <w:pPr>
              <w:pStyle w:val="BodyText"/>
              <w:rPr>
                <w:lang w:val="en-NZ"/>
              </w:rPr>
            </w:pPr>
            <w:r w:rsidRPr="00194DF9">
              <w:rPr>
                <w:rStyle w:val="SpecialBold"/>
              </w:rPr>
              <w:t>Comments</w:t>
            </w:r>
          </w:p>
        </w:tc>
      </w:tr>
      <w:tr w:rsidTr="001D14E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DF9">
            <w:pPr>
              <w:pStyle w:val="BodyText"/>
              <w:rPr>
                <w:lang w:val="en-NZ"/>
              </w:rPr>
            </w:pPr>
            <w:r w:rsidRPr="00194DF9">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DF9">
            <w:pPr>
              <w:pStyle w:val="BodyText"/>
              <w:rPr>
                <w:lang w:val="en-NZ"/>
              </w:rPr>
            </w:pPr>
            <w:r w:rsidRPr="00194DF9">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DF9">
            <w:pPr>
              <w:pStyle w:val="BodyText"/>
              <w:rPr>
                <w:lang w:val="en-NZ"/>
              </w:rPr>
            </w:pPr>
            <w:r w:rsidRPr="00194DF9">
              <w:t>Unit descript</w:t>
            </w:r>
            <w:r w:rsidRPr="00194DF9">
              <w:t xml:space="preserve">or edited. </w:t>
            </w:r>
          </w:p>
        </w:tc>
      </w:tr>
      <w:tr w:rsidTr="001D14E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DF9">
            <w:pPr>
              <w:pStyle w:val="BodyText"/>
              <w:rPr>
                <w:lang w:val="en-NZ"/>
              </w:rPr>
            </w:pPr>
            <w:r w:rsidRPr="00194DF9">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DF9">
            <w:pPr>
              <w:pStyle w:val="BodyText"/>
              <w:rPr>
                <w:lang w:val="en-NZ"/>
              </w:rPr>
            </w:pPr>
            <w:r w:rsidRPr="00194DF9">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DF9">
            <w:pPr>
              <w:pStyle w:val="BodyText"/>
              <w:rPr>
                <w:lang w:val="en-NZ"/>
              </w:rPr>
            </w:pPr>
            <w:r w:rsidRPr="00194DF9">
              <w:t>Layout adjusted. No changes to content.</w:t>
            </w:r>
          </w:p>
        </w:tc>
      </w:tr>
      <w:tr w:rsidTr="001D14E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DF9">
            <w:pPr>
              <w:pStyle w:val="BodyText"/>
              <w:rPr>
                <w:lang w:val="en-NZ"/>
              </w:rPr>
            </w:pPr>
            <w:r w:rsidRPr="00194DF9">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DF9">
            <w:pPr>
              <w:pStyle w:val="BodyText"/>
              <w:rPr>
                <w:lang w:val="en-NZ"/>
              </w:rPr>
            </w:pPr>
            <w:r w:rsidRPr="00194DF9">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DF9" w:rsidP="00194DF9">
            <w:pPr>
              <w:pStyle w:val="BodyText"/>
            </w:pPr>
            <w:r w:rsidRPr="00194DF9">
              <w:t>Primary release.</w:t>
            </w:r>
          </w:p>
        </w:tc>
      </w:tr>
    </w:tbl>
    <w:p w:rsidR="00000000" w:rsidRPr="00194DF9" w:rsidP="00194DF9">
      <w:pPr>
        <w:pStyle w:val="BodyText"/>
      </w:pPr>
    </w:p>
    <w:p w:rsidR="00000000" w:rsidRPr="00194DF9" w:rsidP="00194DF9">
      <w:pPr>
        <w:pStyle w:val="AllowPageBreak"/>
      </w:pPr>
    </w:p>
    <w:p w:rsidR="00000000" w:rsidRPr="00194DF9" w:rsidP="00194DF9">
      <w:pPr>
        <w:pStyle w:val="Heading1"/>
      </w:pPr>
      <w:bookmarkStart w:id="2" w:name="O_499123"/>
      <w:bookmarkEnd w:id="2"/>
      <w:r w:rsidRPr="00194DF9">
        <w:t>Unit Descriptor</w:t>
      </w:r>
    </w:p>
    <w:p w:rsidR="00000000" w:rsidRPr="00194DF9" w:rsidP="00194DF9">
      <w:pPr>
        <w:pStyle w:val="BodyText"/>
      </w:pPr>
      <w:r w:rsidRPr="00194DF9">
        <w:t>This unit covers the application of the legal principles that apply to legal entities, relationships and property.</w:t>
      </w:r>
    </w:p>
    <w:p w:rsidR="00000000" w:rsidRPr="00194DF9" w:rsidP="00194DF9">
      <w:pPr>
        <w:pStyle w:val="BodyText"/>
      </w:pPr>
      <w:r w:rsidRPr="00194DF9">
        <w:t>In practice, dealing with legal entity, relationship and property issues overlaps with other generalist or specialist work activities, such as acting ethically; undertaking legislative decision making; assessing applications for grants, subsidies or rebate</w:t>
      </w:r>
      <w:r w:rsidRPr="00194DF9">
        <w:t>s; and delivering client service. Co-assessment with units of competency addressing these other activities could be considered.</w:t>
      </w:r>
    </w:p>
    <w:p w:rsidR="00000000" w:rsidRPr="00194DF9" w:rsidP="00194DF9">
      <w:pPr>
        <w:pStyle w:val="BodyText"/>
      </w:pPr>
      <w:r w:rsidRPr="00194DF9">
        <w:t>No licensing, legislative, regulatory or certification requirements apply to this unit at the time of endorsement.</w:t>
      </w:r>
    </w:p>
    <w:p w:rsidR="00000000" w:rsidRPr="00194DF9" w:rsidP="00194DF9">
      <w:pPr>
        <w:pStyle w:val="AllowPageBreak"/>
      </w:pPr>
    </w:p>
    <w:p w:rsidR="00000000" w:rsidRPr="00194DF9" w:rsidP="00194DF9">
      <w:pPr>
        <w:pStyle w:val="Heading1"/>
      </w:pPr>
      <w:bookmarkStart w:id="3" w:name="O_499129"/>
      <w:bookmarkEnd w:id="3"/>
      <w:r w:rsidRPr="00194DF9">
        <w:t>Application of the Unit</w:t>
      </w:r>
    </w:p>
    <w:p w:rsidR="00000000" w:rsidRPr="00194DF9" w:rsidP="00194DF9">
      <w:pPr>
        <w:pStyle w:val="BodyText"/>
      </w:pPr>
      <w:r w:rsidRPr="00194DF9">
        <w:t>In the workplace, staff typically develop sound knowledge of the legal principles that apply to legal entities, relationships and property. They use this knowledge to map the property/assets and interrelationships of legal entit</w:t>
      </w:r>
      <w:r w:rsidRPr="00194DF9">
        <w:t xml:space="preserve">ies in order to make and justify decisions on liability and compliance. </w:t>
      </w:r>
    </w:p>
    <w:p w:rsidR="00000000" w:rsidRPr="00194DF9" w:rsidP="00194DF9">
      <w:pPr>
        <w:pStyle w:val="BodyText"/>
      </w:pPr>
      <w:r w:rsidRPr="00194DF9">
        <w:t>They must be able to determine the legal entities involved in transactions, identify legal relationships and responsibilities, and determine ownership of property and assets and the i</w:t>
      </w:r>
      <w:r w:rsidRPr="00194DF9">
        <w:t>nterrelationships between property and asset owners.</w:t>
      </w:r>
    </w:p>
    <w:p w:rsidR="00000000" w:rsidRPr="00194DF9" w:rsidP="00194DF9">
      <w:pPr>
        <w:pStyle w:val="AllowPageBreak"/>
      </w:pPr>
    </w:p>
    <w:p w:rsidR="00000000" w:rsidRPr="00194DF9" w:rsidP="00194DF9">
      <w:pPr>
        <w:pStyle w:val="Heading1"/>
      </w:pPr>
      <w:bookmarkStart w:id="4" w:name="O_499120"/>
      <w:bookmarkEnd w:id="4"/>
      <w:r w:rsidRPr="00194DF9">
        <w:t>Licensing/Regulatory Information</w:t>
      </w:r>
    </w:p>
    <w:p w:rsidR="00000000" w:rsidRPr="00194DF9" w:rsidP="00194DF9">
      <w:pPr>
        <w:pStyle w:val="BodyText"/>
      </w:pPr>
      <w:r w:rsidRPr="00194DF9">
        <w:t>Not applicable.</w:t>
      </w:r>
    </w:p>
    <w:p w:rsidR="00000000" w:rsidRPr="00194DF9" w:rsidP="00194DF9">
      <w:pPr>
        <w:pStyle w:val="AllowPageBreak"/>
      </w:pPr>
    </w:p>
    <w:p w:rsidR="00000000" w:rsidRPr="00194DF9" w:rsidP="00194DF9">
      <w:pPr>
        <w:pStyle w:val="Heading1"/>
      </w:pPr>
      <w:bookmarkStart w:id="5" w:name="O_499121"/>
      <w:bookmarkEnd w:id="5"/>
      <w:r w:rsidRPr="00194DF9">
        <w:t>Pre-Requisites</w:t>
      </w:r>
    </w:p>
    <w:p w:rsidR="00000000" w:rsidRPr="00194DF9" w:rsidP="00194DF9">
      <w:pPr>
        <w:pStyle w:val="BodyText"/>
      </w:pPr>
      <w:r w:rsidRPr="00194DF9">
        <w:t>Not applicable.</w:t>
      </w:r>
    </w:p>
    <w:p w:rsidR="00000000" w:rsidRPr="00194DF9" w:rsidP="00194DF9">
      <w:pPr>
        <w:pStyle w:val="AllowPageBreak"/>
      </w:pPr>
    </w:p>
    <w:p w:rsidR="00000000" w:rsidRPr="00194DF9" w:rsidP="00194DF9">
      <w:pPr>
        <w:pStyle w:val="Heading1"/>
      </w:pPr>
      <w:bookmarkStart w:id="6" w:name="O_499125"/>
      <w:bookmarkEnd w:id="6"/>
      <w:r w:rsidRPr="00194DF9">
        <w:t>Employability Skills Information</w:t>
      </w:r>
    </w:p>
    <w:p w:rsidR="00000000" w:rsidRPr="00194DF9" w:rsidP="00194DF9">
      <w:pPr>
        <w:pStyle w:val="BodyText"/>
      </w:pPr>
      <w:r w:rsidRPr="00194DF9">
        <w:t>This unit contains employability skills.</w:t>
      </w:r>
    </w:p>
    <w:p w:rsidR="00000000" w:rsidRPr="00194DF9" w:rsidP="00194DF9">
      <w:pPr>
        <w:pStyle w:val="AllowPageBreak"/>
      </w:pPr>
    </w:p>
    <w:p w:rsidR="00000000" w:rsidRPr="00194DF9" w:rsidP="00194DF9">
      <w:pPr>
        <w:pStyle w:val="Heading1"/>
      </w:pPr>
      <w:bookmarkStart w:id="7" w:name="O_499126"/>
      <w:bookmarkEnd w:id="7"/>
      <w:r w:rsidRPr="00194DF9">
        <w:t>Elements and Performance Criteria Pre-Content</w:t>
      </w:r>
    </w:p>
    <w:tbl>
      <w:tblPr>
        <w:tblW w:w="9322" w:type="dxa"/>
        <w:tblLayout w:type="fixed"/>
        <w:tblCellMar>
          <w:left w:w="62" w:type="dxa"/>
          <w:right w:w="62" w:type="dxa"/>
        </w:tblCellMar>
        <w:tblLook w:val="0000"/>
      </w:tblPr>
      <w:tblGrid>
        <w:gridCol w:w="2943"/>
        <w:gridCol w:w="6379"/>
      </w:tblGrid>
      <w:tr w:rsidTr="001D14E1">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194DF9">
            <w:pPr>
              <w:pStyle w:val="BodyText"/>
              <w:rPr>
                <w:lang w:val="en-NZ"/>
              </w:rPr>
            </w:pPr>
            <w:r w:rsidRPr="00194DF9">
              <w:t>Elements are the essential outcomes of the unit of competency.</w:t>
            </w:r>
          </w:p>
        </w:tc>
        <w:tc>
          <w:tcPr>
            <w:tcW w:w="6379" w:type="dxa"/>
            <w:tcBorders>
              <w:top w:val="nil"/>
              <w:left w:val="nil"/>
              <w:bottom w:val="nil"/>
              <w:right w:val="nil"/>
            </w:tcBorders>
            <w:tcMar>
              <w:top w:w="0" w:type="dxa"/>
              <w:left w:w="62" w:type="dxa"/>
              <w:bottom w:w="0" w:type="dxa"/>
              <w:right w:w="62" w:type="dxa"/>
            </w:tcMar>
          </w:tcPr>
          <w:p w:rsidR="00000000" w:rsidRPr="00194DF9" w:rsidP="00194DF9">
            <w:pPr>
              <w:pStyle w:val="BodyText"/>
            </w:pPr>
            <w:r w:rsidRPr="00194DF9">
              <w:t xml:space="preserve">Performance criteria describe the required performance needed to demonstrate achievement </w:t>
            </w:r>
            <w:r w:rsidRPr="00194DF9">
              <w:t xml:space="preserve">of the element. Where </w:t>
            </w:r>
            <w:r w:rsidRPr="00194DF9">
              <w:rPr>
                <w:rStyle w:val="BoldandItalics"/>
              </w:rPr>
              <w:t xml:space="preserve">bold italicised </w:t>
            </w:r>
            <w:r w:rsidRPr="00194DF9">
              <w:t>text is used, further information is detailed in the range statement. Assessment of performance is to be consistent with the evidence guide.</w:t>
            </w:r>
          </w:p>
        </w:tc>
      </w:tr>
    </w:tbl>
    <w:p w:rsidR="00000000" w:rsidRPr="00194DF9" w:rsidP="00194DF9">
      <w:pPr>
        <w:pStyle w:val="BodyText"/>
      </w:pPr>
    </w:p>
    <w:p w:rsidR="00000000" w:rsidRPr="00194DF9" w:rsidP="00194DF9">
      <w:pPr>
        <w:pStyle w:val="AllowPageBreak"/>
      </w:pPr>
    </w:p>
    <w:p w:rsidR="00000000" w:rsidRPr="00194DF9" w:rsidP="00194DF9">
      <w:pPr>
        <w:pStyle w:val="Heading1"/>
      </w:pPr>
      <w:bookmarkStart w:id="8" w:name="O_499127"/>
      <w:bookmarkEnd w:id="8"/>
      <w:r w:rsidRPr="00194DF9">
        <w:t>Elements and Performance Criteria</w:t>
      </w:r>
    </w:p>
    <w:tbl>
      <w:tblPr>
        <w:tblW w:w="9322" w:type="dxa"/>
        <w:tblLayout w:type="fixed"/>
        <w:tblCellMar>
          <w:left w:w="62" w:type="dxa"/>
          <w:right w:w="62" w:type="dxa"/>
        </w:tblCellMar>
        <w:tblLook w:val="0000"/>
      </w:tblPr>
      <w:tblGrid>
        <w:gridCol w:w="2943"/>
        <w:gridCol w:w="6379"/>
      </w:tblGrid>
      <w:tr w:rsidTr="001D14E1">
        <w:tblPrEx>
          <w:tblW w:w="9322" w:type="dxa"/>
          <w:tblLayout w:type="fixed"/>
          <w:tblCellMar>
            <w:left w:w="62" w:type="dxa"/>
            <w:right w:w="62" w:type="dxa"/>
          </w:tblCellMar>
          <w:tblLook w:val="0000"/>
        </w:tblPrEx>
        <w:trPr>
          <w:tblHeader/>
        </w:trPr>
        <w:tc>
          <w:tcPr>
            <w:tcW w:w="2943" w:type="dxa"/>
            <w:tcBorders>
              <w:top w:val="nil"/>
              <w:left w:val="nil"/>
              <w:bottom w:val="nil"/>
              <w:right w:val="nil"/>
            </w:tcBorders>
            <w:tcMar>
              <w:top w:w="0" w:type="dxa"/>
              <w:left w:w="62" w:type="dxa"/>
              <w:bottom w:w="0" w:type="dxa"/>
              <w:right w:w="62" w:type="dxa"/>
            </w:tcMar>
          </w:tcPr>
          <w:p w:rsidR="00000000" w:rsidRPr="00194DF9" w:rsidP="00194DF9">
            <w:pPr>
              <w:pStyle w:val="BodyText"/>
            </w:pPr>
            <w:r w:rsidRPr="00194DF9">
              <w:rPr>
                <w:rStyle w:val="SpecialBold"/>
              </w:rPr>
              <w:t>ELEMENT</w:t>
            </w:r>
          </w:p>
        </w:tc>
        <w:tc>
          <w:tcPr>
            <w:tcW w:w="6379" w:type="dxa"/>
            <w:tcBorders>
              <w:top w:val="nil"/>
              <w:left w:val="nil"/>
              <w:bottom w:val="nil"/>
              <w:right w:val="nil"/>
            </w:tcBorders>
            <w:tcMar>
              <w:top w:w="0" w:type="dxa"/>
              <w:left w:w="62" w:type="dxa"/>
              <w:bottom w:w="0" w:type="dxa"/>
              <w:right w:w="62" w:type="dxa"/>
            </w:tcMar>
          </w:tcPr>
          <w:p w:rsidR="00000000" w:rsidP="00194DF9">
            <w:pPr>
              <w:pStyle w:val="BodyText"/>
              <w:rPr>
                <w:lang w:val="en-NZ"/>
              </w:rPr>
            </w:pPr>
            <w:r w:rsidRPr="00194DF9">
              <w:rPr>
                <w:rStyle w:val="SpecialBold"/>
              </w:rPr>
              <w:t>PERFORMANCE CRITERIA</w:t>
            </w:r>
          </w:p>
        </w:tc>
      </w:tr>
      <w:tr w:rsidTr="001D14E1">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194DF9">
            <w:pPr>
              <w:pStyle w:val="List"/>
              <w:rPr>
                <w:lang w:val="en-NZ"/>
              </w:rPr>
            </w:pPr>
            <w:r w:rsidRPr="00194DF9">
              <w:rPr>
                <w:rStyle w:val="SpecialBold"/>
              </w:rPr>
              <w:t>1</w:t>
            </w:r>
            <w:r w:rsidRPr="00194DF9">
              <w:t>.</w:t>
            </w:r>
            <w:r w:rsidRPr="00194DF9">
              <w:tab/>
            </w:r>
            <w:r w:rsidRPr="00194DF9">
              <w:rPr>
                <w:rStyle w:val="SpecialBold"/>
              </w:rPr>
              <w:t>Determine legal entities</w:t>
            </w:r>
          </w:p>
        </w:tc>
        <w:tc>
          <w:tcPr>
            <w:tcW w:w="6379" w:type="dxa"/>
            <w:tcBorders>
              <w:top w:val="nil"/>
              <w:left w:val="nil"/>
              <w:bottom w:val="nil"/>
              <w:right w:val="nil"/>
            </w:tcBorders>
            <w:tcMar>
              <w:top w:w="0" w:type="dxa"/>
              <w:left w:w="62" w:type="dxa"/>
              <w:bottom w:w="0" w:type="dxa"/>
              <w:right w:w="62" w:type="dxa"/>
            </w:tcMar>
          </w:tcPr>
          <w:p w:rsidR="00000000" w:rsidRPr="00194DF9" w:rsidP="00194DF9">
            <w:pPr>
              <w:pStyle w:val="List"/>
            </w:pPr>
            <w:r w:rsidRPr="00194DF9">
              <w:t>1.1</w:t>
            </w:r>
            <w:r w:rsidRPr="00194DF9">
              <w:tab/>
              <w:t xml:space="preserve">Types of </w:t>
            </w:r>
            <w:r w:rsidRPr="00194DF9">
              <w:rPr>
                <w:rStyle w:val="BoldandItalics"/>
              </w:rPr>
              <w:t xml:space="preserve">legal entities </w:t>
            </w:r>
            <w:r w:rsidRPr="00194DF9">
              <w:t xml:space="preserve">are identified and </w:t>
            </w:r>
            <w:r w:rsidRPr="00194DF9">
              <w:rPr>
                <w:rStyle w:val="BoldandItalics"/>
              </w:rPr>
              <w:t xml:space="preserve">features </w:t>
            </w:r>
            <w:r w:rsidRPr="00194DF9">
              <w:t>of each confirmed.</w:t>
            </w:r>
          </w:p>
          <w:p w:rsidR="00000000" w:rsidRPr="00194DF9" w:rsidP="00194DF9">
            <w:pPr>
              <w:pStyle w:val="List"/>
            </w:pPr>
            <w:r w:rsidRPr="00194DF9">
              <w:t>1.2</w:t>
            </w:r>
            <w:r w:rsidRPr="00194DF9">
              <w:tab/>
            </w:r>
            <w:r w:rsidRPr="00194DF9">
              <w:rPr>
                <w:rStyle w:val="BoldandItalics"/>
              </w:rPr>
              <w:t xml:space="preserve">Transactions </w:t>
            </w:r>
            <w:r w:rsidRPr="00194DF9">
              <w:t>are analysed to determine the legal entities involved.</w:t>
            </w:r>
          </w:p>
          <w:p w:rsidR="00000000" w:rsidP="00194DF9">
            <w:pPr>
              <w:pStyle w:val="List"/>
              <w:rPr>
                <w:lang w:val="en-NZ"/>
              </w:rPr>
            </w:pPr>
            <w:r w:rsidRPr="00194DF9">
              <w:t>1.3</w:t>
            </w:r>
            <w:r w:rsidRPr="00194DF9">
              <w:tab/>
            </w:r>
            <w:r w:rsidRPr="00194DF9">
              <w:t>Liabilities of legal entities are determined in accordance with the particular transactions.</w:t>
            </w:r>
          </w:p>
        </w:tc>
      </w:tr>
      <w:tr w:rsidTr="001D14E1">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194DF9">
            <w:pPr>
              <w:pStyle w:val="List"/>
              <w:rPr>
                <w:lang w:val="en-NZ"/>
              </w:rPr>
            </w:pPr>
            <w:r w:rsidRPr="00194DF9">
              <w:rPr>
                <w:rStyle w:val="SpecialBold"/>
              </w:rPr>
              <w:t>2.</w:t>
            </w:r>
            <w:r w:rsidRPr="00194DF9">
              <w:rPr>
                <w:rStyle w:val="SpecialBold"/>
              </w:rPr>
              <w:tab/>
              <w:t>Identify and apply information relating to legal relationships</w:t>
            </w:r>
          </w:p>
        </w:tc>
        <w:tc>
          <w:tcPr>
            <w:tcW w:w="6379" w:type="dxa"/>
            <w:tcBorders>
              <w:top w:val="nil"/>
              <w:left w:val="nil"/>
              <w:bottom w:val="nil"/>
              <w:right w:val="nil"/>
            </w:tcBorders>
            <w:tcMar>
              <w:top w:w="0" w:type="dxa"/>
              <w:left w:w="62" w:type="dxa"/>
              <w:bottom w:w="0" w:type="dxa"/>
              <w:right w:w="62" w:type="dxa"/>
            </w:tcMar>
          </w:tcPr>
          <w:p w:rsidR="00000000" w:rsidRPr="00194DF9" w:rsidP="00194DF9">
            <w:pPr>
              <w:pStyle w:val="List"/>
            </w:pPr>
            <w:r w:rsidRPr="00194DF9">
              <w:t>2.1</w:t>
            </w:r>
            <w:r w:rsidRPr="00194DF9">
              <w:tab/>
              <w:t>Formation, type and nature of the</w:t>
            </w:r>
            <w:r w:rsidRPr="00194DF9">
              <w:rPr>
                <w:rStyle w:val="BoldandItalics"/>
              </w:rPr>
              <w:t xml:space="preserve"> legal relationships</w:t>
            </w:r>
            <w:r w:rsidRPr="00194DF9">
              <w:t xml:space="preserve"> involved in transactions are identifie</w:t>
            </w:r>
            <w:r w:rsidRPr="00194DF9">
              <w:t>d.</w:t>
            </w:r>
          </w:p>
          <w:p w:rsidR="00000000" w:rsidRPr="00194DF9" w:rsidP="00194DF9">
            <w:pPr>
              <w:pStyle w:val="List"/>
            </w:pPr>
            <w:r w:rsidRPr="00194DF9">
              <w:t>2.2</w:t>
            </w:r>
            <w:r w:rsidRPr="00194DF9">
              <w:tab/>
              <w:t>Interrelationships involved in transactions are mapped to guide decision making.</w:t>
            </w:r>
          </w:p>
          <w:p w:rsidR="00000000" w:rsidRPr="00194DF9" w:rsidP="00194DF9">
            <w:pPr>
              <w:pStyle w:val="List"/>
            </w:pPr>
            <w:r w:rsidRPr="00194DF9">
              <w:t>2.3</w:t>
            </w:r>
            <w:r w:rsidRPr="00194DF9">
              <w:tab/>
              <w:t>Legal responsibilities of particular relationships are identified in accordance with the particular transactions.</w:t>
            </w:r>
          </w:p>
          <w:p w:rsidR="00000000" w:rsidP="00194DF9">
            <w:pPr>
              <w:pStyle w:val="List"/>
              <w:rPr>
                <w:lang w:val="en-NZ"/>
              </w:rPr>
            </w:pPr>
            <w:r w:rsidRPr="00194DF9">
              <w:t>2.4</w:t>
            </w:r>
            <w:r w:rsidRPr="00194DF9">
              <w:tab/>
              <w:t xml:space="preserve">Decisions are made and liabilities determined </w:t>
            </w:r>
            <w:r w:rsidRPr="00194DF9">
              <w:t>in accordance with the interrelationships and responsibilities determined.</w:t>
            </w:r>
          </w:p>
        </w:tc>
      </w:tr>
      <w:tr w:rsidTr="001D14E1">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194DF9">
            <w:pPr>
              <w:pStyle w:val="List"/>
              <w:rPr>
                <w:lang w:val="en-NZ"/>
              </w:rPr>
            </w:pPr>
            <w:r w:rsidRPr="00194DF9">
              <w:rPr>
                <w:rStyle w:val="SpecialBold"/>
              </w:rPr>
              <w:t>3</w:t>
            </w:r>
            <w:r w:rsidRPr="00194DF9">
              <w:t xml:space="preserve">. </w:t>
            </w:r>
            <w:r w:rsidRPr="00194DF9">
              <w:tab/>
            </w:r>
            <w:r w:rsidRPr="00194DF9">
              <w:rPr>
                <w:rStyle w:val="SpecialBold"/>
              </w:rPr>
              <w:t>Identify and apply information relating to property and assets of legal entities</w:t>
            </w:r>
          </w:p>
        </w:tc>
        <w:tc>
          <w:tcPr>
            <w:tcW w:w="6379" w:type="dxa"/>
            <w:tcBorders>
              <w:top w:val="nil"/>
              <w:left w:val="nil"/>
              <w:bottom w:val="nil"/>
              <w:right w:val="nil"/>
            </w:tcBorders>
            <w:tcMar>
              <w:top w:w="0" w:type="dxa"/>
              <w:left w:w="62" w:type="dxa"/>
              <w:bottom w:w="0" w:type="dxa"/>
              <w:right w:w="62" w:type="dxa"/>
            </w:tcMar>
          </w:tcPr>
          <w:p w:rsidR="00000000" w:rsidRPr="00194DF9" w:rsidP="00194DF9">
            <w:pPr>
              <w:pStyle w:val="List"/>
            </w:pPr>
            <w:r w:rsidRPr="00194DF9">
              <w:t>3.1</w:t>
            </w:r>
            <w:r w:rsidRPr="00194DF9">
              <w:tab/>
              <w:t xml:space="preserve">Nature and </w:t>
            </w:r>
            <w:r w:rsidRPr="00194DF9">
              <w:rPr>
                <w:rStyle w:val="BoldandItalics"/>
              </w:rPr>
              <w:t>legal types of property</w:t>
            </w:r>
            <w:r w:rsidRPr="00194DF9">
              <w:t>, and the principles relating to them are clarified.</w:t>
            </w:r>
          </w:p>
          <w:p w:rsidR="00000000" w:rsidRPr="00194DF9" w:rsidP="00194DF9">
            <w:pPr>
              <w:pStyle w:val="List"/>
            </w:pPr>
            <w:r w:rsidRPr="00194DF9">
              <w:t>3.2</w:t>
            </w:r>
            <w:r w:rsidRPr="00194DF9">
              <w:tab/>
            </w:r>
            <w:r w:rsidRPr="00194DF9">
              <w:t>Principles relating to real and personal property, leases, licences and assignment of property are used to map the property and assets of legal entities.</w:t>
            </w:r>
          </w:p>
          <w:p w:rsidR="00000000" w:rsidRPr="00194DF9" w:rsidP="00194DF9">
            <w:pPr>
              <w:pStyle w:val="List"/>
            </w:pPr>
            <w:r w:rsidRPr="00194DF9">
              <w:t>3.3</w:t>
            </w:r>
            <w:r w:rsidRPr="00194DF9">
              <w:tab/>
              <w:t xml:space="preserve">Value of property and nature of </w:t>
            </w:r>
            <w:r w:rsidRPr="00194DF9">
              <w:rPr>
                <w:rStyle w:val="BoldandItalics"/>
              </w:rPr>
              <w:t xml:space="preserve">ownership </w:t>
            </w:r>
            <w:r w:rsidRPr="00194DF9">
              <w:t>are identified.</w:t>
            </w:r>
          </w:p>
          <w:p w:rsidR="00000000" w:rsidRPr="00194DF9" w:rsidP="00194DF9">
            <w:pPr>
              <w:pStyle w:val="List"/>
            </w:pPr>
            <w:r w:rsidRPr="00194DF9">
              <w:t>3.4</w:t>
            </w:r>
            <w:r w:rsidRPr="00194DF9">
              <w:tab/>
              <w:t>Mortgages, easements, memorials, res</w:t>
            </w:r>
            <w:r w:rsidRPr="00194DF9">
              <w:t>trictive covenants and other relevant documents are identified and analysed for their effect on property ownership.</w:t>
            </w:r>
          </w:p>
          <w:p w:rsidR="00000000" w:rsidRPr="00194DF9" w:rsidP="00194DF9">
            <w:pPr>
              <w:pStyle w:val="List"/>
            </w:pPr>
            <w:r w:rsidRPr="00194DF9">
              <w:t>3.5</w:t>
            </w:r>
            <w:r w:rsidRPr="00194DF9">
              <w:tab/>
              <w:t>Property and assets of legal entities are mapped and their interrelationships examined and recorded.</w:t>
            </w:r>
          </w:p>
          <w:p w:rsidR="00000000" w:rsidRPr="00194DF9" w:rsidP="00194DF9">
            <w:pPr>
              <w:pStyle w:val="List"/>
            </w:pPr>
            <w:r w:rsidRPr="00194DF9">
              <w:t>3.6</w:t>
            </w:r>
            <w:r w:rsidRPr="00194DF9">
              <w:tab/>
            </w:r>
            <w:r w:rsidRPr="00194DF9">
              <w:t>Decisions are made and liabilities determined in accordance with the property and assets of, and relationships between, the legal entities.</w:t>
            </w:r>
          </w:p>
        </w:tc>
      </w:tr>
    </w:tbl>
    <w:p w:rsidR="00000000" w:rsidRPr="00194DF9" w:rsidP="00194DF9">
      <w:pPr>
        <w:pStyle w:val="BodyText"/>
      </w:pPr>
    </w:p>
    <w:p w:rsidR="00000000" w:rsidRPr="00194DF9" w:rsidP="00194DF9">
      <w:pPr>
        <w:pStyle w:val="AllowPageBreak"/>
      </w:pPr>
    </w:p>
    <w:p w:rsidR="00000000" w:rsidRPr="00194DF9" w:rsidP="00194DF9">
      <w:pPr>
        <w:pStyle w:val="Heading1"/>
      </w:pPr>
      <w:bookmarkStart w:id="9" w:name="O_499122"/>
      <w:bookmarkEnd w:id="9"/>
      <w:r w:rsidRPr="00194DF9">
        <w:t>Required Skills and Knowledge</w:t>
      </w:r>
    </w:p>
    <w:tbl>
      <w:tblPr>
        <w:tblW w:w="9322" w:type="dxa"/>
        <w:tblLayout w:type="fixed"/>
        <w:tblCellMar>
          <w:left w:w="62" w:type="dxa"/>
          <w:right w:w="62" w:type="dxa"/>
        </w:tblCellMar>
        <w:tblLook w:val="0000"/>
      </w:tblPr>
      <w:tblGrid>
        <w:gridCol w:w="9322"/>
      </w:tblGrid>
      <w:tr w:rsidTr="001D14E1">
        <w:tblPrEx>
          <w:tblW w:w="9322" w:type="dxa"/>
          <w:tblLayout w:type="fixed"/>
          <w:tblCellMar>
            <w:left w:w="62" w:type="dxa"/>
            <w:right w:w="62" w:type="dxa"/>
          </w:tblCellMar>
          <w:tblLook w:val="0000"/>
        </w:tblPrEx>
        <w:tc>
          <w:tcPr>
            <w:tcW w:w="9322" w:type="dxa"/>
            <w:tcBorders>
              <w:top w:val="nil"/>
              <w:left w:val="nil"/>
              <w:bottom w:val="nil"/>
              <w:right w:val="nil"/>
            </w:tcBorders>
            <w:tcMar>
              <w:top w:w="0" w:type="dxa"/>
              <w:left w:w="62" w:type="dxa"/>
              <w:bottom w:w="0" w:type="dxa"/>
              <w:right w:w="62" w:type="dxa"/>
            </w:tcMar>
          </w:tcPr>
          <w:p w:rsidR="00000000" w:rsidP="00194DF9">
            <w:pPr>
              <w:pStyle w:val="BodyText"/>
              <w:rPr>
                <w:lang w:val="en-NZ"/>
              </w:rPr>
            </w:pPr>
            <w:r w:rsidRPr="00194DF9">
              <w:t>This section describes the essential skills and knowledge and their</w:t>
            </w:r>
            <w:r w:rsidRPr="00194DF9">
              <w:t xml:space="preserve"> level, required for this unit.</w:t>
            </w:r>
          </w:p>
        </w:tc>
      </w:tr>
      <w:tr w:rsidTr="001D14E1">
        <w:tblPrEx>
          <w:tblW w:w="9322" w:type="dxa"/>
          <w:tblLayout w:type="fixed"/>
          <w:tblCellMar>
            <w:left w:w="62" w:type="dxa"/>
            <w:right w:w="62" w:type="dxa"/>
          </w:tblCellMar>
          <w:tblLook w:val="0000"/>
        </w:tblPrEx>
        <w:tc>
          <w:tcPr>
            <w:tcW w:w="9322" w:type="dxa"/>
            <w:tcBorders>
              <w:top w:val="nil"/>
              <w:left w:val="nil"/>
              <w:bottom w:val="nil"/>
              <w:right w:val="nil"/>
            </w:tcBorders>
            <w:tcMar>
              <w:top w:w="0" w:type="dxa"/>
              <w:left w:w="62" w:type="dxa"/>
              <w:bottom w:w="0" w:type="dxa"/>
              <w:right w:w="62" w:type="dxa"/>
            </w:tcMar>
          </w:tcPr>
          <w:p w:rsidR="00000000" w:rsidP="00194DF9">
            <w:pPr>
              <w:pStyle w:val="BodyText"/>
              <w:rPr>
                <w:lang w:val="en-NZ"/>
              </w:rPr>
            </w:pPr>
          </w:p>
        </w:tc>
      </w:tr>
      <w:tr w:rsidTr="001D14E1">
        <w:tblPrEx>
          <w:tblW w:w="9322" w:type="dxa"/>
          <w:tblLayout w:type="fixed"/>
          <w:tblCellMar>
            <w:left w:w="62" w:type="dxa"/>
            <w:right w:w="62" w:type="dxa"/>
          </w:tblCellMar>
          <w:tblLook w:val="0000"/>
        </w:tblPrEx>
        <w:tc>
          <w:tcPr>
            <w:tcW w:w="9322" w:type="dxa"/>
            <w:tcBorders>
              <w:top w:val="nil"/>
              <w:left w:val="nil"/>
              <w:bottom w:val="nil"/>
              <w:right w:val="nil"/>
            </w:tcBorders>
            <w:tcMar>
              <w:top w:w="0" w:type="dxa"/>
              <w:left w:w="62" w:type="dxa"/>
              <w:bottom w:w="0" w:type="dxa"/>
              <w:right w:w="62" w:type="dxa"/>
            </w:tcMar>
          </w:tcPr>
          <w:p w:rsidR="00000000" w:rsidRPr="00194DF9" w:rsidP="00194DF9">
            <w:pPr>
              <w:pStyle w:val="BodyText"/>
            </w:pPr>
            <w:r w:rsidRPr="00194DF9">
              <w:rPr>
                <w:rStyle w:val="SpecialBold"/>
              </w:rPr>
              <w:t>Required skills</w:t>
            </w:r>
            <w:r w:rsidRPr="00194DF9">
              <w:t>:</w:t>
            </w:r>
          </w:p>
          <w:p w:rsidR="00000000" w:rsidRPr="00194DF9" w:rsidP="00194DF9">
            <w:pPr>
              <w:pStyle w:val="BodyText"/>
            </w:pPr>
            <w:r w:rsidRPr="00194DF9">
              <w:t>Look for evidence that confirms skills in:</w:t>
            </w:r>
          </w:p>
          <w:p w:rsidR="00000000" w:rsidRPr="00194DF9" w:rsidP="00194DF9">
            <w:pPr>
              <w:pStyle w:val="ListBullet2"/>
            </w:pPr>
            <w:r w:rsidRPr="00194DF9">
              <w:t>reading and analysing complex and formal documents, such as contracts, legislation and related materials, to assist in decision making</w:t>
            </w:r>
          </w:p>
          <w:p w:rsidR="00000000" w:rsidRPr="00194DF9" w:rsidP="00194DF9">
            <w:pPr>
              <w:pStyle w:val="ListBullet2"/>
            </w:pPr>
            <w:r w:rsidRPr="00194DF9">
              <w:t>explaining differences between different legal entities and impact of those differences on the determination of a tax or duty liability</w:t>
            </w:r>
          </w:p>
          <w:p w:rsidR="00000000" w:rsidRPr="00194DF9" w:rsidP="00194DF9">
            <w:pPr>
              <w:pStyle w:val="ListBullet2"/>
            </w:pPr>
            <w:r w:rsidRPr="00194DF9">
              <w:t xml:space="preserve">communicating with others involving exchanges of complex information when determining legal entities, relationships and </w:t>
            </w:r>
            <w:r w:rsidRPr="00194DF9">
              <w:t>property ownership</w:t>
            </w:r>
          </w:p>
          <w:p w:rsidR="00000000" w:rsidRPr="00194DF9" w:rsidP="00194DF9">
            <w:pPr>
              <w:pStyle w:val="ListBullet2"/>
            </w:pPr>
            <w:r w:rsidRPr="00194DF9">
              <w:t>using technology to conduct research, make enquiries, review available data, access legislative requirements and record outcomes</w:t>
            </w:r>
          </w:p>
          <w:p w:rsidR="00000000" w:rsidRPr="00194DF9" w:rsidP="00194DF9">
            <w:pPr>
              <w:pStyle w:val="ListBullet2"/>
            </w:pPr>
            <w:r w:rsidRPr="00194DF9">
              <w:t>responding to diversity, including gender and disability</w:t>
            </w:r>
          </w:p>
          <w:p w:rsidR="00000000" w:rsidP="00194DF9">
            <w:pPr>
              <w:pStyle w:val="ListBullet2"/>
              <w:rPr>
                <w:lang w:val="en-NZ"/>
              </w:rPr>
            </w:pPr>
            <w:r w:rsidRPr="00194DF9">
              <w:t xml:space="preserve">applying environmental and occupational health and </w:t>
            </w:r>
            <w:r w:rsidRPr="00194DF9">
              <w:t>safety procedures to administrative work and when dealing with customers</w:t>
            </w:r>
          </w:p>
        </w:tc>
      </w:tr>
      <w:tr w:rsidTr="001D14E1">
        <w:tblPrEx>
          <w:tblW w:w="9322" w:type="dxa"/>
          <w:tblLayout w:type="fixed"/>
          <w:tblCellMar>
            <w:left w:w="62" w:type="dxa"/>
            <w:right w:w="62" w:type="dxa"/>
          </w:tblCellMar>
          <w:tblLook w:val="0000"/>
        </w:tblPrEx>
        <w:tc>
          <w:tcPr>
            <w:tcW w:w="9322" w:type="dxa"/>
            <w:tcBorders>
              <w:top w:val="nil"/>
              <w:left w:val="nil"/>
              <w:bottom w:val="nil"/>
              <w:right w:val="nil"/>
            </w:tcBorders>
            <w:tcMar>
              <w:top w:w="0" w:type="dxa"/>
              <w:left w:w="62" w:type="dxa"/>
              <w:bottom w:w="0" w:type="dxa"/>
              <w:right w:w="62" w:type="dxa"/>
            </w:tcMar>
          </w:tcPr>
          <w:p w:rsidR="00000000" w:rsidRPr="00194DF9" w:rsidP="00194DF9">
            <w:pPr>
              <w:pStyle w:val="BodyText"/>
            </w:pPr>
            <w:r w:rsidRPr="00194DF9">
              <w:rPr>
                <w:rStyle w:val="SpecialBold"/>
              </w:rPr>
              <w:t>Required knowledge</w:t>
            </w:r>
            <w:r w:rsidRPr="00194DF9">
              <w:t>:</w:t>
            </w:r>
          </w:p>
          <w:p w:rsidR="00000000" w:rsidRPr="00194DF9" w:rsidP="00194DF9">
            <w:pPr>
              <w:pStyle w:val="BodyText"/>
            </w:pPr>
            <w:r w:rsidRPr="00194DF9">
              <w:t>Look for evidence that confirms knowledge and understanding of:</w:t>
            </w:r>
          </w:p>
          <w:p w:rsidR="00000000" w:rsidRPr="00194DF9" w:rsidP="00194DF9">
            <w:pPr>
              <w:pStyle w:val="ListBullet2"/>
            </w:pPr>
            <w:r w:rsidRPr="00194DF9">
              <w:t xml:space="preserve">general features and underlying principles of legal entities and legal relationships </w:t>
            </w:r>
          </w:p>
          <w:p w:rsidR="00000000" w:rsidRPr="00194DF9" w:rsidP="00194DF9">
            <w:pPr>
              <w:pStyle w:val="ListBullet2"/>
            </w:pPr>
            <w:r w:rsidRPr="00194DF9">
              <w:t>fundamental</w:t>
            </w:r>
            <w:r w:rsidRPr="00194DF9">
              <w:t xml:space="preserve"> nature of property and principles relating to personal or real property, leases, licences and assignment of property</w:t>
            </w:r>
          </w:p>
          <w:p w:rsidR="00000000" w:rsidRPr="00194DF9" w:rsidP="00194DF9">
            <w:pPr>
              <w:pStyle w:val="ListBullet2"/>
            </w:pPr>
            <w:r w:rsidRPr="00194DF9">
              <w:t>mortgages, easements, charges, memorials and restrictive covenants</w:t>
            </w:r>
          </w:p>
          <w:p w:rsidR="00000000" w:rsidRPr="00194DF9" w:rsidP="00194DF9">
            <w:pPr>
              <w:pStyle w:val="ListBullet2"/>
            </w:pPr>
            <w:r w:rsidRPr="00194DF9">
              <w:t>sources of property law</w:t>
            </w:r>
          </w:p>
          <w:p w:rsidR="00000000" w:rsidRPr="00194DF9" w:rsidP="00194DF9">
            <w:pPr>
              <w:pStyle w:val="ListBullet2"/>
            </w:pPr>
            <w:r w:rsidRPr="00194DF9">
              <w:t>features of a partnership</w:t>
            </w:r>
          </w:p>
          <w:p w:rsidR="00000000" w:rsidRPr="00194DF9" w:rsidP="00194DF9">
            <w:pPr>
              <w:pStyle w:val="ListBullet2"/>
            </w:pPr>
            <w:r w:rsidRPr="00194DF9">
              <w:t>business processes</w:t>
            </w:r>
          </w:p>
        </w:tc>
      </w:tr>
    </w:tbl>
    <w:p w:rsidR="00000000" w:rsidRPr="00194DF9" w:rsidP="00194DF9">
      <w:pPr>
        <w:pStyle w:val="BodyText"/>
      </w:pPr>
    </w:p>
    <w:p w:rsidR="00000000" w:rsidRPr="00194DF9" w:rsidP="00194DF9">
      <w:pPr>
        <w:pStyle w:val="AllowPageBreak"/>
      </w:pPr>
    </w:p>
    <w:p w:rsidR="00000000" w:rsidRPr="00194DF9" w:rsidP="00194DF9">
      <w:pPr>
        <w:pStyle w:val="Heading1"/>
      </w:pPr>
      <w:bookmarkStart w:id="10" w:name="O_499124"/>
      <w:bookmarkEnd w:id="10"/>
      <w:r w:rsidRPr="00194DF9">
        <w:t>Evidence Guide</w:t>
      </w:r>
    </w:p>
    <w:tbl>
      <w:tblPr>
        <w:tblW w:w="9322" w:type="dxa"/>
        <w:tblLayout w:type="fixed"/>
        <w:tblCellMar>
          <w:left w:w="62" w:type="dxa"/>
          <w:right w:w="62" w:type="dxa"/>
        </w:tblCellMar>
        <w:tblLook w:val="0000"/>
      </w:tblPr>
      <w:tblGrid>
        <w:gridCol w:w="2660"/>
        <w:gridCol w:w="6662"/>
      </w:tblGrid>
      <w:tr w:rsidTr="001D14E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194DF9">
            <w:pPr>
              <w:pStyle w:val="BodyText"/>
              <w:rPr>
                <w:lang w:val="en-NZ"/>
              </w:rPr>
            </w:pPr>
            <w:r w:rsidRPr="00194DF9">
              <w:t>The Evidence Guide specifies the evidence required to demonstrate achievement in the unit of competency as a whole. It must be read in conjunction with the unit descriptor, performance criteria, The range statement and the A</w:t>
            </w:r>
            <w:r w:rsidRPr="00194DF9">
              <w:t>ssessment Guidelines for the Public Sector Training Package.</w:t>
            </w:r>
          </w:p>
        </w:tc>
      </w:tr>
      <w:tr w:rsidTr="001D14E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94DF9">
            <w:pPr>
              <w:pStyle w:val="BodyText"/>
              <w:rPr>
                <w:lang w:val="en-NZ"/>
              </w:rPr>
            </w:pPr>
            <w:r w:rsidRPr="00194DF9">
              <w:rPr>
                <w:rStyle w:val="SpecialBold"/>
              </w:rPr>
              <w:t>Units to be assessed together</w:t>
            </w:r>
            <w:r w:rsidRPr="00194DF9">
              <w:t xml:space="preserve"> </w:t>
            </w:r>
          </w:p>
        </w:tc>
        <w:tc>
          <w:tcPr>
            <w:tcW w:w="6662" w:type="dxa"/>
            <w:tcBorders>
              <w:top w:val="nil"/>
              <w:left w:val="nil"/>
              <w:bottom w:val="nil"/>
              <w:right w:val="nil"/>
            </w:tcBorders>
            <w:tcMar>
              <w:top w:w="0" w:type="dxa"/>
              <w:left w:w="62" w:type="dxa"/>
              <w:bottom w:w="0" w:type="dxa"/>
              <w:right w:w="62" w:type="dxa"/>
            </w:tcMar>
          </w:tcPr>
          <w:p w:rsidR="00000000" w:rsidRPr="00194DF9" w:rsidP="00194DF9">
            <w:pPr>
              <w:pStyle w:val="BodyText"/>
            </w:pPr>
            <w:r w:rsidRPr="00194DF9">
              <w:t>Co-assessed units that may be assessed with this unit to increase the efficiency and realism of the assessment process include:</w:t>
            </w:r>
          </w:p>
          <w:p w:rsidR="00000000" w:rsidRPr="00194DF9" w:rsidP="00194DF9">
            <w:pPr>
              <w:pStyle w:val="ListBullet2"/>
            </w:pPr>
            <w:r w:rsidRPr="00194DF9">
              <w:t>PSPETHC401A Uphold and support the values and principles of public service</w:t>
            </w:r>
          </w:p>
          <w:p w:rsidR="00000000" w:rsidRPr="00194DF9" w:rsidP="00194DF9">
            <w:pPr>
              <w:pStyle w:val="ListBullet2"/>
            </w:pPr>
            <w:r w:rsidRPr="00194DF9">
              <w:t>PSPREV401A Identify and apply statute law</w:t>
            </w:r>
          </w:p>
          <w:p w:rsidR="00000000" w:rsidRPr="00194DF9" w:rsidP="00194DF9">
            <w:pPr>
              <w:pStyle w:val="ListBullet2"/>
            </w:pPr>
            <w:r w:rsidRPr="00194DF9">
              <w:t>PSPREV402A Undertake legislative decision making</w:t>
            </w:r>
          </w:p>
          <w:p w:rsidR="00000000" w:rsidRPr="00194DF9" w:rsidP="00194DF9">
            <w:pPr>
              <w:pStyle w:val="ListBullet2"/>
            </w:pPr>
            <w:r w:rsidRPr="00194DF9">
              <w:t>PSPREV405A Assess applications for grants, subsidies and rebates</w:t>
            </w:r>
          </w:p>
          <w:p w:rsidR="00000000" w:rsidP="00194DF9">
            <w:pPr>
              <w:pStyle w:val="ListBullet2"/>
              <w:rPr>
                <w:lang w:val="en-NZ"/>
              </w:rPr>
            </w:pPr>
            <w:r w:rsidRPr="00194DF9">
              <w:t>PSPGOV402B Deliver and mo</w:t>
            </w:r>
            <w:r w:rsidRPr="00194DF9">
              <w:t>nitor service to clients</w:t>
            </w:r>
          </w:p>
        </w:tc>
      </w:tr>
      <w:tr w:rsidTr="001D14E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94DF9">
            <w:pPr>
              <w:pStyle w:val="BodyText"/>
              <w:rPr>
                <w:lang w:val="en-NZ"/>
              </w:rPr>
            </w:pPr>
            <w:r w:rsidRPr="00194DF9">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194DF9" w:rsidP="00194DF9">
            <w:pPr>
              <w:pStyle w:val="BodyText"/>
            </w:pPr>
            <w:r w:rsidRPr="00194DF9">
              <w:t>In addition to integrated demonstration of the elements and their related performance criteria, look for evidence that confirms:</w:t>
            </w:r>
          </w:p>
          <w:p w:rsidR="00000000" w:rsidRPr="00194DF9" w:rsidP="00194DF9">
            <w:pPr>
              <w:pStyle w:val="ListBullet2"/>
            </w:pPr>
            <w:r w:rsidRPr="00194DF9">
              <w:t xml:space="preserve">knowledge requirements of this unit </w:t>
            </w:r>
          </w:p>
          <w:p w:rsidR="00000000" w:rsidRPr="00194DF9" w:rsidP="00194DF9">
            <w:pPr>
              <w:pStyle w:val="ListBullet2"/>
            </w:pPr>
            <w:r w:rsidRPr="00194DF9">
              <w:t>skill requirements of this unit</w:t>
            </w:r>
          </w:p>
          <w:p w:rsidR="00000000" w:rsidP="00194DF9">
            <w:pPr>
              <w:pStyle w:val="ListBullet2"/>
              <w:rPr>
                <w:lang w:val="en-NZ"/>
              </w:rPr>
            </w:pPr>
            <w:r w:rsidRPr="00194DF9">
              <w:t>application of employability skills as they relate to this unit</w:t>
            </w:r>
          </w:p>
        </w:tc>
      </w:tr>
      <w:tr w:rsidTr="001D14E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94DF9">
            <w:pPr>
              <w:pStyle w:val="BodyText"/>
              <w:rPr>
                <w:lang w:val="en-NZ"/>
              </w:rPr>
            </w:pPr>
            <w:r w:rsidRPr="00194DF9">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194DF9" w:rsidP="00194DF9">
            <w:pPr>
              <w:pStyle w:val="BodyText"/>
            </w:pPr>
            <w:r w:rsidRPr="00194DF9">
              <w:t>These resources include:</w:t>
            </w:r>
          </w:p>
          <w:p w:rsidR="00000000" w:rsidRPr="00194DF9" w:rsidP="00194DF9">
            <w:pPr>
              <w:pStyle w:val="ListBullet2"/>
            </w:pPr>
            <w:r w:rsidRPr="00194DF9">
              <w:t>examples of legal entity, relationship and property issues</w:t>
            </w:r>
          </w:p>
          <w:p w:rsidR="00000000" w:rsidRPr="00194DF9" w:rsidP="00194DF9">
            <w:pPr>
              <w:pStyle w:val="ListBullet2"/>
            </w:pPr>
            <w:r w:rsidRPr="00194DF9">
              <w:t>government legislation, regulat</w:t>
            </w:r>
            <w:r w:rsidRPr="00194DF9">
              <w:t>ions, rulings, Commissioner's practices and other applicable case law that refer to legal entity, relationship and property issues</w:t>
            </w:r>
          </w:p>
          <w:p w:rsidR="00000000" w:rsidRPr="00194DF9" w:rsidP="00194DF9">
            <w:pPr>
              <w:pStyle w:val="ListBullet2"/>
            </w:pPr>
            <w:r w:rsidRPr="00194DF9">
              <w:t>organisational procedures and protocols</w:t>
            </w:r>
          </w:p>
          <w:p w:rsidR="00000000" w:rsidRPr="00194DF9" w:rsidP="00194DF9">
            <w:pPr>
              <w:pStyle w:val="ListBullet2"/>
            </w:pPr>
            <w:r w:rsidRPr="00194DF9">
              <w:t>scenarios and case studies to capture the range of situations likely to be encountere</w:t>
            </w:r>
            <w:r w:rsidRPr="00194DF9">
              <w:t>d when dealing with legal entity, relationship and property issues</w:t>
            </w:r>
          </w:p>
          <w:p w:rsidR="00000000" w:rsidP="00194DF9">
            <w:pPr>
              <w:pStyle w:val="ListBullet2"/>
              <w:rPr>
                <w:lang w:val="en-NZ"/>
              </w:rPr>
            </w:pPr>
            <w:r w:rsidRPr="00194DF9">
              <w:t>access to relevant systems</w:t>
            </w:r>
          </w:p>
        </w:tc>
      </w:tr>
      <w:tr w:rsidTr="001D14E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94DF9">
            <w:pPr>
              <w:pStyle w:val="BodyText"/>
              <w:rPr>
                <w:lang w:val="en-NZ"/>
              </w:rPr>
            </w:pPr>
            <w:r w:rsidRPr="00194DF9">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194DF9" w:rsidP="00194DF9">
            <w:pPr>
              <w:pStyle w:val="BodyText"/>
            </w:pPr>
            <w:r w:rsidRPr="00194DF9">
              <w:t xml:space="preserve">Valid assessment of this unit requires: </w:t>
            </w:r>
          </w:p>
          <w:p w:rsidR="00000000" w:rsidRPr="00194DF9" w:rsidP="00194DF9">
            <w:pPr>
              <w:pStyle w:val="ListBullet2"/>
            </w:pPr>
            <w:r w:rsidRPr="00194DF9">
              <w:t>a workplace environment or one that closely resembles normal work practice and replicates the range of conditions likely to be encountered when legal entities, relationships and property, including coping with ambiguity, difficulties, irregularities and br</w:t>
            </w:r>
            <w:r w:rsidRPr="00194DF9">
              <w:t>eakdowns in routine</w:t>
            </w:r>
          </w:p>
          <w:p w:rsidR="00000000" w:rsidRPr="00194DF9" w:rsidP="00194DF9">
            <w:pPr>
              <w:pStyle w:val="ListBullet2"/>
            </w:pPr>
            <w:r w:rsidRPr="00194DF9">
              <w:t>dealing with legal entities, relationships and property issues in a range of three or more contexts or occasions, over time</w:t>
            </w:r>
          </w:p>
          <w:p w:rsidR="00000000" w:rsidRPr="00194DF9" w:rsidP="00194DF9">
            <w:pPr>
              <w:pStyle w:val="BodyText"/>
            </w:pPr>
            <w:r w:rsidRPr="00194DF9">
              <w:t>Assessment methods should reflect but not exceed workplace demands, such as literacy, and the needs of individua</w:t>
            </w:r>
            <w:r w:rsidRPr="00194DF9">
              <w:t>ls who might be disadvantaged.</w:t>
            </w:r>
          </w:p>
          <w:p w:rsidR="00000000" w:rsidRPr="00194DF9" w:rsidP="00194DF9">
            <w:pPr>
              <w:pStyle w:val="BodyText"/>
            </w:pPr>
            <w:r w:rsidRPr="00194DF9">
              <w:t xml:space="preserve">Assessment methods suitable for valid and reliable assessment of this unit must use authenticated evidence from the workplace and/or training courses and may include a combination of two or more of: </w:t>
            </w:r>
          </w:p>
          <w:p w:rsidR="00000000" w:rsidRPr="00194DF9" w:rsidP="00194DF9">
            <w:pPr>
              <w:pStyle w:val="ListBullet2"/>
            </w:pPr>
            <w:r w:rsidRPr="00194DF9">
              <w:t>case studies and scenari</w:t>
            </w:r>
            <w:r w:rsidRPr="00194DF9">
              <w:t>os</w:t>
            </w:r>
          </w:p>
          <w:p w:rsidR="00000000" w:rsidRPr="00194DF9" w:rsidP="00194DF9">
            <w:pPr>
              <w:pStyle w:val="ListBullet2"/>
            </w:pPr>
            <w:r w:rsidRPr="00194DF9">
              <w:t xml:space="preserve">portfolios </w:t>
            </w:r>
          </w:p>
          <w:p w:rsidR="00000000" w:rsidRPr="00194DF9" w:rsidP="00194DF9">
            <w:pPr>
              <w:pStyle w:val="ListBullet2"/>
            </w:pPr>
            <w:r w:rsidRPr="00194DF9">
              <w:t>questioning</w:t>
            </w:r>
          </w:p>
          <w:p w:rsidR="00000000" w:rsidRPr="00194DF9" w:rsidP="00194DF9">
            <w:pPr>
              <w:pStyle w:val="ListBullet2"/>
            </w:pPr>
            <w:r w:rsidRPr="00194DF9">
              <w:t>simulation or role plays</w:t>
            </w:r>
          </w:p>
          <w:p w:rsidR="00000000" w:rsidP="00194DF9">
            <w:pPr>
              <w:pStyle w:val="BodyText"/>
              <w:rPr>
                <w:lang w:val="en-NZ"/>
              </w:rPr>
            </w:pPr>
            <w:r w:rsidRPr="00194DF9">
              <w:t>The assessment environment should not disadvantage the candidate and where the person has a disability the principle of reasonable adjustment should be applied during assessment.</w:t>
            </w:r>
          </w:p>
        </w:tc>
      </w:tr>
      <w:tr w:rsidTr="001D14E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94DF9">
            <w:pPr>
              <w:pStyle w:val="BodyText"/>
              <w:rPr>
                <w:lang w:val="en-NZ"/>
              </w:rPr>
            </w:pPr>
            <w:r w:rsidRPr="00194DF9">
              <w:rPr>
                <w:rStyle w:val="SpecialBold"/>
              </w:rPr>
              <w:t>For consistency of asses</w:t>
            </w:r>
            <w:r w:rsidRPr="00194DF9">
              <w:rPr>
                <w:rStyle w:val="SpecialBold"/>
              </w:rPr>
              <w:t>sment</w:t>
            </w:r>
          </w:p>
        </w:tc>
        <w:tc>
          <w:tcPr>
            <w:tcW w:w="6662" w:type="dxa"/>
            <w:tcBorders>
              <w:top w:val="nil"/>
              <w:left w:val="nil"/>
              <w:bottom w:val="nil"/>
              <w:right w:val="nil"/>
            </w:tcBorders>
            <w:tcMar>
              <w:top w:w="0" w:type="dxa"/>
              <w:left w:w="62" w:type="dxa"/>
              <w:bottom w:w="0" w:type="dxa"/>
              <w:right w:w="62" w:type="dxa"/>
            </w:tcMar>
          </w:tcPr>
          <w:p w:rsidR="00000000" w:rsidRPr="00194DF9" w:rsidP="00194DF9">
            <w:pPr>
              <w:pStyle w:val="BodyText"/>
            </w:pPr>
            <w:r w:rsidRPr="00194DF9">
              <w:t>Evidence must be gathered over time in a range of contexts to ensure the person can achieve the unit outcome and apply the competency in different situations or environments.</w:t>
            </w:r>
          </w:p>
        </w:tc>
      </w:tr>
    </w:tbl>
    <w:p w:rsidR="00000000" w:rsidRPr="00194DF9" w:rsidP="00194DF9">
      <w:pPr>
        <w:pStyle w:val="BodyText"/>
      </w:pPr>
    </w:p>
    <w:p w:rsidR="00000000" w:rsidRPr="00194DF9" w:rsidP="00194DF9">
      <w:pPr>
        <w:pStyle w:val="AllowPageBreak"/>
      </w:pPr>
    </w:p>
    <w:p w:rsidR="00000000" w:rsidRPr="00194DF9" w:rsidP="00194DF9">
      <w:pPr>
        <w:pStyle w:val="Heading1"/>
      </w:pPr>
      <w:bookmarkStart w:id="11" w:name="O_499118"/>
      <w:bookmarkEnd w:id="11"/>
      <w:r w:rsidRPr="00194DF9">
        <w:t>Range Statement</w:t>
      </w:r>
    </w:p>
    <w:tbl>
      <w:tblPr>
        <w:tblW w:w="9322" w:type="dxa"/>
        <w:tblLayout w:type="fixed"/>
        <w:tblCellMar>
          <w:left w:w="62" w:type="dxa"/>
          <w:right w:w="62" w:type="dxa"/>
        </w:tblCellMar>
        <w:tblLook w:val="0000"/>
      </w:tblPr>
      <w:tblGrid>
        <w:gridCol w:w="2660"/>
        <w:gridCol w:w="6662"/>
      </w:tblGrid>
      <w:tr w:rsidTr="001D14E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194DF9">
            <w:pPr>
              <w:pStyle w:val="BodyText"/>
              <w:rPr>
                <w:lang w:val="en-NZ"/>
              </w:rPr>
            </w:pPr>
            <w:r w:rsidRPr="00194DF9">
              <w:t>The range statement pro</w:t>
            </w:r>
            <w:r w:rsidRPr="00194DF9">
              <w:t>vides information about the context in which the unit of competency is carried out. The variables cater for differences between States and Territories and the Commonwealth, and between organisations and workplaces. They allow for different work requirement</w:t>
            </w:r>
            <w:r w:rsidRPr="00194DF9">
              <w:t xml:space="preserve">s, work practices and knowledge. The range statement also provides a focus for assessment. It relates to the unit as a whole. Text in </w:t>
            </w:r>
            <w:r w:rsidRPr="00194DF9">
              <w:rPr>
                <w:rStyle w:val="Emphasis"/>
              </w:rPr>
              <w:t>italics</w:t>
            </w:r>
            <w:r w:rsidRPr="00194DF9">
              <w:t xml:space="preserve"> in the Performance criteria is explained here.</w:t>
            </w:r>
          </w:p>
        </w:tc>
      </w:tr>
      <w:tr w:rsidTr="001D14E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94DF9">
            <w:pPr>
              <w:pStyle w:val="BodyText"/>
              <w:rPr>
                <w:lang w:val="en-NZ"/>
              </w:rPr>
            </w:pPr>
            <w:r w:rsidRPr="00194DF9">
              <w:rPr>
                <w:rStyle w:val="BoldandItalics"/>
              </w:rPr>
              <w:t>Legal entities</w:t>
            </w:r>
            <w:r w:rsidRPr="00194DF9">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94DF9" w:rsidP="00194DF9">
            <w:pPr>
              <w:pStyle w:val="ListBullet2"/>
            </w:pPr>
            <w:r w:rsidRPr="00194DF9">
              <w:t>the Crown</w:t>
            </w:r>
          </w:p>
          <w:p w:rsidR="00000000" w:rsidRPr="00194DF9" w:rsidP="00194DF9">
            <w:pPr>
              <w:pStyle w:val="ListBullet2"/>
            </w:pPr>
            <w:r w:rsidRPr="00194DF9">
              <w:t>corporations</w:t>
            </w:r>
          </w:p>
          <w:p w:rsidR="00000000" w:rsidRPr="00194DF9" w:rsidP="00194DF9">
            <w:pPr>
              <w:pStyle w:val="ListBullet2"/>
            </w:pPr>
            <w:r w:rsidRPr="00194DF9">
              <w:t>trustees</w:t>
            </w:r>
          </w:p>
          <w:p w:rsidR="00000000" w:rsidRPr="00194DF9" w:rsidP="00194DF9">
            <w:pPr>
              <w:pStyle w:val="ListBullet2"/>
            </w:pPr>
            <w:r w:rsidRPr="00194DF9">
              <w:t>incorporated associations</w:t>
            </w:r>
          </w:p>
          <w:p w:rsidR="00000000" w:rsidP="00194DF9">
            <w:pPr>
              <w:pStyle w:val="ListBullet2"/>
              <w:rPr>
                <w:lang w:val="en-NZ"/>
              </w:rPr>
            </w:pPr>
            <w:r w:rsidRPr="00194DF9">
              <w:t>cooperatives</w:t>
            </w:r>
          </w:p>
        </w:tc>
      </w:tr>
      <w:tr w:rsidTr="001D14E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94DF9">
            <w:pPr>
              <w:pStyle w:val="BodyText"/>
              <w:rPr>
                <w:lang w:val="en-NZ"/>
              </w:rPr>
            </w:pPr>
            <w:r w:rsidRPr="00194DF9">
              <w:rPr>
                <w:rStyle w:val="BoldandItalics"/>
              </w:rPr>
              <w:t>Features of legal entities</w:t>
            </w:r>
            <w:r w:rsidRPr="00194DF9">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94DF9" w:rsidP="00194DF9">
            <w:pPr>
              <w:pStyle w:val="ListBullet2"/>
            </w:pPr>
            <w:r w:rsidRPr="00194DF9">
              <w:t>natural persons:</w:t>
            </w:r>
          </w:p>
          <w:p w:rsidR="00000000" w:rsidRPr="00194DF9" w:rsidP="00194DF9">
            <w:pPr>
              <w:pStyle w:val="ListBullet3"/>
            </w:pPr>
            <w:r w:rsidRPr="00194DF9">
              <w:t>ownership of property</w:t>
            </w:r>
          </w:p>
          <w:p w:rsidR="00000000" w:rsidRPr="00194DF9" w:rsidP="00194DF9">
            <w:pPr>
              <w:pStyle w:val="ListBullet3"/>
            </w:pPr>
            <w:r w:rsidRPr="00194DF9">
              <w:t>liabilities</w:t>
            </w:r>
          </w:p>
          <w:p w:rsidR="00000000" w:rsidRPr="00194DF9" w:rsidP="00194DF9">
            <w:pPr>
              <w:pStyle w:val="ListBullet3"/>
            </w:pPr>
            <w:r w:rsidRPr="00194DF9">
              <w:t xml:space="preserve">directors </w:t>
            </w:r>
          </w:p>
          <w:p w:rsidR="00000000" w:rsidRPr="00194DF9" w:rsidP="00194DF9">
            <w:pPr>
              <w:pStyle w:val="ListBullet3"/>
            </w:pPr>
            <w:r w:rsidRPr="00194DF9">
              <w:t>shares</w:t>
            </w:r>
          </w:p>
          <w:p w:rsidR="00000000" w:rsidRPr="00194DF9" w:rsidP="00194DF9">
            <w:pPr>
              <w:pStyle w:val="ListBullet3"/>
            </w:pPr>
            <w:r w:rsidRPr="00194DF9">
              <w:t>bankruptcy</w:t>
            </w:r>
          </w:p>
          <w:p w:rsidR="00000000" w:rsidRPr="00194DF9" w:rsidP="00194DF9">
            <w:pPr>
              <w:pStyle w:val="ListBullet3"/>
            </w:pPr>
            <w:r w:rsidRPr="00194DF9">
              <w:t>role of executors and trustees</w:t>
            </w:r>
          </w:p>
          <w:p w:rsidR="00000000" w:rsidRPr="00194DF9" w:rsidP="00194DF9">
            <w:pPr>
              <w:pStyle w:val="ListBullet3"/>
            </w:pPr>
            <w:r w:rsidRPr="00194DF9">
              <w:t>minors</w:t>
            </w:r>
          </w:p>
          <w:p w:rsidR="00000000" w:rsidRPr="00194DF9" w:rsidP="00194DF9">
            <w:pPr>
              <w:pStyle w:val="ListBullet2"/>
            </w:pPr>
            <w:r w:rsidRPr="00194DF9">
              <w:t>corporations:</w:t>
            </w:r>
          </w:p>
          <w:p w:rsidR="00000000" w:rsidRPr="00194DF9" w:rsidP="00194DF9">
            <w:pPr>
              <w:pStyle w:val="ListBullet3"/>
            </w:pPr>
            <w:r w:rsidRPr="00194DF9">
              <w:t>nature</w:t>
            </w:r>
          </w:p>
          <w:p w:rsidR="00000000" w:rsidRPr="00194DF9" w:rsidP="00194DF9">
            <w:pPr>
              <w:pStyle w:val="ListBullet3"/>
            </w:pPr>
            <w:r w:rsidRPr="00194DF9">
              <w:t>types</w:t>
            </w:r>
          </w:p>
          <w:p w:rsidR="00000000" w:rsidRPr="00194DF9" w:rsidP="00194DF9">
            <w:pPr>
              <w:pStyle w:val="ListBullet3"/>
            </w:pPr>
            <w:r w:rsidRPr="00194DF9">
              <w:t>governing bodies</w:t>
            </w:r>
          </w:p>
          <w:p w:rsidR="00000000" w:rsidRPr="00194DF9" w:rsidP="00194DF9">
            <w:pPr>
              <w:pStyle w:val="ListBullet3"/>
            </w:pPr>
            <w:r w:rsidRPr="00194DF9">
              <w:t>process of formation</w:t>
            </w:r>
          </w:p>
          <w:p w:rsidR="00000000" w:rsidRPr="00194DF9" w:rsidP="00194DF9">
            <w:pPr>
              <w:pStyle w:val="ListBullet3"/>
            </w:pPr>
            <w:r w:rsidRPr="00194DF9">
              <w:t>liabilities</w:t>
            </w:r>
          </w:p>
          <w:p w:rsidR="00000000" w:rsidRPr="00194DF9" w:rsidP="00194DF9">
            <w:pPr>
              <w:pStyle w:val="ListBullet3"/>
            </w:pPr>
            <w:r w:rsidRPr="00194DF9">
              <w:t>receivership</w:t>
            </w:r>
          </w:p>
          <w:p w:rsidR="00000000" w:rsidP="00194DF9">
            <w:pPr>
              <w:pStyle w:val="ListBullet3"/>
              <w:rPr>
                <w:lang w:val="en-NZ"/>
              </w:rPr>
            </w:pPr>
            <w:r w:rsidRPr="00194DF9">
              <w:t>voluntary and involuntary wind-up</w:t>
            </w:r>
          </w:p>
        </w:tc>
      </w:tr>
      <w:tr w:rsidTr="001D14E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94DF9">
            <w:pPr>
              <w:pStyle w:val="BodyText"/>
              <w:rPr>
                <w:lang w:val="en-NZ"/>
              </w:rPr>
            </w:pPr>
            <w:r w:rsidRPr="00194DF9">
              <w:rPr>
                <w:rStyle w:val="BoldandItalics"/>
              </w:rPr>
              <w:t>Transactions</w:t>
            </w:r>
            <w:r w:rsidRPr="00194DF9">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94DF9" w:rsidP="00194DF9">
            <w:pPr>
              <w:pStyle w:val="ListBullet2"/>
            </w:pPr>
            <w:r w:rsidRPr="00194DF9">
              <w:t>purchases and sales of personal and real property</w:t>
            </w:r>
          </w:p>
          <w:p w:rsidR="00000000" w:rsidRPr="00194DF9" w:rsidP="00194DF9">
            <w:pPr>
              <w:pStyle w:val="ListBullet2"/>
            </w:pPr>
            <w:r w:rsidRPr="00194DF9">
              <w:t>voluntary dispositions</w:t>
            </w:r>
          </w:p>
          <w:p w:rsidR="00000000" w:rsidRPr="00194DF9" w:rsidP="00194DF9">
            <w:pPr>
              <w:pStyle w:val="ListBullet2"/>
            </w:pPr>
            <w:r w:rsidRPr="00194DF9">
              <w:t>transfers of real estate</w:t>
            </w:r>
          </w:p>
          <w:p w:rsidR="00000000" w:rsidRPr="00194DF9" w:rsidP="00194DF9">
            <w:pPr>
              <w:pStyle w:val="ListBullet2"/>
            </w:pPr>
            <w:r w:rsidRPr="00194DF9">
              <w:t>transfers of businesses</w:t>
            </w:r>
          </w:p>
          <w:p w:rsidR="00000000" w:rsidRPr="00194DF9" w:rsidP="00194DF9">
            <w:pPr>
              <w:pStyle w:val="ListBullet2"/>
            </w:pPr>
            <w:r w:rsidRPr="00194DF9">
              <w:t>transfers of statutory licences</w:t>
            </w:r>
          </w:p>
          <w:p w:rsidR="00000000" w:rsidRPr="00194DF9" w:rsidP="00194DF9">
            <w:pPr>
              <w:pStyle w:val="ListBullet2"/>
            </w:pPr>
            <w:r w:rsidRPr="00194DF9">
              <w:t xml:space="preserve">creation and dissolution of partnerships </w:t>
            </w:r>
          </w:p>
          <w:p w:rsidR="00000000" w:rsidRPr="00194DF9" w:rsidP="00194DF9">
            <w:pPr>
              <w:pStyle w:val="ListBullet2"/>
            </w:pPr>
            <w:r w:rsidRPr="00194DF9">
              <w:t>creation and variation to trust deeds</w:t>
            </w:r>
          </w:p>
          <w:p w:rsidR="00000000" w:rsidRPr="00194DF9" w:rsidP="00194DF9">
            <w:pPr>
              <w:pStyle w:val="ListBullet2"/>
            </w:pPr>
            <w:r w:rsidRPr="00194DF9">
              <w:t>financial transactions</w:t>
            </w:r>
          </w:p>
          <w:p w:rsidR="00000000" w:rsidRPr="00194DF9" w:rsidP="00194DF9">
            <w:pPr>
              <w:pStyle w:val="ListBullet2"/>
            </w:pPr>
            <w:r w:rsidRPr="00194DF9">
              <w:t>charges and discharges</w:t>
            </w:r>
          </w:p>
          <w:p w:rsidR="00000000" w:rsidRPr="00194DF9" w:rsidP="00194DF9">
            <w:pPr>
              <w:pStyle w:val="ListBullet2"/>
            </w:pPr>
            <w:r w:rsidRPr="00194DF9">
              <w:t>settlement undertakings</w:t>
            </w:r>
          </w:p>
          <w:p w:rsidR="00000000" w:rsidRPr="00194DF9" w:rsidP="00194DF9">
            <w:pPr>
              <w:pStyle w:val="ListBullet2"/>
            </w:pPr>
            <w:r w:rsidRPr="00194DF9">
              <w:t>payment of wages</w:t>
            </w:r>
          </w:p>
          <w:p w:rsidR="00000000" w:rsidP="00194DF9">
            <w:pPr>
              <w:pStyle w:val="ListBullet2"/>
              <w:rPr>
                <w:lang w:val="en-NZ"/>
              </w:rPr>
            </w:pPr>
            <w:r w:rsidRPr="00194DF9">
              <w:t>leases</w:t>
            </w:r>
          </w:p>
        </w:tc>
      </w:tr>
      <w:tr w:rsidTr="001D14E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94DF9">
            <w:pPr>
              <w:pStyle w:val="BodyText"/>
              <w:rPr>
                <w:lang w:val="en-NZ"/>
              </w:rPr>
            </w:pPr>
            <w:r w:rsidRPr="00194DF9">
              <w:rPr>
                <w:rStyle w:val="BoldandItalics"/>
              </w:rPr>
              <w:t>Legal relationships</w:t>
            </w:r>
            <w:r w:rsidRPr="00194DF9">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94DF9" w:rsidP="00194DF9">
            <w:pPr>
              <w:pStyle w:val="ListBullet2"/>
            </w:pPr>
            <w:r w:rsidRPr="00194DF9">
              <w:t>partnerships</w:t>
            </w:r>
          </w:p>
          <w:p w:rsidR="00000000" w:rsidRPr="00194DF9" w:rsidP="00194DF9">
            <w:pPr>
              <w:pStyle w:val="ListBullet2"/>
            </w:pPr>
            <w:r w:rsidRPr="00194DF9">
              <w:t>joint ventures</w:t>
            </w:r>
          </w:p>
          <w:p w:rsidR="00000000" w:rsidRPr="00194DF9" w:rsidP="00194DF9">
            <w:pPr>
              <w:pStyle w:val="ListBullet2"/>
            </w:pPr>
            <w:r w:rsidRPr="00194DF9">
              <w:t>associations</w:t>
            </w:r>
          </w:p>
          <w:p w:rsidR="00000000" w:rsidRPr="00194DF9" w:rsidP="00194DF9">
            <w:pPr>
              <w:pStyle w:val="ListBullet2"/>
            </w:pPr>
            <w:r w:rsidRPr="00194DF9">
              <w:t>trusts</w:t>
            </w:r>
          </w:p>
          <w:p w:rsidR="00000000" w:rsidRPr="00194DF9" w:rsidP="00194DF9">
            <w:pPr>
              <w:pStyle w:val="ListBullet2"/>
            </w:pPr>
            <w:r w:rsidRPr="00194DF9">
              <w:t>agencies</w:t>
            </w:r>
          </w:p>
          <w:p w:rsidR="00000000" w:rsidRPr="00194DF9" w:rsidP="00194DF9">
            <w:pPr>
              <w:pStyle w:val="ListBullet2"/>
            </w:pPr>
            <w:r w:rsidRPr="00194DF9">
              <w:t>sole traders</w:t>
            </w:r>
          </w:p>
          <w:p w:rsidR="00000000" w:rsidRPr="00194DF9" w:rsidP="00194DF9">
            <w:pPr>
              <w:pStyle w:val="ListBullet2"/>
            </w:pPr>
            <w:r w:rsidRPr="00194DF9">
              <w:t>employers and employees</w:t>
            </w:r>
          </w:p>
          <w:p w:rsidR="00000000" w:rsidRPr="00194DF9" w:rsidP="00194DF9">
            <w:pPr>
              <w:pStyle w:val="ListBullet2"/>
            </w:pPr>
            <w:r w:rsidRPr="00194DF9">
              <w:t>franchisors and franchisees</w:t>
            </w:r>
          </w:p>
          <w:p w:rsidR="00000000" w:rsidRPr="00194DF9" w:rsidP="00194DF9">
            <w:pPr>
              <w:pStyle w:val="ListBullet2"/>
            </w:pPr>
            <w:r w:rsidRPr="00194DF9">
              <w:t>principals and contractors</w:t>
            </w:r>
          </w:p>
          <w:p w:rsidR="00000000" w:rsidRPr="00194DF9" w:rsidP="00194DF9">
            <w:pPr>
              <w:pStyle w:val="ListBullet2"/>
            </w:pPr>
            <w:r w:rsidRPr="00194DF9">
              <w:t>lessors and lessees</w:t>
            </w:r>
          </w:p>
          <w:p w:rsidR="00000000" w:rsidRPr="00194DF9" w:rsidP="00194DF9">
            <w:pPr>
              <w:pStyle w:val="ListBullet2"/>
            </w:pPr>
            <w:r w:rsidRPr="00194DF9">
              <w:t>subsidiaries</w:t>
            </w:r>
          </w:p>
          <w:p w:rsidR="00000000" w:rsidP="00194DF9">
            <w:pPr>
              <w:pStyle w:val="ListBullet2"/>
              <w:rPr>
                <w:lang w:val="en-NZ"/>
              </w:rPr>
            </w:pPr>
            <w:r w:rsidRPr="00194DF9">
              <w:t>insolvency practitioners</w:t>
            </w:r>
          </w:p>
        </w:tc>
      </w:tr>
      <w:tr w:rsidTr="001D14E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94DF9">
            <w:pPr>
              <w:pStyle w:val="BodyText"/>
              <w:rPr>
                <w:lang w:val="en-NZ"/>
              </w:rPr>
            </w:pPr>
            <w:r w:rsidRPr="00194DF9">
              <w:rPr>
                <w:rStyle w:val="BoldandItalics"/>
              </w:rPr>
              <w:t>Legal types of property</w:t>
            </w:r>
            <w:r w:rsidRPr="00194DF9">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94DF9" w:rsidP="00194DF9">
            <w:pPr>
              <w:pStyle w:val="ListBullet2"/>
            </w:pPr>
            <w:r w:rsidRPr="00194DF9">
              <w:t>real property</w:t>
            </w:r>
          </w:p>
          <w:p w:rsidR="00000000" w:rsidRPr="00194DF9" w:rsidP="00194DF9">
            <w:pPr>
              <w:pStyle w:val="ListBullet2"/>
            </w:pPr>
            <w:r w:rsidRPr="00194DF9">
              <w:t>personal property</w:t>
            </w:r>
          </w:p>
          <w:p w:rsidR="00000000" w:rsidRPr="00194DF9" w:rsidP="00194DF9">
            <w:pPr>
              <w:pStyle w:val="ListBullet2"/>
            </w:pPr>
            <w:r w:rsidRPr="00194DF9">
              <w:t>leasehold land</w:t>
            </w:r>
          </w:p>
          <w:p w:rsidR="00000000" w:rsidRPr="00194DF9" w:rsidP="00194DF9">
            <w:pPr>
              <w:pStyle w:val="ListBullet2"/>
            </w:pPr>
            <w:r w:rsidRPr="00194DF9">
              <w:t>freehold land</w:t>
            </w:r>
          </w:p>
          <w:p w:rsidR="00000000" w:rsidRPr="00194DF9" w:rsidP="00194DF9">
            <w:pPr>
              <w:pStyle w:val="ListBullet2"/>
            </w:pPr>
            <w:r w:rsidRPr="00194DF9">
              <w:t>Crown land</w:t>
            </w:r>
          </w:p>
          <w:p w:rsidR="00000000" w:rsidRPr="00194DF9" w:rsidP="00194DF9">
            <w:pPr>
              <w:pStyle w:val="ListBullet2"/>
            </w:pPr>
            <w:r w:rsidRPr="00194DF9">
              <w:t>statutory licences</w:t>
            </w:r>
          </w:p>
          <w:p w:rsidR="00000000" w:rsidRPr="00194DF9" w:rsidP="00194DF9">
            <w:pPr>
              <w:pStyle w:val="ListBullet2"/>
            </w:pPr>
            <w:r w:rsidRPr="00194DF9">
              <w:t>intellectual property</w:t>
            </w:r>
          </w:p>
          <w:p w:rsidR="00000000" w:rsidP="00194DF9">
            <w:pPr>
              <w:pStyle w:val="ListBullet2"/>
              <w:rPr>
                <w:lang w:val="en-NZ"/>
              </w:rPr>
            </w:pPr>
            <w:r w:rsidRPr="00194DF9">
              <w:t>goodwill</w:t>
            </w:r>
          </w:p>
        </w:tc>
      </w:tr>
      <w:tr w:rsidTr="001D14E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94DF9">
            <w:pPr>
              <w:pStyle w:val="BodyText"/>
              <w:rPr>
                <w:lang w:val="en-NZ"/>
              </w:rPr>
            </w:pPr>
            <w:r w:rsidRPr="00194DF9">
              <w:rPr>
                <w:rStyle w:val="BoldandItalics"/>
              </w:rPr>
              <w:t>Ownership</w:t>
            </w:r>
            <w:r w:rsidRPr="00194DF9">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94DF9" w:rsidP="00194DF9">
            <w:pPr>
              <w:pStyle w:val="ListBullet2"/>
            </w:pPr>
            <w:r w:rsidRPr="00194DF9">
              <w:t>as an individual</w:t>
            </w:r>
          </w:p>
          <w:p w:rsidR="00000000" w:rsidRPr="00194DF9" w:rsidP="00194DF9">
            <w:pPr>
              <w:pStyle w:val="ListBullet2"/>
            </w:pPr>
            <w:r w:rsidRPr="00194DF9">
              <w:t>as a corporation</w:t>
            </w:r>
          </w:p>
          <w:p w:rsidR="00000000" w:rsidRPr="00194DF9" w:rsidP="00194DF9">
            <w:pPr>
              <w:pStyle w:val="ListBullet2"/>
            </w:pPr>
            <w:r w:rsidRPr="00194DF9">
              <w:t>as a beneficiary</w:t>
            </w:r>
          </w:p>
          <w:p w:rsidR="00000000" w:rsidRPr="00194DF9" w:rsidP="00194DF9">
            <w:pPr>
              <w:pStyle w:val="ListBullet2"/>
            </w:pPr>
            <w:r w:rsidRPr="00194DF9">
              <w:t>as trustee</w:t>
            </w:r>
          </w:p>
          <w:p w:rsidR="00000000" w:rsidRPr="00194DF9" w:rsidP="00194DF9">
            <w:pPr>
              <w:pStyle w:val="ListBullet2"/>
            </w:pPr>
            <w:r w:rsidRPr="00194DF9">
              <w:t>as joint tenant</w:t>
            </w:r>
          </w:p>
          <w:p w:rsidR="00000000" w:rsidRPr="00194DF9" w:rsidP="00194DF9">
            <w:pPr>
              <w:pStyle w:val="ListBullet2"/>
            </w:pPr>
            <w:r w:rsidRPr="00194DF9">
              <w:t>as tenant in common</w:t>
            </w:r>
          </w:p>
          <w:p w:rsidR="00000000" w:rsidRPr="00194DF9" w:rsidP="00194DF9">
            <w:pPr>
              <w:pStyle w:val="ListBullet2"/>
            </w:pPr>
            <w:r w:rsidRPr="00194DF9">
              <w:t>as lessee</w:t>
            </w:r>
          </w:p>
          <w:p w:rsidR="00000000" w:rsidRPr="00194DF9" w:rsidP="00194DF9">
            <w:pPr>
              <w:pStyle w:val="ListBullet2"/>
            </w:pPr>
            <w:r w:rsidRPr="00194DF9">
              <w:t>as partner</w:t>
            </w:r>
          </w:p>
          <w:p w:rsidR="00000000" w:rsidRPr="00194DF9" w:rsidP="00194DF9">
            <w:pPr>
              <w:pStyle w:val="ListBullet2"/>
            </w:pPr>
            <w:r w:rsidRPr="00194DF9">
              <w:t>legal, beneficial and equitable ownership</w:t>
            </w:r>
          </w:p>
          <w:p w:rsidR="00000000" w:rsidRPr="00194DF9" w:rsidP="00194DF9">
            <w:pPr>
              <w:pStyle w:val="ListBullet2"/>
            </w:pPr>
            <w:r w:rsidRPr="00194DF9">
              <w:t>life tenancy</w:t>
            </w:r>
          </w:p>
          <w:p w:rsidR="00000000" w:rsidRPr="00194DF9" w:rsidP="00194DF9">
            <w:pPr>
              <w:pStyle w:val="ListBullet2"/>
            </w:pPr>
            <w:r w:rsidRPr="00194DF9">
              <w:t>under a Crown lease</w:t>
            </w:r>
          </w:p>
        </w:tc>
      </w:tr>
    </w:tbl>
    <w:p w:rsidR="001D14E1" w:rsidP="00194DF9">
      <w:pPr>
        <w:pStyle w:val="BodyText"/>
      </w:pPr>
    </w:p>
    <w:p w:rsidR="001D14E1" w:rsidP="00194DF9">
      <w:pPr>
        <w:pStyle w:val="BodyText"/>
      </w:pPr>
    </w:p>
    <w:p w:rsidR="00000000" w:rsidRPr="00194DF9" w:rsidP="00194DF9">
      <w:pPr>
        <w:pStyle w:val="Heading1"/>
      </w:pPr>
      <w:bookmarkStart w:id="12" w:name="O_499116"/>
      <w:bookmarkEnd w:id="12"/>
      <w:r w:rsidRPr="00194DF9">
        <w:t>Unit Sector(s)</w:t>
      </w:r>
    </w:p>
    <w:p w:rsidR="00000000" w:rsidRPr="00194DF9" w:rsidP="00194DF9">
      <w:pPr>
        <w:pStyle w:val="BodyText"/>
      </w:pPr>
      <w:r w:rsidRPr="00194DF9">
        <w:t>Not applicable.</w:t>
      </w:r>
    </w:p>
    <w:p w:rsidR="00000000" w:rsidRPr="00194DF9" w:rsidP="00194DF9">
      <w:pPr>
        <w:pStyle w:val="AllowPageBreak"/>
      </w:pPr>
    </w:p>
    <w:p w:rsidR="00000000" w:rsidRPr="00194DF9" w:rsidP="00194DF9">
      <w:pPr>
        <w:pStyle w:val="Heading1"/>
      </w:pPr>
      <w:bookmarkStart w:id="13" w:name="O_499128"/>
      <w:bookmarkEnd w:id="13"/>
      <w:r w:rsidRPr="00194DF9">
        <w:t>Competency field</w:t>
      </w:r>
    </w:p>
    <w:p w:rsidR="00000000" w:rsidRPr="00194DF9" w:rsidP="00194DF9">
      <w:pPr>
        <w:pStyle w:val="BodyText"/>
      </w:pPr>
      <w:r w:rsidRPr="00194DF9">
        <w:t>Revenue Administration.</w:t>
      </w:r>
    </w:p>
    <w:p w:rsidR="00000000" w:rsidRPr="00194DF9" w:rsidP="00194DF9"/>
    <w:sectPr w:rsidSect="00194D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D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14E1" w:rsidP="001D14E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D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4E1" w:rsidP="00194DF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D14E1" w:rsidP="00194D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D14E1" w:rsidP="00194D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D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DF9" w:rsidRPr="001D14E1" w:rsidP="001D14E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D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4E1" w:rsidRPr="002D2AF8" w:rsidP="00194DF9">
    <w:pPr>
      <w:pStyle w:val="Header"/>
      <w:framePr w:wrap="around"/>
    </w:pPr>
    <w:r>
      <w:fldChar w:fldCharType="begin"/>
    </w:r>
    <w:r>
      <w:instrText xml:space="preserve"> TITLE   \* MERGEFORMAT </w:instrText>
    </w:r>
    <w:r>
      <w:fldChar w:fldCharType="separate"/>
    </w:r>
    <w:r>
      <w:t>PSPREV403A Manage information on legal entities, relationships and property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1D14E1" w:rsidP="00194D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2490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04185D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D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4DF9"/>
    <w:pPr>
      <w:spacing w:before="360" w:after="60"/>
      <w:outlineLvl w:val="0"/>
    </w:pPr>
    <w:rPr>
      <w:sz w:val="32"/>
    </w:rPr>
  </w:style>
  <w:style w:type="paragraph" w:styleId="Heading2">
    <w:name w:val="heading 2"/>
    <w:basedOn w:val="HeadingBase"/>
    <w:next w:val="BodyText"/>
    <w:link w:val="Heading2Char"/>
    <w:qFormat/>
    <w:rsid w:val="00194DF9"/>
    <w:pPr>
      <w:keepLines/>
      <w:spacing w:before="240" w:after="120"/>
      <w:outlineLvl w:val="1"/>
    </w:pPr>
    <w:rPr>
      <w:sz w:val="28"/>
      <w:szCs w:val="40"/>
    </w:rPr>
  </w:style>
  <w:style w:type="paragraph" w:styleId="Heading3">
    <w:name w:val="heading 3"/>
    <w:basedOn w:val="HeadingBase"/>
    <w:next w:val="BodyText"/>
    <w:link w:val="Heading3Char"/>
    <w:qFormat/>
    <w:rsid w:val="00194DF9"/>
    <w:pPr>
      <w:spacing w:before="180" w:after="120"/>
      <w:outlineLvl w:val="2"/>
    </w:pPr>
    <w:rPr>
      <w:spacing w:val="-10"/>
      <w:kern w:val="32"/>
    </w:rPr>
  </w:style>
  <w:style w:type="paragraph" w:styleId="Heading4">
    <w:name w:val="heading 4"/>
    <w:basedOn w:val="HeadingBase"/>
    <w:next w:val="BodyText"/>
    <w:link w:val="Heading4Char"/>
    <w:qFormat/>
    <w:rsid w:val="00194DF9"/>
    <w:pPr>
      <w:spacing w:before="160" w:after="120"/>
      <w:outlineLvl w:val="3"/>
    </w:pPr>
    <w:rPr>
      <w:sz w:val="22"/>
    </w:rPr>
  </w:style>
  <w:style w:type="paragraph" w:styleId="Heading5">
    <w:name w:val="heading 5"/>
    <w:basedOn w:val="HeadingBase"/>
    <w:next w:val="Normal"/>
    <w:link w:val="Heading5Char"/>
    <w:qFormat/>
    <w:rsid w:val="00194DF9"/>
    <w:pPr>
      <w:spacing w:before="80"/>
      <w:outlineLvl w:val="4"/>
    </w:pPr>
    <w:rPr>
      <w:color w:val="918585"/>
      <w:sz w:val="20"/>
    </w:rPr>
  </w:style>
  <w:style w:type="paragraph" w:styleId="Heading6">
    <w:name w:val="heading 6"/>
    <w:basedOn w:val="HeadingBase"/>
    <w:next w:val="Normal"/>
    <w:link w:val="Heading6Char"/>
    <w:qFormat/>
    <w:rsid w:val="00194DF9"/>
    <w:pPr>
      <w:spacing w:before="60"/>
      <w:outlineLvl w:val="5"/>
    </w:pPr>
    <w:rPr>
      <w:color w:val="918585"/>
      <w:sz w:val="20"/>
    </w:rPr>
  </w:style>
  <w:style w:type="paragraph" w:styleId="Heading7">
    <w:name w:val="heading 7"/>
    <w:basedOn w:val="Normal"/>
    <w:next w:val="Normal"/>
    <w:link w:val="Heading7Char"/>
    <w:qFormat/>
    <w:rsid w:val="00194DF9"/>
    <w:pPr>
      <w:ind w:left="720"/>
      <w:outlineLvl w:val="6"/>
    </w:pPr>
    <w:rPr>
      <w:i/>
    </w:rPr>
  </w:style>
  <w:style w:type="paragraph" w:styleId="Heading8">
    <w:name w:val="heading 8"/>
    <w:basedOn w:val="Normal"/>
    <w:next w:val="Normal"/>
    <w:link w:val="Heading8Char"/>
    <w:qFormat/>
    <w:rsid w:val="00194DF9"/>
    <w:pPr>
      <w:ind w:left="720"/>
      <w:outlineLvl w:val="7"/>
    </w:pPr>
    <w:rPr>
      <w:i/>
    </w:rPr>
  </w:style>
  <w:style w:type="paragraph" w:styleId="Heading9">
    <w:name w:val="heading 9"/>
    <w:basedOn w:val="Normal"/>
    <w:next w:val="Normal"/>
    <w:link w:val="Heading9Char"/>
    <w:qFormat/>
    <w:rsid w:val="00194DF9"/>
    <w:pPr>
      <w:ind w:left="720"/>
      <w:outlineLvl w:val="8"/>
    </w:pPr>
    <w:rPr>
      <w:i/>
    </w:rPr>
  </w:style>
  <w:style w:type="character" w:default="1" w:styleId="DefaultParagraphFont">
    <w:name w:val="Default Paragraph Font"/>
    <w:uiPriority w:val="1"/>
    <w:unhideWhenUsed/>
    <w:rsid w:val="00194D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4DF9"/>
  </w:style>
  <w:style w:type="character" w:customStyle="1" w:styleId="Heading1Char">
    <w:name w:val="Heading 1 Char"/>
    <w:basedOn w:val="DefaultParagraphFont"/>
    <w:link w:val="Heading1"/>
    <w:rsid w:val="00194DF9"/>
    <w:rPr>
      <w:rFonts w:ascii="Times New Roman" w:eastAsia="Times New Roman" w:hAnsi="Times New Roman" w:cs="Times New Roman"/>
      <w:b/>
      <w:sz w:val="32"/>
      <w:szCs w:val="20"/>
      <w:lang w:eastAsia="en-US"/>
    </w:rPr>
  </w:style>
  <w:style w:type="paragraph" w:styleId="BodyText">
    <w:name w:val="Body Text"/>
    <w:basedOn w:val="Normal"/>
    <w:link w:val="BodyTextChar"/>
    <w:rsid w:val="00194D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4DF9"/>
    <w:rPr>
      <w:rFonts w:ascii="Times New Roman" w:eastAsia="Times New Roman" w:hAnsi="Times New Roman" w:cs="Times New Roman"/>
      <w:sz w:val="24"/>
      <w:lang w:eastAsia="en-US"/>
    </w:rPr>
  </w:style>
  <w:style w:type="paragraph" w:styleId="Footer">
    <w:name w:val="footer"/>
    <w:basedOn w:val="Normal"/>
    <w:link w:val="FooterChar"/>
    <w:rsid w:val="00194D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4DF9"/>
    <w:rPr>
      <w:rFonts w:ascii="Times New Roman" w:eastAsia="Times New Roman" w:hAnsi="Times New Roman" w:cs="Times New Roman"/>
      <w:sz w:val="16"/>
      <w:lang w:eastAsia="en-US"/>
    </w:rPr>
  </w:style>
  <w:style w:type="paragraph" w:styleId="List">
    <w:name w:val="List"/>
    <w:basedOn w:val="BodyText"/>
    <w:next w:val="BodyText"/>
    <w:rsid w:val="00194DF9"/>
    <w:pPr>
      <w:tabs>
        <w:tab w:val="left" w:pos="340"/>
      </w:tabs>
      <w:spacing w:before="60" w:after="60"/>
      <w:ind w:left="340" w:hanging="340"/>
    </w:pPr>
  </w:style>
  <w:style w:type="character" w:customStyle="1" w:styleId="SpecialBold">
    <w:name w:val="Special Bold"/>
    <w:basedOn w:val="DefaultParagraphFont"/>
    <w:rsid w:val="00194DF9"/>
    <w:rPr>
      <w:b/>
      <w:spacing w:val="0"/>
    </w:rPr>
  </w:style>
  <w:style w:type="paragraph" w:styleId="ListBullet2">
    <w:name w:val="List Bullet 2"/>
    <w:basedOn w:val="List2"/>
    <w:rsid w:val="00194DF9"/>
    <w:pPr>
      <w:numPr>
        <w:numId w:val="14"/>
      </w:numPr>
      <w:tabs>
        <w:tab w:val="clear" w:pos="680"/>
      </w:tabs>
    </w:pPr>
  </w:style>
  <w:style w:type="character" w:styleId="Emphasis">
    <w:name w:val="Emphasis"/>
    <w:basedOn w:val="DefaultParagraphFont"/>
    <w:qFormat/>
    <w:rsid w:val="00194DF9"/>
    <w:rPr>
      <w:i/>
    </w:rPr>
  </w:style>
  <w:style w:type="paragraph" w:customStyle="1" w:styleId="SuperHeading">
    <w:name w:val="SuperHeading"/>
    <w:basedOn w:val="Normal"/>
    <w:rsid w:val="00194DF9"/>
    <w:pPr>
      <w:spacing w:before="240" w:after="120"/>
      <w:outlineLvl w:val="0"/>
    </w:pPr>
    <w:rPr>
      <w:rFonts w:ascii="Times New Roman" w:hAnsi="Times New Roman"/>
      <w:b/>
      <w:sz w:val="28"/>
    </w:rPr>
  </w:style>
  <w:style w:type="paragraph" w:customStyle="1" w:styleId="AllowPageBreak">
    <w:name w:val="AllowPageBreak"/>
    <w:rsid w:val="00194DF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94DF9"/>
    <w:pPr>
      <w:numPr>
        <w:numId w:val="2"/>
      </w:numPr>
      <w:tabs>
        <w:tab w:val="clear" w:pos="1021"/>
      </w:tabs>
      <w:ind w:left="1037" w:hanging="357"/>
    </w:pPr>
  </w:style>
  <w:style w:type="character" w:customStyle="1" w:styleId="BoldandItalics">
    <w:name w:val="Bold and Italics"/>
    <w:qFormat/>
    <w:rsid w:val="00194DF9"/>
    <w:rPr>
      <w:b/>
      <w:i/>
      <w:u w:val="none"/>
    </w:rPr>
  </w:style>
  <w:style w:type="character" w:customStyle="1" w:styleId="Heading2Char">
    <w:name w:val="Heading 2 Char"/>
    <w:basedOn w:val="DefaultParagraphFont"/>
    <w:link w:val="Heading2"/>
    <w:rsid w:val="00194D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4D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4D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4D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4D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4D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4D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4DF9"/>
    <w:rPr>
      <w:rFonts w:ascii="Courier New" w:eastAsia="Times New Roman" w:hAnsi="Courier New" w:cs="Times New Roman"/>
      <w:i/>
      <w:szCs w:val="20"/>
      <w:lang w:eastAsia="en-US"/>
    </w:rPr>
  </w:style>
  <w:style w:type="paragraph" w:customStyle="1" w:styleId="HeadingBase">
    <w:name w:val="Heading Base"/>
    <w:rsid w:val="00194D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4DF9"/>
    <w:pPr>
      <w:tabs>
        <w:tab w:val="right" w:leader="dot" w:pos="9072"/>
      </w:tabs>
      <w:ind w:left="567"/>
    </w:pPr>
    <w:rPr>
      <w:szCs w:val="22"/>
    </w:rPr>
  </w:style>
  <w:style w:type="paragraph" w:customStyle="1" w:styleId="TOCBase">
    <w:name w:val="TOC Base"/>
    <w:rsid w:val="00194D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4DF9"/>
    <w:pPr>
      <w:tabs>
        <w:tab w:val="right" w:leader="dot" w:pos="9072"/>
      </w:tabs>
      <w:spacing w:before="40" w:after="40"/>
      <w:ind w:left="284"/>
    </w:pPr>
    <w:rPr>
      <w:rFonts w:ascii="Times New Roman" w:hAnsi="Times New Roman"/>
    </w:rPr>
  </w:style>
  <w:style w:type="paragraph" w:styleId="TOC1">
    <w:name w:val="toc 1"/>
    <w:basedOn w:val="TOCBase"/>
    <w:next w:val="Normal"/>
    <w:rsid w:val="00194D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4DF9"/>
    <w:pPr>
      <w:spacing w:before="5040"/>
      <w:jc w:val="center"/>
    </w:pPr>
    <w:rPr>
      <w:sz w:val="48"/>
      <w:szCs w:val="72"/>
      <w:lang w:val="en-US"/>
    </w:rPr>
  </w:style>
  <w:style w:type="character" w:customStyle="1" w:styleId="TitleChar">
    <w:name w:val="Title Char"/>
    <w:basedOn w:val="DefaultParagraphFont"/>
    <w:link w:val="Title"/>
    <w:rsid w:val="00194D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4DF9"/>
    <w:pPr>
      <w:tabs>
        <w:tab w:val="left" w:pos="3600"/>
        <w:tab w:val="left" w:pos="3958"/>
      </w:tabs>
    </w:pPr>
  </w:style>
  <w:style w:type="paragraph" w:styleId="ListBullet">
    <w:name w:val="List Bullet"/>
    <w:basedOn w:val="List"/>
    <w:rsid w:val="00194DF9"/>
    <w:pPr>
      <w:numPr>
        <w:numId w:val="13"/>
      </w:numPr>
      <w:tabs>
        <w:tab w:val="clear" w:pos="340"/>
      </w:tabs>
      <w:spacing w:before="40" w:after="40"/>
    </w:pPr>
  </w:style>
  <w:style w:type="paragraph" w:customStyle="1" w:styleId="Note">
    <w:name w:val="Note"/>
    <w:basedOn w:val="BodyText"/>
    <w:rsid w:val="00194D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4DF9"/>
    <w:pPr>
      <w:framePr w:wrap="auto" w:hAnchor="text" w:y="6049"/>
    </w:pPr>
    <w:rPr>
      <w:color w:val="000000"/>
      <w:sz w:val="40"/>
    </w:rPr>
  </w:style>
  <w:style w:type="paragraph" w:customStyle="1" w:styleId="TOCTitle">
    <w:name w:val="TOCTitle"/>
    <w:basedOn w:val="Heading1"/>
    <w:rsid w:val="00194DF9"/>
    <w:pPr>
      <w:spacing w:after="240"/>
      <w:jc w:val="center"/>
      <w:outlineLvl w:val="9"/>
    </w:pPr>
    <w:rPr>
      <w:caps/>
    </w:rPr>
  </w:style>
  <w:style w:type="paragraph" w:customStyle="1" w:styleId="Version">
    <w:name w:val="Version"/>
    <w:rsid w:val="00194D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4DF9"/>
    <w:pPr>
      <w:keepNext w:val="0"/>
      <w:tabs>
        <w:tab w:val="right" w:pos="4176"/>
      </w:tabs>
      <w:ind w:left="198" w:hanging="198"/>
    </w:pPr>
    <w:rPr>
      <w:rFonts w:ascii="Garamond" w:hAnsi="Garamond"/>
    </w:rPr>
  </w:style>
  <w:style w:type="paragraph" w:styleId="IndexHeading">
    <w:name w:val="index heading"/>
    <w:basedOn w:val="Normal"/>
    <w:next w:val="Index1"/>
    <w:semiHidden/>
    <w:rsid w:val="00194DF9"/>
    <w:pPr>
      <w:spacing w:before="120" w:after="120"/>
    </w:pPr>
    <w:rPr>
      <w:rFonts w:ascii="Arial" w:hAnsi="Arial"/>
      <w:b/>
      <w:color w:val="918585"/>
      <w:sz w:val="24"/>
    </w:rPr>
  </w:style>
  <w:style w:type="paragraph" w:styleId="Header">
    <w:name w:val="header"/>
    <w:basedOn w:val="Normal"/>
    <w:link w:val="HeaderChar"/>
    <w:rsid w:val="00194D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4DF9"/>
    <w:rPr>
      <w:rFonts w:ascii="Times New Roman" w:eastAsia="Times New Roman" w:hAnsi="Times New Roman" w:cs="Times New Roman"/>
      <w:sz w:val="16"/>
      <w:szCs w:val="20"/>
      <w:lang w:val="en-GB" w:eastAsia="en-US"/>
    </w:rPr>
  </w:style>
  <w:style w:type="paragraph" w:customStyle="1" w:styleId="Chapter">
    <w:name w:val="Chapter"/>
    <w:basedOn w:val="Normal"/>
    <w:rsid w:val="00194DF9"/>
    <w:pPr>
      <w:spacing w:before="240"/>
    </w:pPr>
    <w:rPr>
      <w:rFonts w:ascii="Times New Roman" w:hAnsi="Times New Roman"/>
      <w:smallCaps/>
      <w:spacing w:val="80"/>
      <w:sz w:val="28"/>
    </w:rPr>
  </w:style>
  <w:style w:type="paragraph" w:customStyle="1" w:styleId="InChapter">
    <w:name w:val="InChapter"/>
    <w:basedOn w:val="Heading3"/>
    <w:rsid w:val="00194DF9"/>
    <w:pPr>
      <w:spacing w:after="240"/>
      <w:outlineLvl w:val="9"/>
    </w:pPr>
    <w:rPr>
      <w:noProof/>
    </w:rPr>
  </w:style>
  <w:style w:type="paragraph" w:styleId="Index2">
    <w:name w:val="index 2"/>
    <w:basedOn w:val="Normal"/>
    <w:next w:val="Normal"/>
    <w:semiHidden/>
    <w:rsid w:val="00194DF9"/>
    <w:pPr>
      <w:tabs>
        <w:tab w:val="right" w:pos="4176"/>
      </w:tabs>
      <w:ind w:left="568" w:hanging="284"/>
    </w:pPr>
    <w:rPr>
      <w:rFonts w:ascii="Garamond" w:hAnsi="Garamond"/>
    </w:rPr>
  </w:style>
  <w:style w:type="paragraph" w:customStyle="1" w:styleId="Byline">
    <w:name w:val="Byline"/>
    <w:rsid w:val="00194D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4DF9"/>
    <w:pPr>
      <w:tabs>
        <w:tab w:val="clear" w:pos="3600"/>
        <w:tab w:val="clear" w:pos="3958"/>
      </w:tabs>
      <w:jc w:val="right"/>
    </w:pPr>
  </w:style>
  <w:style w:type="paragraph" w:styleId="Caption">
    <w:name w:val="caption"/>
    <w:basedOn w:val="BodyText"/>
    <w:next w:val="Normal"/>
    <w:qFormat/>
    <w:rsid w:val="00194DF9"/>
    <w:pPr>
      <w:framePr w:w="2268" w:hSpace="181" w:vSpace="181" w:wrap="around" w:vAnchor="text" w:hAnchor="page" w:x="1135" w:y="285" w:anchorLock="1"/>
    </w:pPr>
    <w:rPr>
      <w:i/>
    </w:rPr>
  </w:style>
  <w:style w:type="paragraph" w:customStyle="1" w:styleId="MiniTOCTitle">
    <w:name w:val="MiniTOCTitle"/>
    <w:basedOn w:val="Heading4"/>
    <w:rsid w:val="00194DF9"/>
    <w:pPr>
      <w:spacing w:before="240"/>
      <w:outlineLvl w:val="9"/>
    </w:pPr>
    <w:rPr>
      <w:noProof/>
      <w:sz w:val="24"/>
    </w:rPr>
  </w:style>
  <w:style w:type="paragraph" w:customStyle="1" w:styleId="MiniTOCItem">
    <w:name w:val="MiniTOCItem"/>
    <w:basedOn w:val="ListBullet"/>
    <w:rsid w:val="00194DF9"/>
    <w:pPr>
      <w:numPr>
        <w:numId w:val="0"/>
      </w:numPr>
      <w:tabs>
        <w:tab w:val="right" w:leader="dot" w:pos="6521"/>
      </w:tabs>
      <w:spacing w:before="0" w:after="0"/>
    </w:pPr>
  </w:style>
  <w:style w:type="paragraph" w:customStyle="1" w:styleId="TOFTitle">
    <w:name w:val="TOFTitle"/>
    <w:basedOn w:val="TOCTitle"/>
    <w:rsid w:val="00194DF9"/>
  </w:style>
  <w:style w:type="paragraph" w:styleId="TableofFigures">
    <w:name w:val="table of figures"/>
    <w:basedOn w:val="Normal"/>
    <w:next w:val="Normal"/>
    <w:semiHidden/>
    <w:rsid w:val="00194DF9"/>
    <w:pPr>
      <w:tabs>
        <w:tab w:val="right" w:leader="dot" w:pos="9072"/>
      </w:tabs>
      <w:ind w:left="970" w:hanging="403"/>
    </w:pPr>
    <w:rPr>
      <w:rFonts w:ascii="Times New Roman" w:hAnsi="Times New Roman"/>
      <w:b/>
    </w:rPr>
  </w:style>
  <w:style w:type="paragraph" w:styleId="ListNumber">
    <w:name w:val="List Number"/>
    <w:basedOn w:val="List"/>
    <w:rsid w:val="00194DF9"/>
    <w:pPr>
      <w:numPr>
        <w:numId w:val="11"/>
      </w:numPr>
    </w:pPr>
  </w:style>
  <w:style w:type="character" w:customStyle="1" w:styleId="WingdingSymbols">
    <w:name w:val="Wingding Symbols"/>
    <w:rsid w:val="00194DF9"/>
    <w:rPr>
      <w:rFonts w:ascii="Wingdings" w:hAnsi="Wingdings"/>
    </w:rPr>
  </w:style>
  <w:style w:type="paragraph" w:customStyle="1" w:styleId="TableHeading">
    <w:name w:val="Table Heading"/>
    <w:basedOn w:val="HeadingBase"/>
    <w:rsid w:val="00194DF9"/>
    <w:pPr>
      <w:keepLines/>
      <w:pBdr>
        <w:bottom w:val="single" w:sz="6" w:space="1" w:color="918585"/>
      </w:pBdr>
      <w:spacing w:before="240"/>
    </w:pPr>
  </w:style>
  <w:style w:type="character" w:customStyle="1" w:styleId="HotSpot">
    <w:name w:val="HotSpot"/>
    <w:rsid w:val="00194DF9"/>
    <w:rPr>
      <w:color w:val="0033CC"/>
      <w:u w:val="none"/>
    </w:rPr>
  </w:style>
  <w:style w:type="paragraph" w:customStyle="1" w:styleId="BodyTextRight">
    <w:name w:val="Body Text Right"/>
    <w:basedOn w:val="BodyText"/>
    <w:rsid w:val="00194DF9"/>
    <w:pPr>
      <w:spacing w:before="0" w:after="0"/>
      <w:jc w:val="right"/>
    </w:pPr>
  </w:style>
  <w:style w:type="paragraph" w:styleId="Index3">
    <w:name w:val="index 3"/>
    <w:basedOn w:val="ListNumber2"/>
    <w:next w:val="Normal"/>
    <w:semiHidden/>
    <w:rsid w:val="00194DF9"/>
    <w:pPr>
      <w:numPr>
        <w:numId w:val="0"/>
      </w:numPr>
      <w:tabs>
        <w:tab w:val="right" w:leader="dot" w:pos="4176"/>
      </w:tabs>
    </w:pPr>
  </w:style>
  <w:style w:type="paragraph" w:styleId="ListNumber2">
    <w:name w:val="List Number 2"/>
    <w:basedOn w:val="List2"/>
    <w:rsid w:val="00194DF9"/>
    <w:pPr>
      <w:numPr>
        <w:numId w:val="10"/>
      </w:numPr>
      <w:tabs>
        <w:tab w:val="clear" w:pos="1060"/>
      </w:tabs>
    </w:pPr>
  </w:style>
  <w:style w:type="paragraph" w:customStyle="1" w:styleId="MarginNote">
    <w:name w:val="Margin Note"/>
    <w:basedOn w:val="BodyText"/>
    <w:rsid w:val="00194D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4D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4D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4DF9"/>
    <w:rPr>
      <w:sz w:val="32"/>
    </w:rPr>
  </w:style>
  <w:style w:type="paragraph" w:customStyle="1" w:styleId="HeadingProcedure">
    <w:name w:val="Heading Procedure"/>
    <w:basedOn w:val="HeadingBase"/>
    <w:next w:val="Normal"/>
    <w:rsid w:val="00194DF9"/>
    <w:pPr>
      <w:tabs>
        <w:tab w:val="left" w:pos="0"/>
      </w:tabs>
      <w:spacing w:before="120" w:after="60"/>
    </w:pPr>
    <w:rPr>
      <w:i/>
      <w:color w:val="918585"/>
      <w:sz w:val="22"/>
    </w:rPr>
  </w:style>
  <w:style w:type="paragraph" w:customStyle="1" w:styleId="TableBodyText">
    <w:name w:val="Table Body Text"/>
    <w:basedOn w:val="BodyText"/>
    <w:rsid w:val="00194DF9"/>
    <w:pPr>
      <w:spacing w:before="60" w:after="60"/>
    </w:pPr>
  </w:style>
  <w:style w:type="paragraph" w:styleId="ListContinue">
    <w:name w:val="List Continue"/>
    <w:basedOn w:val="List"/>
    <w:rsid w:val="00194DF9"/>
    <w:pPr>
      <w:ind w:firstLine="0"/>
    </w:pPr>
  </w:style>
  <w:style w:type="paragraph" w:customStyle="1" w:styleId="ListNote">
    <w:name w:val="List Note"/>
    <w:basedOn w:val="List"/>
    <w:rsid w:val="00194DF9"/>
    <w:pPr>
      <w:pBdr>
        <w:top w:val="single" w:sz="6" w:space="2" w:color="918585"/>
        <w:bottom w:val="single" w:sz="6" w:space="2" w:color="918585"/>
      </w:pBdr>
      <w:tabs>
        <w:tab w:val="left" w:pos="1021"/>
      </w:tabs>
      <w:ind w:firstLine="0"/>
    </w:pPr>
  </w:style>
  <w:style w:type="paragraph" w:customStyle="1" w:styleId="Warning">
    <w:name w:val="Warning"/>
    <w:basedOn w:val="BodyText"/>
    <w:rsid w:val="00194DF9"/>
    <w:pPr>
      <w:shd w:val="clear" w:color="auto" w:fill="D9D9D9"/>
      <w:tabs>
        <w:tab w:val="left" w:pos="992"/>
      </w:tabs>
      <w:ind w:left="119" w:right="119"/>
    </w:pPr>
    <w:rPr>
      <w:sz w:val="20"/>
    </w:rPr>
  </w:style>
  <w:style w:type="paragraph" w:customStyle="1" w:styleId="MarginIcons">
    <w:name w:val="Margin Icons"/>
    <w:basedOn w:val="BodyText"/>
    <w:rsid w:val="00194D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4DF9"/>
    <w:rPr>
      <w:rFonts w:ascii="Courier New" w:hAnsi="Courier New"/>
    </w:rPr>
  </w:style>
  <w:style w:type="paragraph" w:customStyle="1" w:styleId="NoteBullet">
    <w:name w:val="Note Bullet"/>
    <w:basedOn w:val="Note"/>
    <w:rsid w:val="00194DF9"/>
    <w:pPr>
      <w:tabs>
        <w:tab w:val="clear" w:pos="680"/>
      </w:tabs>
      <w:spacing w:before="60" w:after="60"/>
    </w:pPr>
  </w:style>
  <w:style w:type="paragraph" w:customStyle="1" w:styleId="SubHeading2">
    <w:name w:val="SubHeading2"/>
    <w:basedOn w:val="HeadingBase"/>
    <w:rsid w:val="00194DF9"/>
    <w:pPr>
      <w:spacing w:before="240" w:after="60"/>
    </w:pPr>
    <w:rPr>
      <w:sz w:val="20"/>
    </w:rPr>
  </w:style>
  <w:style w:type="paragraph" w:customStyle="1" w:styleId="SubHeading1">
    <w:name w:val="SubHeading1"/>
    <w:basedOn w:val="HeadingBase"/>
    <w:rsid w:val="00194DF9"/>
    <w:pPr>
      <w:spacing w:before="240" w:after="60"/>
    </w:pPr>
    <w:rPr>
      <w:color w:val="918585"/>
      <w:sz w:val="22"/>
    </w:rPr>
  </w:style>
  <w:style w:type="paragraph" w:customStyle="1" w:styleId="SideHeading">
    <w:name w:val="Side Heading"/>
    <w:basedOn w:val="HeadingBase"/>
    <w:rsid w:val="00194D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4DF9"/>
    <w:pPr>
      <w:numPr>
        <w:numId w:val="12"/>
      </w:numPr>
    </w:pPr>
  </w:style>
  <w:style w:type="paragraph" w:styleId="PlainText">
    <w:name w:val="Plain Text"/>
    <w:basedOn w:val="Normal"/>
    <w:link w:val="PlainTextChar"/>
    <w:rsid w:val="00194DF9"/>
    <w:rPr>
      <w:sz w:val="20"/>
    </w:rPr>
  </w:style>
  <w:style w:type="character" w:customStyle="1" w:styleId="PlainTextChar">
    <w:name w:val="Plain Text Char"/>
    <w:basedOn w:val="DefaultParagraphFont"/>
    <w:link w:val="PlainText"/>
    <w:rsid w:val="00194DF9"/>
    <w:rPr>
      <w:rFonts w:ascii="Courier New" w:eastAsia="Times New Roman" w:hAnsi="Courier New" w:cs="Times New Roman"/>
      <w:sz w:val="20"/>
      <w:szCs w:val="20"/>
      <w:lang w:eastAsia="en-US"/>
    </w:rPr>
  </w:style>
  <w:style w:type="character" w:customStyle="1" w:styleId="MenuOption">
    <w:name w:val="Menu Option"/>
    <w:basedOn w:val="DefaultParagraphFont"/>
    <w:rsid w:val="00194DF9"/>
    <w:rPr>
      <w:b/>
      <w:smallCaps/>
    </w:rPr>
  </w:style>
  <w:style w:type="paragraph" w:customStyle="1" w:styleId="TableListNumber">
    <w:name w:val="Table List Number"/>
    <w:basedOn w:val="ListNumber"/>
    <w:rsid w:val="00194DF9"/>
    <w:pPr>
      <w:numPr>
        <w:numId w:val="0"/>
      </w:numPr>
    </w:pPr>
  </w:style>
  <w:style w:type="paragraph" w:styleId="TOC4">
    <w:name w:val="toc 4"/>
    <w:basedOn w:val="TOCBase"/>
    <w:next w:val="Normal"/>
    <w:semiHidden/>
    <w:rsid w:val="00194DF9"/>
    <w:pPr>
      <w:tabs>
        <w:tab w:val="right" w:leader="dot" w:pos="9071"/>
      </w:tabs>
      <w:ind w:left="1701"/>
    </w:pPr>
  </w:style>
  <w:style w:type="paragraph" w:customStyle="1" w:styleId="ListAlpha">
    <w:name w:val="List Alpha"/>
    <w:basedOn w:val="List"/>
    <w:rsid w:val="00194DF9"/>
    <w:pPr>
      <w:numPr>
        <w:numId w:val="9"/>
      </w:numPr>
    </w:pPr>
  </w:style>
  <w:style w:type="paragraph" w:customStyle="1" w:styleId="ListAlpha2">
    <w:name w:val="List Alpha 2"/>
    <w:basedOn w:val="List2"/>
    <w:rsid w:val="00194DF9"/>
    <w:pPr>
      <w:numPr>
        <w:numId w:val="8"/>
      </w:numPr>
    </w:pPr>
  </w:style>
  <w:style w:type="paragraph" w:styleId="List2">
    <w:name w:val="List 2"/>
    <w:basedOn w:val="BodyText"/>
    <w:rsid w:val="00194DF9"/>
    <w:pPr>
      <w:tabs>
        <w:tab w:val="left" w:pos="680"/>
      </w:tabs>
      <w:spacing w:before="60" w:after="60"/>
      <w:ind w:left="680" w:hanging="340"/>
    </w:pPr>
  </w:style>
  <w:style w:type="paragraph" w:styleId="List3">
    <w:name w:val="List 3"/>
    <w:basedOn w:val="BodyText"/>
    <w:rsid w:val="00194DF9"/>
    <w:pPr>
      <w:tabs>
        <w:tab w:val="left" w:pos="1021"/>
      </w:tabs>
      <w:spacing w:before="60" w:after="60"/>
      <w:ind w:left="1020" w:hanging="340"/>
    </w:pPr>
  </w:style>
  <w:style w:type="paragraph" w:styleId="List4">
    <w:name w:val="List 4"/>
    <w:basedOn w:val="BodyText"/>
    <w:rsid w:val="00194DF9"/>
    <w:pPr>
      <w:tabs>
        <w:tab w:val="left" w:pos="1361"/>
      </w:tabs>
      <w:spacing w:before="60" w:after="60"/>
      <w:ind w:left="1361" w:hanging="340"/>
    </w:pPr>
  </w:style>
  <w:style w:type="paragraph" w:styleId="List5">
    <w:name w:val="List 5"/>
    <w:basedOn w:val="BodyText"/>
    <w:rsid w:val="00194DF9"/>
    <w:pPr>
      <w:tabs>
        <w:tab w:val="left" w:pos="1701"/>
      </w:tabs>
      <w:spacing w:before="60" w:after="60"/>
      <w:ind w:left="1701" w:hanging="340"/>
    </w:pPr>
  </w:style>
  <w:style w:type="paragraph" w:styleId="ListBullet4">
    <w:name w:val="List Bullet 4"/>
    <w:basedOn w:val="List4"/>
    <w:rsid w:val="00194DF9"/>
    <w:pPr>
      <w:numPr>
        <w:numId w:val="3"/>
      </w:numPr>
    </w:pPr>
  </w:style>
  <w:style w:type="paragraph" w:styleId="ListBullet5">
    <w:name w:val="List Bullet 5"/>
    <w:basedOn w:val="List5"/>
    <w:rsid w:val="00194DF9"/>
    <w:pPr>
      <w:numPr>
        <w:numId w:val="4"/>
      </w:numPr>
    </w:pPr>
  </w:style>
  <w:style w:type="paragraph" w:styleId="ListContinue2">
    <w:name w:val="List Continue 2"/>
    <w:basedOn w:val="List2"/>
    <w:rsid w:val="00194DF9"/>
    <w:pPr>
      <w:ind w:firstLine="0"/>
    </w:pPr>
  </w:style>
  <w:style w:type="paragraph" w:styleId="ListContinue3">
    <w:name w:val="List Continue 3"/>
    <w:basedOn w:val="List3"/>
    <w:rsid w:val="00194DF9"/>
    <w:pPr>
      <w:ind w:left="1021" w:firstLine="0"/>
    </w:pPr>
  </w:style>
  <w:style w:type="paragraph" w:styleId="ListContinue4">
    <w:name w:val="List Continue 4"/>
    <w:basedOn w:val="List4"/>
    <w:rsid w:val="00194DF9"/>
    <w:pPr>
      <w:ind w:firstLine="0"/>
    </w:pPr>
  </w:style>
  <w:style w:type="paragraph" w:styleId="ListContinue5">
    <w:name w:val="List Continue 5"/>
    <w:basedOn w:val="List5"/>
    <w:rsid w:val="00194DF9"/>
    <w:pPr>
      <w:ind w:firstLine="0"/>
    </w:pPr>
  </w:style>
  <w:style w:type="paragraph" w:styleId="ListNumber3">
    <w:name w:val="List Number 3"/>
    <w:basedOn w:val="List3"/>
    <w:rsid w:val="00194DF9"/>
    <w:pPr>
      <w:numPr>
        <w:numId w:val="5"/>
      </w:numPr>
    </w:pPr>
  </w:style>
  <w:style w:type="paragraph" w:styleId="ListNumber4">
    <w:name w:val="List Number 4"/>
    <w:basedOn w:val="List4"/>
    <w:rsid w:val="00194DF9"/>
    <w:pPr>
      <w:numPr>
        <w:numId w:val="6"/>
      </w:numPr>
    </w:pPr>
  </w:style>
  <w:style w:type="paragraph" w:styleId="ListNumber5">
    <w:name w:val="List Number 5"/>
    <w:basedOn w:val="List5"/>
    <w:rsid w:val="00194DF9"/>
    <w:pPr>
      <w:numPr>
        <w:numId w:val="7"/>
      </w:numPr>
    </w:pPr>
  </w:style>
  <w:style w:type="paragraph" w:styleId="BlockText">
    <w:name w:val="Block Text"/>
    <w:basedOn w:val="Normal"/>
    <w:rsid w:val="00194DF9"/>
    <w:pPr>
      <w:spacing w:after="120"/>
      <w:ind w:left="1440" w:right="1440"/>
    </w:pPr>
  </w:style>
  <w:style w:type="character" w:customStyle="1" w:styleId="Subscript">
    <w:name w:val="Subscript"/>
    <w:basedOn w:val="DefaultParagraphFont"/>
    <w:rsid w:val="00194DF9"/>
    <w:rPr>
      <w:sz w:val="16"/>
      <w:vertAlign w:val="subscript"/>
    </w:rPr>
  </w:style>
  <w:style w:type="character" w:customStyle="1" w:styleId="Superscript">
    <w:name w:val="Superscript"/>
    <w:basedOn w:val="DefaultParagraphFont"/>
    <w:rsid w:val="00194DF9"/>
    <w:rPr>
      <w:sz w:val="16"/>
      <w:vertAlign w:val="superscript"/>
    </w:rPr>
  </w:style>
  <w:style w:type="character" w:customStyle="1" w:styleId="Symbols">
    <w:name w:val="Symbols"/>
    <w:basedOn w:val="DefaultParagraphFont"/>
    <w:rsid w:val="00194DF9"/>
    <w:rPr>
      <w:rFonts w:ascii="Symbol" w:hAnsi="Symbol"/>
    </w:rPr>
  </w:style>
  <w:style w:type="character" w:customStyle="1" w:styleId="MenuOptions">
    <w:name w:val="Menu Options"/>
    <w:basedOn w:val="DefaultParagraphFont"/>
    <w:rsid w:val="00194DF9"/>
    <w:rPr>
      <w:rFonts w:ascii="Arial Narrow" w:hAnsi="Arial Narrow"/>
      <w:smallCaps/>
    </w:rPr>
  </w:style>
  <w:style w:type="character" w:customStyle="1" w:styleId="Buttons">
    <w:name w:val="Buttons"/>
    <w:basedOn w:val="DefaultParagraphFont"/>
    <w:rsid w:val="00194DF9"/>
    <w:rPr>
      <w:b/>
    </w:rPr>
  </w:style>
  <w:style w:type="character" w:customStyle="1" w:styleId="Underlined">
    <w:name w:val="Underlined"/>
    <w:basedOn w:val="DefaultParagraphFont"/>
    <w:rsid w:val="00194DF9"/>
    <w:rPr>
      <w:u w:val="single"/>
    </w:rPr>
  </w:style>
  <w:style w:type="paragraph" w:customStyle="1" w:styleId="TableBodyTextRight">
    <w:name w:val="Table Body Text Right"/>
    <w:basedOn w:val="TableBodyText"/>
    <w:rsid w:val="00194DF9"/>
    <w:pPr>
      <w:widowControl w:val="0"/>
      <w:autoSpaceDE w:val="0"/>
      <w:autoSpaceDN w:val="0"/>
      <w:adjustRightInd w:val="0"/>
      <w:jc w:val="right"/>
    </w:pPr>
    <w:rPr>
      <w:rFonts w:cs="Arial"/>
      <w:szCs w:val="18"/>
    </w:rPr>
  </w:style>
  <w:style w:type="paragraph" w:customStyle="1" w:styleId="CopyrightText">
    <w:name w:val="Copyright Text"/>
    <w:basedOn w:val="BodyText"/>
    <w:rsid w:val="00194DF9"/>
    <w:rPr>
      <w:sz w:val="18"/>
    </w:rPr>
  </w:style>
  <w:style w:type="paragraph" w:customStyle="1" w:styleId="BodySmallRight">
    <w:name w:val="Body Small Right"/>
    <w:basedOn w:val="BodyTextRight"/>
    <w:rsid w:val="00194DF9"/>
    <w:rPr>
      <w:sz w:val="18"/>
      <w:szCs w:val="18"/>
    </w:rPr>
  </w:style>
  <w:style w:type="paragraph" w:customStyle="1" w:styleId="MarginEdition">
    <w:name w:val="Margin Edition"/>
    <w:basedOn w:val="MarginNote"/>
    <w:rsid w:val="00194DF9"/>
    <w:pPr>
      <w:spacing w:before="0" w:after="0"/>
    </w:pPr>
    <w:rPr>
      <w:rFonts w:ascii="Times New Roman" w:hAnsi="Times New Roman"/>
      <w:color w:val="999999"/>
    </w:rPr>
  </w:style>
  <w:style w:type="paragraph" w:customStyle="1" w:styleId="Spacer">
    <w:name w:val="Spacer"/>
    <w:basedOn w:val="Normal"/>
    <w:rsid w:val="00194DF9"/>
    <w:rPr>
      <w:sz w:val="2"/>
      <w:szCs w:val="2"/>
    </w:rPr>
  </w:style>
  <w:style w:type="character" w:customStyle="1" w:styleId="Small">
    <w:name w:val="Small"/>
    <w:basedOn w:val="DefaultParagraphFont"/>
    <w:rsid w:val="00194DF9"/>
    <w:rPr>
      <w:sz w:val="16"/>
    </w:rPr>
  </w:style>
  <w:style w:type="paragraph" w:customStyle="1" w:styleId="WideTable">
    <w:name w:val="Wide Table"/>
    <w:basedOn w:val="Normal"/>
    <w:rsid w:val="00194DF9"/>
    <w:pPr>
      <w:ind w:left="-1418"/>
    </w:pPr>
    <w:rPr>
      <w:sz w:val="2"/>
      <w:szCs w:val="2"/>
    </w:rPr>
  </w:style>
  <w:style w:type="character" w:styleId="PageNumber">
    <w:name w:val="page number"/>
    <w:basedOn w:val="DefaultParagraphFont"/>
    <w:rsid w:val="00194DF9"/>
  </w:style>
  <w:style w:type="paragraph" w:styleId="Quote">
    <w:name w:val="Quote"/>
    <w:basedOn w:val="Heading1"/>
    <w:link w:val="QuoteChar"/>
    <w:qFormat/>
    <w:rsid w:val="00194DF9"/>
    <w:rPr>
      <w:b w:val="0"/>
      <w:sz w:val="72"/>
      <w:szCs w:val="72"/>
      <w:lang w:val="en-NZ"/>
    </w:rPr>
  </w:style>
  <w:style w:type="character" w:customStyle="1" w:styleId="QuoteChar">
    <w:name w:val="Quote Char"/>
    <w:basedOn w:val="DefaultParagraphFont"/>
    <w:link w:val="Quote"/>
    <w:rsid w:val="00194D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4DF9"/>
    <w:pPr>
      <w:pageBreakBefore/>
    </w:pPr>
  </w:style>
  <w:style w:type="paragraph" w:customStyle="1" w:styleId="Border">
    <w:name w:val="Border"/>
    <w:basedOn w:val="Normal"/>
    <w:qFormat/>
    <w:rsid w:val="00194D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4DF9"/>
    <w:rPr>
      <w:b/>
      <w:bCs/>
      <w:i/>
      <w:iCs/>
      <w:color w:val="auto"/>
    </w:rPr>
  </w:style>
  <w:style w:type="paragraph" w:styleId="IntenseQuote">
    <w:name w:val="Intense Quote"/>
    <w:basedOn w:val="Normal"/>
    <w:next w:val="Normal"/>
    <w:link w:val="IntenseQuoteChar"/>
    <w:uiPriority w:val="30"/>
    <w:qFormat/>
    <w:rsid w:val="00194D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4D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4DF9"/>
    <w:rPr>
      <w:smallCaps/>
      <w:color w:val="auto"/>
      <w:u w:val="single"/>
    </w:rPr>
  </w:style>
  <w:style w:type="character" w:styleId="IntenseReference">
    <w:name w:val="Intense Reference"/>
    <w:basedOn w:val="DefaultParagraphFont"/>
    <w:uiPriority w:val="32"/>
    <w:qFormat/>
    <w:rsid w:val="00194DF9"/>
    <w:rPr>
      <w:b/>
      <w:bCs/>
      <w:smallCaps/>
      <w:color w:val="auto"/>
      <w:spacing w:val="5"/>
      <w:u w:val="single"/>
    </w:rPr>
  </w:style>
  <w:style w:type="paragraph" w:customStyle="1" w:styleId="2ColumnHeading">
    <w:name w:val="2Column Heading"/>
    <w:basedOn w:val="BodyText"/>
    <w:qFormat/>
    <w:rsid w:val="00194DF9"/>
    <w:pPr>
      <w:spacing w:after="60"/>
      <w:ind w:left="-2268"/>
    </w:pPr>
    <w:rPr>
      <w:b/>
    </w:rPr>
  </w:style>
  <w:style w:type="paragraph" w:customStyle="1" w:styleId="Heading1TOC">
    <w:name w:val="Heading1 TOC"/>
    <w:basedOn w:val="Normal"/>
    <w:qFormat/>
    <w:rsid w:val="00194DF9"/>
    <w:pPr>
      <w:spacing w:before="240" w:after="120"/>
    </w:pPr>
    <w:rPr>
      <w:rFonts w:ascii="Times New Roman" w:hAnsi="Times New Roman"/>
      <w:b/>
      <w:sz w:val="32"/>
    </w:rPr>
  </w:style>
  <w:style w:type="paragraph" w:customStyle="1" w:styleId="Heading2TOC">
    <w:name w:val="Heading2 TOC"/>
    <w:basedOn w:val="Normal"/>
    <w:qFormat/>
    <w:rsid w:val="00194DF9"/>
    <w:pPr>
      <w:spacing w:before="240" w:after="60"/>
    </w:pPr>
    <w:rPr>
      <w:rFonts w:ascii="Times New Roman" w:hAnsi="Times New Roman"/>
      <w:b/>
      <w:sz w:val="28"/>
    </w:rPr>
  </w:style>
  <w:style w:type="character" w:customStyle="1" w:styleId="Underline">
    <w:name w:val="Underline"/>
    <w:basedOn w:val="DefaultParagraphFont"/>
    <w:qFormat/>
    <w:rsid w:val="00194DF9"/>
    <w:rPr>
      <w:u w:val="single"/>
    </w:rPr>
  </w:style>
  <w:style w:type="paragraph" w:styleId="BalloonText">
    <w:name w:val="Balloon Text"/>
    <w:basedOn w:val="Normal"/>
    <w:link w:val="BalloonTextChar"/>
    <w:rsid w:val="00194DF9"/>
    <w:rPr>
      <w:rFonts w:ascii="Tahoma" w:hAnsi="Tahoma" w:cs="Tahoma"/>
      <w:sz w:val="16"/>
      <w:szCs w:val="16"/>
    </w:rPr>
  </w:style>
  <w:style w:type="character" w:customStyle="1" w:styleId="BalloonTextChar">
    <w:name w:val="Balloon Text Char"/>
    <w:basedOn w:val="DefaultParagraphFont"/>
    <w:link w:val="BalloonText"/>
    <w:rsid w:val="00194D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4D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4D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4DF9"/>
    <w:rPr>
      <w:b/>
      <w:color w:val="660033"/>
      <w:spacing w:val="0"/>
    </w:rPr>
  </w:style>
  <w:style w:type="paragraph" w:customStyle="1" w:styleId="Nameditemlist">
    <w:name w:val="Named item list"/>
    <w:basedOn w:val="BodyText"/>
    <w:qFormat/>
    <w:rsid w:val="00194D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1346</Words>
  <Characters>8498</Characters>
  <Application>Microsoft Office Word</Application>
  <DocSecurity>0</DocSecurity>
  <Lines>286</Lines>
  <Paragraphs>179</Paragraphs>
  <ScaleCrop>false</ScaleCrop>
  <Company>Author-it Software Corporation Ltd.</Company>
  <LinksUpToDate>false</LinksUpToDate>
  <CharactersWithSpaces>9770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PSPREV403A Manage information on legal entities, relationships and property</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2012-11-01T18:19:00Z</dcterms:created>
  <dcterms:modified xsi:type="dcterms:W3CDTF">2012-11-01T18:19:00Z</dcterms:modified>
</cp:coreProperties>
</file>