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9F7" w:rsidP="00E859F7">
      <w:pPr>
        <w:pStyle w:val="Title"/>
      </w:pPr>
      <w:bookmarkStart w:id="0" w:name="_GoBack"/>
      <w:bookmarkEnd w:id="0"/>
      <w:r>
        <w:fldChar w:fldCharType="begin"/>
      </w:r>
      <w:r>
        <w:instrText xml:space="preserve"> TITLE   \* MERGEFORMAT </w:instrText>
      </w:r>
      <w:r>
        <w:fldChar w:fldCharType="separate"/>
      </w:r>
      <w:r>
        <w:t>PSPREV402A Undertake legislative decision making</w:t>
      </w:r>
      <w:r>
        <w:fldChar w:fldCharType="end"/>
      </w:r>
    </w:p>
    <w:p w:rsidR="00E859F7" w:rsidP="00E859F7">
      <w:pPr>
        <w:pStyle w:val="Version"/>
        <w:sectPr w:rsidSect="00277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77D24" w:rsidP="00277D24">
      <w:pPr>
        <w:pStyle w:val="SuperHeading"/>
      </w:pPr>
      <w:r w:rsidRPr="00277D24">
        <w:t>PSPREV402A Undertake legislative decision making</w:t>
      </w:r>
    </w:p>
    <w:p w:rsidR="00000000" w:rsidRPr="00277D24" w:rsidP="00277D24">
      <w:pPr>
        <w:pStyle w:val="SuperHeading"/>
      </w:pPr>
    </w:p>
    <w:p w:rsidR="00000000" w:rsidRPr="00277D24" w:rsidP="00277D24">
      <w:pPr>
        <w:pStyle w:val="Heading1"/>
      </w:pPr>
      <w:bookmarkStart w:id="1" w:name="O_499104"/>
      <w:bookmarkEnd w:id="1"/>
      <w:r w:rsidRPr="00277D24">
        <w:t>Modification History</w:t>
      </w:r>
    </w:p>
    <w:tbl>
      <w:tblPr>
        <w:tblW w:w="0" w:type="auto"/>
        <w:tblLayout w:type="fixed"/>
        <w:tblCellMar>
          <w:left w:w="62" w:type="dxa"/>
          <w:right w:w="62" w:type="dxa"/>
        </w:tblCellMar>
        <w:tblLook w:val="0000"/>
      </w:tblPr>
      <w:tblGrid>
        <w:gridCol w:w="3052"/>
        <w:gridCol w:w="3052"/>
        <w:gridCol w:w="3052"/>
      </w:tblGrid>
      <w:tr w:rsidTr="00E859F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24" w:rsidP="00277D24">
            <w:pPr>
              <w:pStyle w:val="BodyText"/>
            </w:pPr>
            <w:r w:rsidRPr="00277D2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24" w:rsidP="00277D24">
            <w:pPr>
              <w:pStyle w:val="BodyText"/>
            </w:pPr>
            <w:r w:rsidRPr="00277D2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rPr>
                <w:rStyle w:val="SpecialBold"/>
              </w:rPr>
              <w:t>Comments</w:t>
            </w:r>
          </w:p>
        </w:tc>
      </w:tr>
      <w:tr w:rsidTr="00E859F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t xml:space="preserve">Unit descriptor edited. </w:t>
            </w:r>
          </w:p>
        </w:tc>
      </w:tr>
      <w:tr w:rsidTr="00E859F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t>Layout adjusted. No changes to content.</w:t>
            </w:r>
          </w:p>
        </w:tc>
      </w:tr>
      <w:tr w:rsidTr="00E859F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24">
            <w:pPr>
              <w:pStyle w:val="BodyText"/>
              <w:rPr>
                <w:lang w:val="en-NZ"/>
              </w:rPr>
            </w:pPr>
            <w:r w:rsidRPr="00277D2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24" w:rsidP="00277D24">
            <w:pPr>
              <w:pStyle w:val="BodyText"/>
            </w:pPr>
            <w:r w:rsidRPr="00277D24">
              <w:t>Primary release.</w:t>
            </w:r>
          </w:p>
        </w:tc>
      </w:tr>
    </w:tbl>
    <w:p w:rsidR="00E859F7" w:rsidP="00277D24">
      <w:pPr>
        <w:pStyle w:val="BodyText"/>
      </w:pPr>
    </w:p>
    <w:p w:rsidR="00E859F7" w:rsidP="00277D24">
      <w:pPr>
        <w:pStyle w:val="BodyText"/>
      </w:pPr>
    </w:p>
    <w:p w:rsidR="00000000" w:rsidRPr="00277D24" w:rsidP="00277D24">
      <w:pPr>
        <w:pStyle w:val="Heading1"/>
      </w:pPr>
      <w:bookmarkStart w:id="2" w:name="O_499103"/>
      <w:bookmarkEnd w:id="2"/>
      <w:r w:rsidRPr="00277D24">
        <w:t>Unit Descriptor</w:t>
      </w:r>
    </w:p>
    <w:p w:rsidR="00000000" w:rsidRPr="00277D24" w:rsidP="00277D24">
      <w:pPr>
        <w:pStyle w:val="BodyText"/>
      </w:pPr>
      <w:r w:rsidRPr="00277D24">
        <w:t>This unit covers the application of a legislative decision making process to make and justify legislatively-based decisions.</w:t>
      </w:r>
    </w:p>
    <w:p w:rsidR="00000000" w:rsidRPr="00277D24" w:rsidP="00277D24">
      <w:pPr>
        <w:pStyle w:val="BodyText"/>
      </w:pPr>
      <w:r w:rsidRPr="00277D24">
        <w:t>In practice, undertaking legislative decision making overlaps with other generalist or specialist work activities, such as acting ethically; applying statute law; dealing with legal entities, relationships and property; assessing applications for grants, s</w:t>
      </w:r>
      <w:r w:rsidRPr="00277D24">
        <w:t>ubsidies or rebates; and delivering client service. Co-assessment with units of competency addressing these other activities could be considered.</w:t>
      </w:r>
    </w:p>
    <w:p w:rsidR="00000000" w:rsidRPr="00277D24" w:rsidP="00277D24">
      <w:pPr>
        <w:pStyle w:val="BodyText"/>
      </w:pPr>
      <w:r w:rsidRPr="00277D24">
        <w:t>No licensing, legislative, regulatory or certification requirements apply to this unit at the time of endorsem</w:t>
      </w:r>
      <w:r w:rsidRPr="00277D24">
        <w:t>ent.</w:t>
      </w:r>
    </w:p>
    <w:p w:rsidR="00000000" w:rsidRPr="00277D24" w:rsidP="00277D24">
      <w:pPr>
        <w:pStyle w:val="AllowPageBreak"/>
      </w:pPr>
    </w:p>
    <w:p w:rsidR="00000000" w:rsidRPr="00277D24" w:rsidP="00277D24">
      <w:pPr>
        <w:pStyle w:val="Heading1"/>
      </w:pPr>
      <w:bookmarkStart w:id="3" w:name="O_499114"/>
      <w:bookmarkEnd w:id="3"/>
      <w:r w:rsidRPr="00277D24">
        <w:t>Application of the Unit</w:t>
      </w:r>
    </w:p>
    <w:p w:rsidR="00000000" w:rsidRPr="00277D24" w:rsidP="00277D24">
      <w:pPr>
        <w:pStyle w:val="BodyText"/>
      </w:pPr>
      <w:r w:rsidRPr="00277D24">
        <w:t>In the workplace, staff are required to undertake legislative decision making that is consistent, defensible and well documented to provide grounds for assessment where decisions are subject to review and where</w:t>
      </w:r>
      <w:r w:rsidRPr="00277D24">
        <w:t xml:space="preserve"> disputes may arise. Typically, the decision making process is, or will become, integrated into work practices as a normal way of working when legislative decisions need to be made, even when those decisions do not require formal documentation. </w:t>
      </w:r>
    </w:p>
    <w:p w:rsidR="00000000" w:rsidRPr="00277D24" w:rsidP="00277D24">
      <w:pPr>
        <w:pStyle w:val="BodyText"/>
      </w:pPr>
      <w:r w:rsidRPr="00277D24">
        <w:t>Staff must</w:t>
      </w:r>
      <w:r w:rsidRPr="00277D24">
        <w:t xml:space="preserve"> be able to use a legislative decision making process to undertake required research and make and record decisions that meet the public sector's requirements for consistency and legislative defensibility.</w:t>
      </w:r>
    </w:p>
    <w:p w:rsidR="00000000" w:rsidRPr="00277D24" w:rsidP="00277D24">
      <w:pPr>
        <w:pStyle w:val="AllowPageBreak"/>
      </w:pPr>
    </w:p>
    <w:p w:rsidR="00000000" w:rsidRPr="00277D24" w:rsidP="00277D24">
      <w:pPr>
        <w:pStyle w:val="Heading1"/>
      </w:pPr>
      <w:bookmarkStart w:id="4" w:name="O_499107"/>
      <w:bookmarkEnd w:id="4"/>
      <w:r w:rsidRPr="00277D24">
        <w:t>Licensing/Regulatory Information</w:t>
      </w:r>
    </w:p>
    <w:p w:rsidR="00000000" w:rsidRPr="00277D24" w:rsidP="00277D24">
      <w:pPr>
        <w:pStyle w:val="BodyText"/>
      </w:pPr>
      <w:r w:rsidRPr="00277D24">
        <w:t>N</w:t>
      </w:r>
      <w:r w:rsidRPr="00277D24">
        <w:t>ot applicable.</w:t>
      </w:r>
    </w:p>
    <w:p w:rsidR="00000000" w:rsidRPr="00277D24" w:rsidP="00277D24">
      <w:pPr>
        <w:pStyle w:val="AllowPageBreak"/>
      </w:pPr>
    </w:p>
    <w:p w:rsidR="00000000" w:rsidRPr="00277D24" w:rsidP="00277D24">
      <w:pPr>
        <w:pStyle w:val="Heading1"/>
      </w:pPr>
      <w:bookmarkStart w:id="5" w:name="O_499108"/>
      <w:bookmarkEnd w:id="5"/>
      <w:r w:rsidRPr="00277D24">
        <w:t>Pre-Requisites</w:t>
      </w:r>
    </w:p>
    <w:p w:rsidR="00000000" w:rsidRPr="00277D24" w:rsidP="00277D24">
      <w:pPr>
        <w:pStyle w:val="BodyText"/>
      </w:pPr>
      <w:r w:rsidRPr="00277D24">
        <w:t>Not applicable.</w:t>
      </w:r>
    </w:p>
    <w:p w:rsidR="00000000" w:rsidRPr="00277D24" w:rsidP="00277D24">
      <w:pPr>
        <w:pStyle w:val="AllowPageBreak"/>
      </w:pPr>
    </w:p>
    <w:p w:rsidR="00000000" w:rsidRPr="00277D24" w:rsidP="00277D24">
      <w:pPr>
        <w:pStyle w:val="Heading1"/>
      </w:pPr>
      <w:bookmarkStart w:id="6" w:name="O_499110"/>
      <w:bookmarkEnd w:id="6"/>
      <w:r w:rsidRPr="00277D24">
        <w:t>Employability Skills Information</w:t>
      </w:r>
    </w:p>
    <w:p w:rsidR="00000000" w:rsidRPr="00277D24" w:rsidP="00277D24">
      <w:pPr>
        <w:pStyle w:val="BodyText"/>
      </w:pPr>
      <w:r w:rsidRPr="00277D24">
        <w:t>This unit contains employability skills.</w:t>
      </w:r>
    </w:p>
    <w:p w:rsidR="00000000" w:rsidRPr="00277D24" w:rsidP="00277D24">
      <w:pPr>
        <w:pStyle w:val="AllowPageBreak"/>
      </w:pPr>
    </w:p>
    <w:p w:rsidR="00000000" w:rsidRPr="00277D24" w:rsidP="00277D24">
      <w:pPr>
        <w:pStyle w:val="Heading1"/>
      </w:pPr>
      <w:bookmarkStart w:id="7" w:name="O_499111"/>
      <w:bookmarkEnd w:id="7"/>
      <w:r w:rsidRPr="00277D24">
        <w:t>Elements and Performance Criteria Pre-Content</w:t>
      </w:r>
    </w:p>
    <w:tbl>
      <w:tblPr>
        <w:tblW w:w="9322" w:type="dxa"/>
        <w:tblLayout w:type="fixed"/>
        <w:tblCellMar>
          <w:left w:w="62" w:type="dxa"/>
          <w:right w:w="62" w:type="dxa"/>
        </w:tblCellMar>
        <w:tblLook w:val="0000"/>
      </w:tblPr>
      <w:tblGrid>
        <w:gridCol w:w="2943"/>
        <w:gridCol w:w="6379"/>
      </w:tblGrid>
      <w:tr w:rsidTr="00E859F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t xml:space="preserve">Elements are the essential outcomes of </w:t>
            </w:r>
            <w:r w:rsidRPr="00277D24">
              <w:t>the unit of competency.</w:t>
            </w:r>
          </w:p>
        </w:tc>
        <w:tc>
          <w:tcPr>
            <w:tcW w:w="6379"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t>Performance criteria describe the required performance needed to demonstrate achievement of the element. Where</w:t>
            </w:r>
            <w:r w:rsidRPr="00277D24">
              <w:rPr>
                <w:rStyle w:val="BoldandItalics"/>
              </w:rPr>
              <w:t xml:space="preserve"> bold italicised </w:t>
            </w:r>
            <w:r w:rsidRPr="00277D24">
              <w:t>text is used, further information is detailed in the range statement. Assessment of performance is to be consistent with the evidence guide.</w:t>
            </w:r>
          </w:p>
        </w:tc>
      </w:tr>
    </w:tbl>
    <w:p w:rsidR="00000000" w:rsidRPr="00277D24" w:rsidP="00277D24">
      <w:pPr>
        <w:pStyle w:val="BodyText"/>
      </w:pPr>
    </w:p>
    <w:p w:rsidR="00000000" w:rsidRPr="00277D24" w:rsidP="00277D24">
      <w:pPr>
        <w:pStyle w:val="AllowPageBreak"/>
      </w:pPr>
    </w:p>
    <w:p w:rsidR="00000000" w:rsidRPr="00277D24" w:rsidP="00277D24">
      <w:pPr>
        <w:pStyle w:val="Heading1"/>
      </w:pPr>
      <w:bookmarkStart w:id="8" w:name="O_499112"/>
      <w:bookmarkEnd w:id="8"/>
      <w:r w:rsidRPr="00277D24">
        <w:t>Elements and Performance Criteria</w:t>
      </w:r>
    </w:p>
    <w:tbl>
      <w:tblPr>
        <w:tblW w:w="9322" w:type="dxa"/>
        <w:tblLayout w:type="fixed"/>
        <w:tblCellMar>
          <w:left w:w="62" w:type="dxa"/>
          <w:right w:w="62" w:type="dxa"/>
        </w:tblCellMar>
        <w:tblLook w:val="0000"/>
      </w:tblPr>
      <w:tblGrid>
        <w:gridCol w:w="2943"/>
        <w:gridCol w:w="6379"/>
      </w:tblGrid>
      <w:tr w:rsidTr="00E859F7">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SpecialBold"/>
              </w:rPr>
              <w:t>PERFORMANCE CRITERIA</w:t>
            </w:r>
          </w:p>
        </w:tc>
      </w:tr>
      <w:tr w:rsidTr="00E859F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77D24">
            <w:pPr>
              <w:pStyle w:val="List"/>
              <w:rPr>
                <w:lang w:val="en-NZ"/>
              </w:rPr>
            </w:pPr>
            <w:r w:rsidRPr="00277D24">
              <w:rPr>
                <w:rStyle w:val="SpecialBold"/>
              </w:rPr>
              <w:t>1</w:t>
            </w:r>
            <w:r w:rsidRPr="00277D24">
              <w:t>.</w:t>
            </w:r>
            <w:r w:rsidRPr="00277D24">
              <w:tab/>
            </w:r>
            <w:r w:rsidRPr="00277D24">
              <w:rPr>
                <w:rStyle w:val="SpecialBold"/>
              </w:rPr>
              <w:t>Identify requirements for legislative decision making</w:t>
            </w:r>
          </w:p>
        </w:tc>
        <w:tc>
          <w:tcPr>
            <w:tcW w:w="6379" w:type="dxa"/>
            <w:tcBorders>
              <w:top w:val="nil"/>
              <w:left w:val="nil"/>
              <w:bottom w:val="nil"/>
              <w:right w:val="nil"/>
            </w:tcBorders>
            <w:tcMar>
              <w:top w:w="0" w:type="dxa"/>
              <w:left w:w="62" w:type="dxa"/>
              <w:bottom w:w="0" w:type="dxa"/>
              <w:right w:w="62" w:type="dxa"/>
            </w:tcMar>
          </w:tcPr>
          <w:p w:rsidR="00000000" w:rsidRPr="00277D24" w:rsidP="00277D24">
            <w:pPr>
              <w:pStyle w:val="List"/>
            </w:pPr>
            <w:r w:rsidRPr="00277D24">
              <w:t>1.1</w:t>
            </w:r>
            <w:r w:rsidRPr="00277D24">
              <w:tab/>
              <w:t>Purpose and key elements of legislative decision making process are identified and clarified to ensure its consistent application in accordance with organisational and legislative requirements.</w:t>
            </w:r>
          </w:p>
          <w:p w:rsidR="00000000" w:rsidP="00277D24">
            <w:pPr>
              <w:pStyle w:val="List"/>
              <w:rPr>
                <w:lang w:val="en-NZ"/>
              </w:rPr>
            </w:pPr>
            <w:r w:rsidRPr="00277D24">
              <w:t>1.2</w:t>
            </w:r>
            <w:r w:rsidRPr="00277D24">
              <w:tab/>
            </w:r>
            <w:r w:rsidRPr="00277D24">
              <w:t>Record-keeping procedures relating to legislative decision making are identified in accordance with organisational procedures and legislative requirements.</w:t>
            </w:r>
          </w:p>
        </w:tc>
      </w:tr>
      <w:tr w:rsidTr="00E859F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77D24">
            <w:pPr>
              <w:pStyle w:val="List"/>
              <w:rPr>
                <w:lang w:val="en-NZ"/>
              </w:rPr>
            </w:pPr>
            <w:r w:rsidRPr="00277D24">
              <w:rPr>
                <w:rStyle w:val="SpecialBold"/>
              </w:rPr>
              <w:t>2</w:t>
            </w:r>
            <w:r w:rsidRPr="00277D24">
              <w:t>.</w:t>
            </w:r>
            <w:r w:rsidRPr="00277D24">
              <w:tab/>
            </w:r>
            <w:r w:rsidRPr="00277D24">
              <w:rPr>
                <w:rStyle w:val="SpecialBold"/>
              </w:rPr>
              <w:t>Complete required research</w:t>
            </w:r>
          </w:p>
        </w:tc>
        <w:tc>
          <w:tcPr>
            <w:tcW w:w="6379" w:type="dxa"/>
            <w:tcBorders>
              <w:top w:val="nil"/>
              <w:left w:val="nil"/>
              <w:bottom w:val="nil"/>
              <w:right w:val="nil"/>
            </w:tcBorders>
            <w:tcMar>
              <w:top w:w="0" w:type="dxa"/>
              <w:left w:w="62" w:type="dxa"/>
              <w:bottom w:w="0" w:type="dxa"/>
              <w:right w:w="62" w:type="dxa"/>
            </w:tcMar>
          </w:tcPr>
          <w:p w:rsidR="00000000" w:rsidRPr="00277D24" w:rsidP="00277D24">
            <w:pPr>
              <w:pStyle w:val="List"/>
            </w:pPr>
            <w:r w:rsidRPr="00277D24">
              <w:t>2.1</w:t>
            </w:r>
            <w:r w:rsidRPr="00277D24">
              <w:tab/>
              <w:t>Situation or event requiring a decision is identified and clearly</w:t>
            </w:r>
            <w:r w:rsidRPr="00277D24">
              <w:t xml:space="preserve"> outlined in accordance with organisational and legislative requirements.</w:t>
            </w:r>
          </w:p>
          <w:p w:rsidR="00000000" w:rsidRPr="00277D24" w:rsidP="00277D24">
            <w:pPr>
              <w:pStyle w:val="List"/>
            </w:pPr>
            <w:r w:rsidRPr="00277D24">
              <w:t>2.2</w:t>
            </w:r>
            <w:r w:rsidRPr="00277D24">
              <w:tab/>
              <w:t>Applicable statute law is determined and sections of the Acts that link to the decision are identified and recorded.</w:t>
            </w:r>
          </w:p>
          <w:p w:rsidR="00000000" w:rsidRPr="00277D24" w:rsidP="00277D24">
            <w:pPr>
              <w:pStyle w:val="List"/>
            </w:pPr>
            <w:r w:rsidRPr="00277D24">
              <w:t>2.3</w:t>
            </w:r>
            <w:r w:rsidRPr="00277D24">
              <w:tab/>
              <w:t xml:space="preserve">Relevant case law and other </w:t>
            </w:r>
            <w:r w:rsidRPr="00277D24">
              <w:rPr>
                <w:rStyle w:val="BoldandItalics"/>
              </w:rPr>
              <w:t xml:space="preserve">extraneous material </w:t>
            </w:r>
            <w:r w:rsidRPr="00277D24">
              <w:t>are identified.</w:t>
            </w:r>
          </w:p>
          <w:p w:rsidR="00000000" w:rsidRPr="00277D24" w:rsidP="00277D24">
            <w:pPr>
              <w:pStyle w:val="List"/>
            </w:pPr>
            <w:r w:rsidRPr="00277D24">
              <w:t>2.4</w:t>
            </w:r>
            <w:r w:rsidRPr="00277D24">
              <w:tab/>
            </w:r>
            <w:r w:rsidRPr="00277D24">
              <w:rPr>
                <w:rStyle w:val="BoldandItalics"/>
              </w:rPr>
              <w:t xml:space="preserve">Evidence </w:t>
            </w:r>
            <w:r w:rsidRPr="00277D24">
              <w:t>to support situation or event is recorded and analysed with respect to applicable law.</w:t>
            </w:r>
          </w:p>
          <w:p w:rsidR="00000000" w:rsidRPr="00277D24" w:rsidP="00277D24">
            <w:pPr>
              <w:pStyle w:val="List"/>
            </w:pPr>
            <w:r w:rsidRPr="00277D24">
              <w:t>2.5</w:t>
            </w:r>
            <w:r w:rsidRPr="00277D24">
              <w:tab/>
              <w:t>Conclusions are drawn as to whether required facts have been established by available evidence and are recorded.</w:t>
            </w:r>
          </w:p>
          <w:p w:rsidR="00000000" w:rsidP="00277D24">
            <w:pPr>
              <w:pStyle w:val="List"/>
              <w:rPr>
                <w:lang w:val="en-NZ"/>
              </w:rPr>
            </w:pPr>
            <w:r w:rsidRPr="00277D24">
              <w:t>2.6</w:t>
            </w:r>
            <w:r w:rsidRPr="00277D24">
              <w:tab/>
              <w:t>Statute law is appl</w:t>
            </w:r>
            <w:r w:rsidRPr="00277D24">
              <w:t>ied using precedents,</w:t>
            </w:r>
            <w:r w:rsidRPr="00277D24">
              <w:rPr>
                <w:rStyle w:val="BoldandItalics"/>
              </w:rPr>
              <w:t xml:space="preserve"> rulings, Commissioner's practices</w:t>
            </w:r>
            <w:r w:rsidRPr="00277D24">
              <w:t>, internal advice, other legislation and advice from senior and specialist staff when required.</w:t>
            </w:r>
          </w:p>
        </w:tc>
      </w:tr>
      <w:tr w:rsidTr="00E859F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77D24">
            <w:pPr>
              <w:pStyle w:val="List"/>
              <w:rPr>
                <w:lang w:val="en-NZ"/>
              </w:rPr>
            </w:pPr>
            <w:r w:rsidRPr="00277D24">
              <w:rPr>
                <w:rStyle w:val="SpecialBold"/>
              </w:rPr>
              <w:t>3</w:t>
            </w:r>
            <w:r w:rsidRPr="00277D24">
              <w:t>.</w:t>
            </w:r>
            <w:r w:rsidRPr="00277D24">
              <w:tab/>
            </w:r>
            <w:r w:rsidRPr="00277D24">
              <w:rPr>
                <w:rStyle w:val="SpecialBold"/>
              </w:rPr>
              <w:t>Carry out the decision making phase</w:t>
            </w:r>
          </w:p>
        </w:tc>
        <w:tc>
          <w:tcPr>
            <w:tcW w:w="6379" w:type="dxa"/>
            <w:tcBorders>
              <w:top w:val="nil"/>
              <w:left w:val="nil"/>
              <w:bottom w:val="nil"/>
              <w:right w:val="nil"/>
            </w:tcBorders>
            <w:tcMar>
              <w:top w:w="0" w:type="dxa"/>
              <w:left w:w="62" w:type="dxa"/>
              <w:bottom w:w="0" w:type="dxa"/>
              <w:right w:w="62" w:type="dxa"/>
            </w:tcMar>
          </w:tcPr>
          <w:p w:rsidR="00000000" w:rsidRPr="00277D24" w:rsidP="00277D24">
            <w:pPr>
              <w:pStyle w:val="List"/>
            </w:pPr>
            <w:r w:rsidRPr="00277D24">
              <w:t>3.1</w:t>
            </w:r>
            <w:r w:rsidRPr="00277D24">
              <w:tab/>
              <w:t>Delegation to make the decision is confirmed or decision is r</w:t>
            </w:r>
            <w:r w:rsidRPr="00277D24">
              <w:t>eferred according to organisational delegation protocols.</w:t>
            </w:r>
          </w:p>
          <w:p w:rsidR="00000000" w:rsidRPr="00277D24" w:rsidP="00277D24">
            <w:pPr>
              <w:pStyle w:val="List"/>
            </w:pPr>
            <w:r w:rsidRPr="00277D24">
              <w:t>3.2</w:t>
            </w:r>
            <w:r w:rsidRPr="00277D24">
              <w:tab/>
              <w:t>Based on research outcomes and established facts, decision is made and supported by explanation and justification.</w:t>
            </w:r>
          </w:p>
          <w:p w:rsidR="00000000" w:rsidRPr="00277D24" w:rsidP="00277D24">
            <w:pPr>
              <w:pStyle w:val="List"/>
            </w:pPr>
            <w:r w:rsidRPr="00277D24">
              <w:t>3.3</w:t>
            </w:r>
            <w:r w:rsidRPr="00277D24">
              <w:tab/>
              <w:t>Decision is documented in accordance with organisational and legislative re</w:t>
            </w:r>
            <w:r w:rsidRPr="00277D24">
              <w:t>quirements.</w:t>
            </w:r>
          </w:p>
          <w:p w:rsidR="00000000" w:rsidRPr="00277D24" w:rsidP="00277D24">
            <w:pPr>
              <w:pStyle w:val="List"/>
            </w:pPr>
            <w:r w:rsidRPr="00277D24">
              <w:t>3.4</w:t>
            </w:r>
            <w:r w:rsidRPr="00277D24">
              <w:tab/>
            </w:r>
            <w:r w:rsidRPr="00277D24">
              <w:rPr>
                <w:rStyle w:val="BoldandItalics"/>
              </w:rPr>
              <w:t xml:space="preserve">Actions </w:t>
            </w:r>
            <w:r w:rsidRPr="00277D24">
              <w:t>as a result of the decision are carried out and recorded in accordance with organisational and legislative requirements.</w:t>
            </w:r>
          </w:p>
        </w:tc>
      </w:tr>
    </w:tbl>
    <w:p w:rsidR="00000000" w:rsidRPr="00277D24" w:rsidP="00277D24">
      <w:pPr>
        <w:pStyle w:val="BodyText"/>
      </w:pPr>
    </w:p>
    <w:p w:rsidR="00000000" w:rsidRPr="00277D24" w:rsidP="00277D24">
      <w:pPr>
        <w:pStyle w:val="AllowPageBreak"/>
      </w:pPr>
    </w:p>
    <w:p w:rsidR="00000000" w:rsidRPr="00277D24" w:rsidP="00277D24">
      <w:pPr>
        <w:pStyle w:val="Heading1"/>
      </w:pPr>
      <w:bookmarkStart w:id="9" w:name="O_499102"/>
      <w:bookmarkEnd w:id="9"/>
      <w:r w:rsidRPr="00277D24">
        <w:t>Required Skills and Knowledge</w:t>
      </w:r>
    </w:p>
    <w:tbl>
      <w:tblPr>
        <w:tblW w:w="0" w:type="auto"/>
        <w:tblLayout w:type="fixed"/>
        <w:tblCellMar>
          <w:left w:w="62" w:type="dxa"/>
          <w:right w:w="62" w:type="dxa"/>
        </w:tblCellMar>
        <w:tblLook w:val="0000"/>
      </w:tblPr>
      <w:tblGrid>
        <w:gridCol w:w="8513"/>
      </w:tblGrid>
      <w:tr w:rsidTr="00E859F7">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t xml:space="preserve">This section describes the essential skills and knowledge and </w:t>
            </w:r>
            <w:r w:rsidRPr="00277D24">
              <w:t>their level, required for this unit.</w:t>
            </w:r>
          </w:p>
        </w:tc>
      </w:tr>
      <w:tr w:rsidTr="00E859F7">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p>
        </w:tc>
      </w:tr>
      <w:tr w:rsidTr="00E859F7">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rPr>
                <w:rStyle w:val="SpecialBold"/>
              </w:rPr>
              <w:t>Required skills</w:t>
            </w:r>
            <w:r w:rsidRPr="00277D24">
              <w:t>:</w:t>
            </w:r>
          </w:p>
          <w:p w:rsidR="00000000" w:rsidRPr="00277D24" w:rsidP="00277D24">
            <w:pPr>
              <w:pStyle w:val="BodyText"/>
            </w:pPr>
            <w:r w:rsidRPr="00277D24">
              <w:t>Look for evidence that confirms skills in:</w:t>
            </w:r>
          </w:p>
          <w:p w:rsidR="00000000" w:rsidRPr="00277D24" w:rsidP="00277D24">
            <w:pPr>
              <w:pStyle w:val="ListBullet2"/>
            </w:pPr>
            <w:r w:rsidRPr="00277D24">
              <w:t>researching information and establishing relevant facts</w:t>
            </w:r>
          </w:p>
          <w:p w:rsidR="00000000" w:rsidRPr="00277D24" w:rsidP="00277D24">
            <w:pPr>
              <w:pStyle w:val="ListBullet2"/>
            </w:pPr>
            <w:r w:rsidRPr="00277D24">
              <w:t>identifying and interpreting applicable statute law</w:t>
            </w:r>
          </w:p>
          <w:p w:rsidR="00000000" w:rsidRPr="00277D24" w:rsidP="00277D24">
            <w:pPr>
              <w:pStyle w:val="ListBullet2"/>
            </w:pPr>
            <w:r w:rsidRPr="00277D24">
              <w:t>navigating complex and formal documents, such as legislation and related materials to use in legislative decision making</w:t>
            </w:r>
          </w:p>
          <w:p w:rsidR="00000000" w:rsidRPr="00277D24" w:rsidP="00277D24">
            <w:pPr>
              <w:pStyle w:val="ListBullet2"/>
            </w:pPr>
            <w:r w:rsidRPr="00277D24">
              <w:t>analysing evidence to ensure it supports the situation or event being considered</w:t>
            </w:r>
          </w:p>
          <w:p w:rsidR="00000000" w:rsidRPr="00277D24" w:rsidP="00277D24">
            <w:pPr>
              <w:pStyle w:val="ListBullet2"/>
            </w:pPr>
            <w:r w:rsidRPr="00277D24">
              <w:t>communicating with others involving exchanges of compl</w:t>
            </w:r>
            <w:r w:rsidRPr="00277D24">
              <w:t>ex oral and written information</w:t>
            </w:r>
          </w:p>
          <w:p w:rsidR="00000000" w:rsidRPr="00277D24" w:rsidP="00277D24">
            <w:pPr>
              <w:pStyle w:val="ListBullet2"/>
            </w:pPr>
            <w:r w:rsidRPr="00277D24">
              <w:t xml:space="preserve">using technology to conduct research, make enquiries, review available data, access legislative requirements and record outcomes </w:t>
            </w:r>
          </w:p>
          <w:p w:rsidR="00000000" w:rsidRPr="00277D24" w:rsidP="00277D24">
            <w:pPr>
              <w:pStyle w:val="ListBullet2"/>
            </w:pPr>
            <w:r w:rsidRPr="00277D24">
              <w:t>responding to diversity, including gender and disability, when requesting information or notif</w:t>
            </w:r>
            <w:r w:rsidRPr="00277D24">
              <w:t>ying decisions</w:t>
            </w:r>
          </w:p>
          <w:p w:rsidR="00000000" w:rsidP="00277D24">
            <w:pPr>
              <w:pStyle w:val="ListBullet2"/>
              <w:rPr>
                <w:lang w:val="en-NZ"/>
              </w:rPr>
            </w:pPr>
            <w:r w:rsidRPr="00277D24">
              <w:t>applying environmental and occupational health and safety procedures to administrative work and when dealing with customers.</w:t>
            </w:r>
          </w:p>
        </w:tc>
      </w:tr>
      <w:tr w:rsidTr="00E859F7">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rPr>
                <w:rStyle w:val="SpecialBold"/>
              </w:rPr>
              <w:t>Required knowledge</w:t>
            </w:r>
            <w:r w:rsidRPr="00277D24">
              <w:t>:</w:t>
            </w:r>
          </w:p>
          <w:p w:rsidR="00000000" w:rsidRPr="00277D24" w:rsidP="00277D24">
            <w:pPr>
              <w:pStyle w:val="BodyText"/>
            </w:pPr>
            <w:r w:rsidRPr="00277D24">
              <w:t>Look for evidence that confirms knowledge and understanding of:</w:t>
            </w:r>
          </w:p>
          <w:p w:rsidR="00000000" w:rsidRPr="00277D24" w:rsidP="00277D24">
            <w:pPr>
              <w:pStyle w:val="ListBullet2"/>
            </w:pPr>
            <w:r w:rsidRPr="00277D24">
              <w:t>purpose and key elements of a legislative decision making process</w:t>
            </w:r>
          </w:p>
          <w:p w:rsidR="00000000" w:rsidRPr="00277D24" w:rsidP="00277D24">
            <w:pPr>
              <w:pStyle w:val="ListBullet2"/>
            </w:pPr>
            <w:r w:rsidRPr="00277D24">
              <w:t>components and structure of statutes</w:t>
            </w:r>
          </w:p>
          <w:p w:rsidR="00000000" w:rsidRPr="00277D24" w:rsidP="00277D24">
            <w:pPr>
              <w:pStyle w:val="ListBullet2"/>
            </w:pPr>
            <w:r w:rsidRPr="00277D24">
              <w:t>interpretation of statutes</w:t>
            </w:r>
          </w:p>
          <w:p w:rsidR="00000000" w:rsidRPr="00277D24" w:rsidP="00277D24">
            <w:pPr>
              <w:pStyle w:val="ListBullet2"/>
            </w:pPr>
            <w:r w:rsidRPr="00277D24">
              <w:t>use of precedents, rulings and Commissioner's practices</w:t>
            </w:r>
          </w:p>
          <w:p w:rsidR="00000000" w:rsidRPr="00277D24" w:rsidP="00277D24">
            <w:pPr>
              <w:pStyle w:val="ListBullet2"/>
            </w:pPr>
            <w:r w:rsidRPr="00277D24">
              <w:t>exercise of delegations in relation to undertaking legislative decisio</w:t>
            </w:r>
            <w:r w:rsidRPr="00277D24">
              <w:t>n making.</w:t>
            </w:r>
          </w:p>
        </w:tc>
      </w:tr>
    </w:tbl>
    <w:p w:rsidR="00000000" w:rsidRPr="00277D24" w:rsidP="00277D24">
      <w:pPr>
        <w:pStyle w:val="BodyText"/>
      </w:pPr>
    </w:p>
    <w:p w:rsidR="00000000" w:rsidRPr="00277D24" w:rsidP="00277D24">
      <w:pPr>
        <w:pStyle w:val="AllowPageBreak"/>
      </w:pPr>
    </w:p>
    <w:p w:rsidR="00000000" w:rsidRPr="00277D24" w:rsidP="00277D24">
      <w:pPr>
        <w:pStyle w:val="Heading1"/>
      </w:pPr>
      <w:bookmarkStart w:id="10" w:name="O_499106"/>
      <w:bookmarkEnd w:id="10"/>
      <w:r w:rsidRPr="00277D24">
        <w:t>Evidence Guide</w:t>
      </w:r>
    </w:p>
    <w:tbl>
      <w:tblPr>
        <w:tblW w:w="9322" w:type="dxa"/>
        <w:tblLayout w:type="fixed"/>
        <w:tblCellMar>
          <w:left w:w="62" w:type="dxa"/>
          <w:right w:w="62" w:type="dxa"/>
        </w:tblCellMar>
        <w:tblLook w:val="0000"/>
      </w:tblPr>
      <w:tblGrid>
        <w:gridCol w:w="2660"/>
        <w:gridCol w:w="6662"/>
      </w:tblGrid>
      <w:tr w:rsidTr="00E859F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t>The Evidence Guide specifies the evidence required to demonstrate achievement in the unit of competency as a whole. It must be read in conjunction with the unit descriptor, performance criteria, The range stateme</w:t>
            </w:r>
            <w:r w:rsidRPr="00277D24">
              <w:t>nt and the Assessment Guidelines for the Public Sector Training Package.</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SpecialBold"/>
              </w:rPr>
              <w:t>Units to be assessed together</w:t>
            </w:r>
            <w:r w:rsidRPr="00277D24">
              <w:t xml:space="preserve"> </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t xml:space="preserve">Co-assessed units that may be assessed with this unit to increase the efficiency and realism of the assessment process include: </w:t>
            </w:r>
          </w:p>
          <w:p w:rsidR="00000000" w:rsidRPr="00277D24" w:rsidP="00277D24">
            <w:pPr>
              <w:pStyle w:val="ListBullet2"/>
            </w:pPr>
            <w:r w:rsidRPr="00277D24">
              <w:t>PSPETHC401A Uphold and support the values and principles of public service</w:t>
            </w:r>
          </w:p>
          <w:p w:rsidR="00000000" w:rsidRPr="00277D24" w:rsidP="00277D24">
            <w:pPr>
              <w:pStyle w:val="ListBullet2"/>
            </w:pPr>
            <w:r w:rsidRPr="00277D24">
              <w:t>PSPREV401A Identify and apply statute law</w:t>
            </w:r>
          </w:p>
          <w:p w:rsidR="00000000" w:rsidRPr="00277D24" w:rsidP="00277D24">
            <w:pPr>
              <w:pStyle w:val="ListBullet2"/>
            </w:pPr>
            <w:r w:rsidRPr="00277D24">
              <w:t>PSPREV403A Manage information on legal entities, relationships and property</w:t>
            </w:r>
          </w:p>
          <w:p w:rsidR="00000000" w:rsidRPr="00277D24" w:rsidP="00277D24">
            <w:pPr>
              <w:pStyle w:val="ListBullet2"/>
            </w:pPr>
            <w:r w:rsidRPr="00277D24">
              <w:t>PSPREV405A Assess applications for grants, subsidies and rebate</w:t>
            </w:r>
            <w:r w:rsidRPr="00277D24">
              <w:t>s</w:t>
            </w:r>
          </w:p>
          <w:p w:rsidR="00000000" w:rsidP="00277D24">
            <w:pPr>
              <w:pStyle w:val="ListBullet2"/>
              <w:rPr>
                <w:lang w:val="en-NZ"/>
              </w:rPr>
            </w:pPr>
            <w:r w:rsidRPr="00277D24">
              <w:t>PSPGOV402B Deliver and monitor service to clients</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t>In addition to integrated demonstration of the elements and their related performance criteria, look for evidence that confirms:</w:t>
            </w:r>
          </w:p>
          <w:p w:rsidR="00000000" w:rsidRPr="00277D24" w:rsidP="00277D24">
            <w:pPr>
              <w:pStyle w:val="ListBullet2"/>
            </w:pPr>
            <w:r w:rsidRPr="00277D24">
              <w:t xml:space="preserve">knowledge requirements of this unit </w:t>
            </w:r>
          </w:p>
          <w:p w:rsidR="00000000" w:rsidRPr="00277D24" w:rsidP="00277D24">
            <w:pPr>
              <w:pStyle w:val="ListBullet2"/>
            </w:pPr>
            <w:r w:rsidRPr="00277D24">
              <w:t>skill requirements of this unit</w:t>
            </w:r>
          </w:p>
          <w:p w:rsidR="00000000" w:rsidP="00277D24">
            <w:pPr>
              <w:pStyle w:val="ListBullet2"/>
              <w:rPr>
                <w:lang w:val="en-NZ"/>
              </w:rPr>
            </w:pPr>
            <w:r w:rsidRPr="00277D24">
              <w:t>application of employability skills as they relate to this unit</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t>Resources essential for assessment include:</w:t>
            </w:r>
          </w:p>
          <w:p w:rsidR="00000000" w:rsidRPr="00277D24" w:rsidP="00277D24">
            <w:pPr>
              <w:pStyle w:val="ListBullet2"/>
            </w:pPr>
            <w:r w:rsidRPr="00277D24">
              <w:t>legislative decision making process</w:t>
            </w:r>
          </w:p>
          <w:p w:rsidR="00000000" w:rsidRPr="00277D24" w:rsidP="00277D24">
            <w:pPr>
              <w:pStyle w:val="ListBullet2"/>
            </w:pPr>
            <w:r w:rsidRPr="00277D24">
              <w:t>government legislation, regulations</w:t>
            </w:r>
            <w:r w:rsidRPr="00277D24">
              <w:t>, rulings, Commissioner's practices and other applicable case law relating to legislative decision making</w:t>
            </w:r>
          </w:p>
          <w:p w:rsidR="00000000" w:rsidRPr="00277D24" w:rsidP="00277D24">
            <w:pPr>
              <w:pStyle w:val="ListBullet2"/>
            </w:pPr>
            <w:r w:rsidRPr="00277D24">
              <w:t>organisational procedures and protocols relating to legislative decision making</w:t>
            </w:r>
          </w:p>
          <w:p w:rsidR="00000000" w:rsidRPr="00277D24" w:rsidP="00277D24">
            <w:pPr>
              <w:pStyle w:val="ListBullet2"/>
            </w:pPr>
            <w:r w:rsidRPr="00277D24">
              <w:t>scenarios and case studies to capture the range of situations likely t</w:t>
            </w:r>
            <w:r w:rsidRPr="00277D24">
              <w:t>o be encountered when undertaking legislative decision making</w:t>
            </w:r>
          </w:p>
          <w:p w:rsidR="00000000" w:rsidP="00277D24">
            <w:pPr>
              <w:pStyle w:val="ListBullet2"/>
              <w:rPr>
                <w:lang w:val="en-NZ"/>
              </w:rPr>
            </w:pPr>
            <w:r w:rsidRPr="00277D24">
              <w:t>access to relevant systems</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77D24" w:rsidP="00277D24">
            <w:pPr>
              <w:pStyle w:val="BodyText"/>
            </w:pPr>
          </w:p>
          <w:p w:rsidR="00000000" w:rsidP="00277D24">
            <w:pPr>
              <w:pStyle w:val="BodyText"/>
              <w:rPr>
                <w:lang w:val="en-NZ"/>
              </w:rPr>
            </w:pPr>
            <w:r w:rsidRPr="00277D2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t xml:space="preserve">Valid assessment of this unit requires: </w:t>
            </w:r>
          </w:p>
          <w:p w:rsidR="00000000" w:rsidRPr="00277D24" w:rsidP="00277D24">
            <w:pPr>
              <w:pStyle w:val="ListBullet2"/>
            </w:pPr>
            <w:r w:rsidRPr="00277D24">
              <w:t xml:space="preserve">a workplace environment or one that closely resembles normal work practice and replicates </w:t>
            </w:r>
            <w:r w:rsidRPr="00277D24">
              <w:t>the range of conditions likely to be encountered when undertaking legislative decision making, including coping with difficulties, irregularities and breakdowns in routine</w:t>
            </w:r>
          </w:p>
          <w:p w:rsidR="00000000" w:rsidRPr="00277D24" w:rsidP="00277D24">
            <w:pPr>
              <w:pStyle w:val="ListBullet2"/>
            </w:pPr>
            <w:r w:rsidRPr="00277D24">
              <w:t>undertaking legislative decision making in a range of three or more contexts or occa</w:t>
            </w:r>
            <w:r w:rsidRPr="00277D24">
              <w:t>sions, over time.</w:t>
            </w:r>
          </w:p>
          <w:p w:rsidR="00000000" w:rsidRPr="00277D24" w:rsidP="00277D24">
            <w:pPr>
              <w:pStyle w:val="BodyText"/>
            </w:pPr>
            <w:r w:rsidRPr="00277D24">
              <w:t>Assessment methods should reflect but not exceed workplace demands, such as literacy, and the needs of individuals who might be disadvantaged.</w:t>
            </w:r>
          </w:p>
          <w:p w:rsidR="00000000" w:rsidRPr="00277D24" w:rsidP="00277D24">
            <w:pPr>
              <w:pStyle w:val="BodyText"/>
            </w:pPr>
            <w:r w:rsidRPr="00277D24">
              <w:t>Assessment methods suitable for valid and reliable assessment of this unit must use authenticat</w:t>
            </w:r>
            <w:r w:rsidRPr="00277D24">
              <w:t xml:space="preserve">ed evidence from the workplace and/or training courses and may include a combination of two or more of: </w:t>
            </w:r>
          </w:p>
          <w:p w:rsidR="00000000" w:rsidRPr="00277D24" w:rsidP="00277D24">
            <w:pPr>
              <w:pStyle w:val="ListBullet2"/>
            </w:pPr>
            <w:r w:rsidRPr="00277D24">
              <w:t>workplace projects</w:t>
            </w:r>
          </w:p>
          <w:p w:rsidR="00000000" w:rsidRPr="00277D24" w:rsidP="00277D24">
            <w:pPr>
              <w:pStyle w:val="ListBullet2"/>
            </w:pPr>
            <w:r w:rsidRPr="00277D24">
              <w:t>simulation or role plays</w:t>
            </w:r>
          </w:p>
          <w:p w:rsidR="00000000" w:rsidRPr="00277D24" w:rsidP="00277D24">
            <w:pPr>
              <w:pStyle w:val="ListBullet2"/>
            </w:pPr>
            <w:r w:rsidRPr="00277D24">
              <w:t>case studies and scenarios</w:t>
            </w:r>
          </w:p>
          <w:p w:rsidR="00000000" w:rsidRPr="00277D24" w:rsidP="00277D24">
            <w:pPr>
              <w:pStyle w:val="ListBullet2"/>
            </w:pPr>
            <w:r w:rsidRPr="00277D24">
              <w:t>portfolios</w:t>
            </w:r>
          </w:p>
          <w:p w:rsidR="00000000" w:rsidP="00277D24">
            <w:pPr>
              <w:pStyle w:val="BodyText"/>
              <w:rPr>
                <w:lang w:val="en-NZ"/>
              </w:rPr>
            </w:pPr>
            <w:r w:rsidRPr="00277D24">
              <w:t>The assessment environment should not disadvantage the candidate and</w:t>
            </w:r>
            <w:r w:rsidRPr="00277D24">
              <w:t xml:space="preserve"> where the person has a disability the principle of reasonable adjustment should be applied during assessment.</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BodyText"/>
            </w:pPr>
            <w:r w:rsidRPr="00277D24">
              <w:t>Evidence must be gathered over time in a range of contexts to ensure the person can achieve the unit outcome and apply the competency in different situations or environments.</w:t>
            </w:r>
          </w:p>
        </w:tc>
      </w:tr>
    </w:tbl>
    <w:p w:rsidR="00000000" w:rsidRPr="00277D24" w:rsidP="00277D24">
      <w:pPr>
        <w:pStyle w:val="BodyText"/>
      </w:pPr>
    </w:p>
    <w:p w:rsidR="00000000" w:rsidRPr="00277D24" w:rsidP="00277D24">
      <w:pPr>
        <w:pStyle w:val="AllowPageBreak"/>
      </w:pPr>
    </w:p>
    <w:p w:rsidR="00000000" w:rsidRPr="00277D24" w:rsidP="00277D24">
      <w:pPr>
        <w:pStyle w:val="Heading1"/>
      </w:pPr>
      <w:bookmarkStart w:id="11" w:name="O_499101"/>
      <w:bookmarkEnd w:id="11"/>
      <w:r w:rsidRPr="00277D24">
        <w:t>Range Statement</w:t>
      </w:r>
    </w:p>
    <w:tbl>
      <w:tblPr>
        <w:tblW w:w="9322" w:type="dxa"/>
        <w:tblLayout w:type="fixed"/>
        <w:tblCellMar>
          <w:left w:w="62" w:type="dxa"/>
          <w:right w:w="62" w:type="dxa"/>
        </w:tblCellMar>
        <w:tblLook w:val="0000"/>
      </w:tblPr>
      <w:tblGrid>
        <w:gridCol w:w="2660"/>
        <w:gridCol w:w="6662"/>
      </w:tblGrid>
      <w:tr w:rsidTr="00E859F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t>The range statement provides information about</w:t>
            </w:r>
            <w:r w:rsidRPr="00277D24">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277D24">
              <w:t>nowledge. The range statement also provides a focus for assessment. It relates to the unit as a whole. Text in</w:t>
            </w:r>
            <w:r w:rsidRPr="00277D24">
              <w:rPr>
                <w:rStyle w:val="BoldandItalics"/>
              </w:rPr>
              <w:t xml:space="preserve"> bold italics</w:t>
            </w:r>
            <w:r w:rsidRPr="00277D24">
              <w:t xml:space="preserve"> in the Performance criteria is explained here.</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BoldandItalics"/>
              </w:rPr>
              <w:t>Extraneous material</w:t>
            </w:r>
            <w:r w:rsidRPr="00277D2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ListBullet2"/>
            </w:pPr>
            <w:r w:rsidRPr="00277D24">
              <w:t>published practices</w:t>
            </w:r>
          </w:p>
          <w:p w:rsidR="00000000" w:rsidRPr="00277D24" w:rsidP="00277D24">
            <w:pPr>
              <w:pStyle w:val="ListBullet2"/>
            </w:pPr>
            <w:r w:rsidRPr="00277D24">
              <w:t>circulars</w:t>
            </w:r>
          </w:p>
          <w:p w:rsidR="00000000" w:rsidRPr="00277D24" w:rsidP="00277D24">
            <w:pPr>
              <w:pStyle w:val="ListBullet2"/>
            </w:pPr>
            <w:r w:rsidRPr="00277D24">
              <w:t>revenue circulars</w:t>
            </w:r>
          </w:p>
          <w:p w:rsidR="00000000" w:rsidRPr="00277D24" w:rsidP="00277D24">
            <w:pPr>
              <w:pStyle w:val="ListBullet2"/>
            </w:pPr>
            <w:r w:rsidRPr="00277D24">
              <w:t>public rulings</w:t>
            </w:r>
          </w:p>
          <w:p w:rsidR="00000000" w:rsidRPr="00277D24" w:rsidP="00277D24">
            <w:pPr>
              <w:pStyle w:val="ListBullet2"/>
            </w:pPr>
            <w:r w:rsidRPr="00277D24">
              <w:t>case transcripts</w:t>
            </w:r>
          </w:p>
          <w:p w:rsidR="00000000" w:rsidRPr="00277D24" w:rsidP="00277D24">
            <w:pPr>
              <w:pStyle w:val="ListBullet2"/>
            </w:pPr>
            <w:r w:rsidRPr="00277D24">
              <w:t>regulations</w:t>
            </w:r>
          </w:p>
          <w:p w:rsidR="00000000" w:rsidRPr="00277D24" w:rsidP="00277D24">
            <w:pPr>
              <w:pStyle w:val="ListBullet2"/>
            </w:pPr>
            <w:r w:rsidRPr="00277D24">
              <w:t>judicial decisions</w:t>
            </w:r>
          </w:p>
          <w:p w:rsidR="00000000" w:rsidRPr="00277D24" w:rsidP="00277D24">
            <w:pPr>
              <w:pStyle w:val="ListBullet2"/>
            </w:pPr>
            <w:r w:rsidRPr="00277D24">
              <w:t>precedent databases</w:t>
            </w:r>
          </w:p>
          <w:p w:rsidR="00000000" w:rsidRPr="00277D24" w:rsidP="00277D24">
            <w:pPr>
              <w:pStyle w:val="ListBullet2"/>
            </w:pPr>
            <w:r w:rsidRPr="00277D24">
              <w:t>technical and procedural instructions</w:t>
            </w:r>
          </w:p>
          <w:p w:rsidR="00000000" w:rsidRPr="00277D24" w:rsidP="00277D24">
            <w:pPr>
              <w:pStyle w:val="ListBullet2"/>
            </w:pPr>
            <w:r w:rsidRPr="00277D24">
              <w:t>operating policies and procedures</w:t>
            </w:r>
          </w:p>
          <w:p w:rsidR="00000000" w:rsidRPr="00277D24" w:rsidP="00277D24">
            <w:pPr>
              <w:pStyle w:val="ListBullet2"/>
            </w:pPr>
            <w:r w:rsidRPr="00277D24">
              <w:t>internal procedures</w:t>
            </w:r>
          </w:p>
          <w:p w:rsidR="00000000" w:rsidRPr="00277D24" w:rsidP="00277D24">
            <w:pPr>
              <w:pStyle w:val="ListBullet2"/>
            </w:pPr>
            <w:r w:rsidRPr="00277D24">
              <w:t>forms and brochures</w:t>
            </w:r>
          </w:p>
          <w:p w:rsidR="00000000" w:rsidRPr="00277D24" w:rsidP="00277D24">
            <w:pPr>
              <w:pStyle w:val="ListBullet2"/>
            </w:pPr>
            <w:r w:rsidRPr="00277D24">
              <w:t>fact sheets</w:t>
            </w:r>
          </w:p>
          <w:p w:rsidR="00000000" w:rsidRPr="00277D24" w:rsidP="00277D24">
            <w:pPr>
              <w:pStyle w:val="ListBullet2"/>
            </w:pPr>
            <w:r w:rsidRPr="00277D24">
              <w:t>organisational alerts</w:t>
            </w:r>
          </w:p>
          <w:p w:rsidR="00000000" w:rsidRPr="00277D24" w:rsidP="00277D24">
            <w:pPr>
              <w:pStyle w:val="ListBullet2"/>
            </w:pPr>
            <w:r w:rsidRPr="00277D24">
              <w:t>training materials</w:t>
            </w:r>
          </w:p>
          <w:p w:rsidR="00000000" w:rsidRPr="00277D24" w:rsidP="00277D24">
            <w:pPr>
              <w:pStyle w:val="ListBullet2"/>
            </w:pPr>
            <w:r w:rsidRPr="00277D24">
              <w:t>readings</w:t>
            </w:r>
            <w:r w:rsidRPr="00277D24">
              <w:t xml:space="preserve"> in Parliament</w:t>
            </w:r>
          </w:p>
          <w:p w:rsidR="00000000" w:rsidRPr="00277D24" w:rsidP="00277D24">
            <w:pPr>
              <w:pStyle w:val="ListBullet2"/>
            </w:pPr>
            <w:r w:rsidRPr="00277D24">
              <w:t>subordinate legislation</w:t>
            </w:r>
          </w:p>
          <w:p w:rsidR="00000000" w:rsidRPr="00277D24" w:rsidP="00277D24">
            <w:pPr>
              <w:pStyle w:val="ListBullet2"/>
            </w:pPr>
            <w:r w:rsidRPr="00277D24">
              <w:t>disallowable and notifiable instruments</w:t>
            </w:r>
          </w:p>
          <w:p w:rsidR="00000000" w:rsidRPr="00277D24" w:rsidP="00277D24">
            <w:pPr>
              <w:pStyle w:val="ListBullet2"/>
            </w:pPr>
            <w:r w:rsidRPr="00277D24">
              <w:t>legislation register</w:t>
            </w:r>
          </w:p>
          <w:p w:rsidR="00000000" w:rsidP="00277D24">
            <w:pPr>
              <w:pStyle w:val="ListBullet2"/>
              <w:rPr>
                <w:lang w:val="en-NZ"/>
              </w:rPr>
            </w:pPr>
            <w:r w:rsidRPr="00277D24">
              <w:t>other relevant legislation</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BoldandItalics"/>
              </w:rPr>
              <w:t>Evidence</w:t>
            </w:r>
            <w:r w:rsidRPr="00277D2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ListBullet"/>
            </w:pPr>
            <w:r w:rsidRPr="00277D24">
              <w:t>documents received from the customer to support the situation or event, for example:</w:t>
            </w:r>
          </w:p>
          <w:p w:rsidR="00000000" w:rsidRPr="00277D24" w:rsidP="00277D24">
            <w:pPr>
              <w:pStyle w:val="ListBullet2"/>
            </w:pPr>
            <w:r w:rsidRPr="00277D24">
              <w:t>stamp duties:</w:t>
            </w:r>
          </w:p>
          <w:p w:rsidR="00000000" w:rsidRPr="00277D24" w:rsidP="00277D24">
            <w:pPr>
              <w:pStyle w:val="ListBullet3"/>
            </w:pPr>
            <w:r w:rsidRPr="00277D24">
              <w:t>offer and acceptance documents</w:t>
            </w:r>
          </w:p>
          <w:p w:rsidR="00000000" w:rsidRPr="00277D24" w:rsidP="00277D24">
            <w:pPr>
              <w:pStyle w:val="ListBullet3"/>
            </w:pPr>
            <w:r w:rsidRPr="00277D24">
              <w:t>property purchase applications or offers</w:t>
            </w:r>
          </w:p>
          <w:p w:rsidR="00000000" w:rsidRPr="00277D24" w:rsidP="00277D24">
            <w:pPr>
              <w:pStyle w:val="ListBullet3"/>
            </w:pPr>
            <w:r w:rsidRPr="00277D24">
              <w:t>contracts</w:t>
            </w:r>
          </w:p>
          <w:p w:rsidR="00000000" w:rsidRPr="00277D24" w:rsidP="00277D24">
            <w:pPr>
              <w:pStyle w:val="ListBullet3"/>
            </w:pPr>
            <w:r w:rsidRPr="00277D24">
              <w:t>mortgage documents</w:t>
            </w:r>
          </w:p>
          <w:p w:rsidR="00000000" w:rsidRPr="00277D24" w:rsidP="00277D24">
            <w:pPr>
              <w:pStyle w:val="ListBullet3"/>
            </w:pPr>
            <w:r w:rsidRPr="00277D24">
              <w:t>deeds</w:t>
            </w:r>
          </w:p>
          <w:p w:rsidR="00000000" w:rsidRPr="00277D24" w:rsidP="00277D24">
            <w:pPr>
              <w:pStyle w:val="ListBullet3"/>
            </w:pPr>
            <w:r w:rsidRPr="00277D24">
              <w:t>trust deeds</w:t>
            </w:r>
          </w:p>
          <w:p w:rsidR="00000000" w:rsidRPr="00277D24" w:rsidP="00277D24">
            <w:pPr>
              <w:pStyle w:val="ListBullet3"/>
            </w:pPr>
            <w:r w:rsidRPr="00277D24">
              <w:t>notices of acquisition</w:t>
            </w:r>
          </w:p>
          <w:p w:rsidR="00000000" w:rsidRPr="00277D24" w:rsidP="00277D24">
            <w:pPr>
              <w:pStyle w:val="ListBullet3"/>
            </w:pPr>
            <w:r w:rsidRPr="00277D24">
              <w:t>certificates of title</w:t>
            </w:r>
          </w:p>
          <w:p w:rsidR="00000000" w:rsidRPr="00277D24" w:rsidP="00277D24">
            <w:pPr>
              <w:pStyle w:val="ListBullet3"/>
            </w:pPr>
            <w:r w:rsidRPr="00277D24">
              <w:t>court orders</w:t>
            </w:r>
          </w:p>
          <w:p w:rsidR="00000000" w:rsidRPr="00277D24" w:rsidP="00277D24">
            <w:pPr>
              <w:pStyle w:val="ListBullet3"/>
            </w:pPr>
            <w:r w:rsidRPr="00277D24">
              <w:t>statutory declarations</w:t>
            </w:r>
          </w:p>
          <w:p w:rsidR="00000000" w:rsidRPr="00277D24" w:rsidP="00277D24">
            <w:pPr>
              <w:pStyle w:val="ListBullet3"/>
            </w:pPr>
            <w:r w:rsidRPr="00277D24">
              <w:t>financial statements</w:t>
            </w:r>
          </w:p>
          <w:p w:rsidR="00000000" w:rsidRPr="00277D24" w:rsidP="00277D24">
            <w:pPr>
              <w:pStyle w:val="ListBullet3"/>
            </w:pPr>
            <w:r w:rsidRPr="00277D24">
              <w:t>minutes of directors' meetings</w:t>
            </w:r>
          </w:p>
          <w:p w:rsidR="00000000" w:rsidRPr="00277D24" w:rsidP="00277D24">
            <w:pPr>
              <w:pStyle w:val="ListBullet3"/>
            </w:pPr>
            <w:r w:rsidRPr="00277D24">
              <w:t>written communication, e.g. forms, letters or emails</w:t>
            </w:r>
          </w:p>
          <w:p w:rsidR="00000000" w:rsidRPr="00277D24" w:rsidP="00277D24">
            <w:pPr>
              <w:pStyle w:val="ListBullet2"/>
            </w:pPr>
            <w:r w:rsidRPr="00277D24">
              <w:t>payroll tax:</w:t>
            </w:r>
          </w:p>
          <w:p w:rsidR="00000000" w:rsidRPr="00277D24" w:rsidP="00277D24">
            <w:pPr>
              <w:pStyle w:val="ListBullet3"/>
            </w:pPr>
            <w:r w:rsidRPr="00277D24">
              <w:t>financial statements</w:t>
            </w:r>
          </w:p>
          <w:p w:rsidR="00000000" w:rsidRPr="00277D24" w:rsidP="00277D24">
            <w:pPr>
              <w:pStyle w:val="ListBullet3"/>
            </w:pPr>
            <w:r w:rsidRPr="00277D24">
              <w:t>written communication, e.g. forms, letters or emails</w:t>
            </w:r>
          </w:p>
          <w:p w:rsidR="00000000" w:rsidRPr="00277D24" w:rsidP="00277D24">
            <w:pPr>
              <w:pStyle w:val="ListBullet3"/>
            </w:pPr>
            <w:r w:rsidRPr="00277D24">
              <w:t>trust documents</w:t>
            </w:r>
          </w:p>
          <w:p w:rsidR="00000000" w:rsidRPr="00277D24" w:rsidP="00277D24">
            <w:pPr>
              <w:pStyle w:val="ListBullet3"/>
            </w:pPr>
            <w:r w:rsidRPr="00277D24">
              <w:t>partnership agreements</w:t>
            </w:r>
          </w:p>
          <w:p w:rsidR="00000000" w:rsidRPr="00277D24" w:rsidP="00277D24">
            <w:pPr>
              <w:pStyle w:val="ListBullet3"/>
            </w:pPr>
            <w:r w:rsidRPr="00277D24">
              <w:t>employment contracts</w:t>
            </w:r>
          </w:p>
          <w:p w:rsidR="00000000" w:rsidRPr="00277D24" w:rsidP="00277D24">
            <w:pPr>
              <w:pStyle w:val="ListBullet3"/>
            </w:pPr>
            <w:r w:rsidRPr="00277D24">
              <w:t>details of share ownership</w:t>
            </w:r>
          </w:p>
          <w:p w:rsidR="00000000" w:rsidRPr="00277D24" w:rsidP="00277D24">
            <w:pPr>
              <w:pStyle w:val="ListBullet3"/>
            </w:pPr>
            <w:r w:rsidRPr="00277D24">
              <w:t>group structure documents</w:t>
            </w:r>
          </w:p>
          <w:p w:rsidR="00000000" w:rsidRPr="00277D24" w:rsidP="00277D24">
            <w:pPr>
              <w:pStyle w:val="ListBullet3"/>
            </w:pPr>
            <w:r w:rsidRPr="00277D24">
              <w:t>constitutions</w:t>
            </w:r>
          </w:p>
          <w:p w:rsidR="00000000" w:rsidRPr="00277D24" w:rsidP="00277D24">
            <w:pPr>
              <w:pStyle w:val="ListBullet3"/>
            </w:pPr>
            <w:r w:rsidRPr="00277D24">
              <w:t>minutes of director's meetings</w:t>
            </w:r>
          </w:p>
          <w:p w:rsidR="00000000" w:rsidRPr="00277D24" w:rsidP="00277D24">
            <w:pPr>
              <w:pStyle w:val="ListBullet2"/>
            </w:pPr>
            <w:r w:rsidRPr="00277D24">
              <w:t>land tax:</w:t>
            </w:r>
          </w:p>
          <w:p w:rsidR="00000000" w:rsidRPr="00277D24" w:rsidP="00277D24">
            <w:pPr>
              <w:pStyle w:val="ListBullet3"/>
            </w:pPr>
            <w:r w:rsidRPr="00277D24">
              <w:t>written communication, e.g. forms, letters or emails</w:t>
            </w:r>
          </w:p>
          <w:p w:rsidR="00000000" w:rsidRPr="00277D24" w:rsidP="00277D24">
            <w:pPr>
              <w:pStyle w:val="ListBullet3"/>
            </w:pPr>
            <w:r w:rsidRPr="00277D24">
              <w:t>tax enquiries</w:t>
            </w:r>
          </w:p>
          <w:p w:rsidR="00000000" w:rsidRPr="00277D24" w:rsidP="00277D24">
            <w:pPr>
              <w:pStyle w:val="ListBullet3"/>
            </w:pPr>
            <w:r w:rsidRPr="00277D24">
              <w:t>evidence of usage</w:t>
            </w:r>
          </w:p>
          <w:p w:rsidR="00000000" w:rsidRPr="00277D24" w:rsidP="00277D24">
            <w:pPr>
              <w:pStyle w:val="ListBullet3"/>
            </w:pPr>
            <w:r w:rsidRPr="00277D24">
              <w:t>certificates of title</w:t>
            </w:r>
          </w:p>
          <w:p w:rsidR="00000000" w:rsidRPr="00277D24" w:rsidP="00277D24">
            <w:pPr>
              <w:pStyle w:val="ListBullet3"/>
            </w:pPr>
            <w:r w:rsidRPr="00277D24">
              <w:t>constitutions</w:t>
            </w:r>
          </w:p>
          <w:p w:rsidR="00000000" w:rsidRPr="00277D24" w:rsidP="00277D24">
            <w:pPr>
              <w:pStyle w:val="ListBullet3"/>
            </w:pPr>
            <w:r w:rsidRPr="00277D24">
              <w:t>notices of acquisition</w:t>
            </w:r>
          </w:p>
          <w:p w:rsidR="00000000" w:rsidRPr="00277D24" w:rsidP="00277D24">
            <w:pPr>
              <w:pStyle w:val="ListBullet3"/>
            </w:pPr>
            <w:r w:rsidRPr="00277D24">
              <w:t>valuation details</w:t>
            </w:r>
          </w:p>
          <w:p w:rsidR="00000000" w:rsidRPr="00277D24" w:rsidP="00277D24">
            <w:pPr>
              <w:pStyle w:val="ListBullet3"/>
            </w:pPr>
            <w:r w:rsidRPr="00277D24">
              <w:t>evidence of ownership (e.g. trust deeds)</w:t>
            </w:r>
          </w:p>
          <w:p w:rsidR="00000000" w:rsidRPr="00277D24" w:rsidP="00277D24">
            <w:pPr>
              <w:pStyle w:val="ListBullet3"/>
            </w:pPr>
            <w:r w:rsidRPr="00277D24">
              <w:t>publications gazetted</w:t>
            </w:r>
          </w:p>
          <w:p w:rsidR="00000000" w:rsidRPr="00277D24" w:rsidP="00277D24">
            <w:pPr>
              <w:pStyle w:val="ListBullet"/>
            </w:pPr>
            <w:r w:rsidRPr="00277D24">
              <w:t>First Home Owner Grant:</w:t>
            </w:r>
          </w:p>
          <w:p w:rsidR="00000000" w:rsidRPr="00277D24" w:rsidP="00277D24">
            <w:pPr>
              <w:pStyle w:val="ListBullet2"/>
            </w:pPr>
            <w:r w:rsidRPr="00277D24">
              <w:t>offer and acceptance documents</w:t>
            </w:r>
          </w:p>
          <w:p w:rsidR="00000000" w:rsidRPr="00277D24" w:rsidP="00277D24">
            <w:pPr>
              <w:pStyle w:val="ListBullet2"/>
            </w:pPr>
            <w:r w:rsidRPr="00277D24">
              <w:t>property purchase applications or offers</w:t>
            </w:r>
          </w:p>
          <w:p w:rsidR="00000000" w:rsidRPr="00277D24" w:rsidP="00277D24">
            <w:pPr>
              <w:pStyle w:val="ListBullet2"/>
            </w:pPr>
            <w:r w:rsidRPr="00277D24">
              <w:t>contracts</w:t>
            </w:r>
          </w:p>
          <w:p w:rsidR="00000000" w:rsidRPr="00277D24" w:rsidP="00277D24">
            <w:pPr>
              <w:pStyle w:val="ListBullet2"/>
            </w:pPr>
            <w:r w:rsidRPr="00277D24">
              <w:t>certificates of title</w:t>
            </w:r>
          </w:p>
          <w:p w:rsidR="00000000" w:rsidRPr="00277D24" w:rsidP="00277D24">
            <w:pPr>
              <w:pStyle w:val="ListBullet2"/>
            </w:pPr>
            <w:r w:rsidRPr="00277D24">
              <w:t>financial statements</w:t>
            </w:r>
          </w:p>
          <w:p w:rsidR="00000000" w:rsidRPr="00277D24" w:rsidP="00277D24">
            <w:pPr>
              <w:pStyle w:val="ListBullet2"/>
            </w:pPr>
            <w:r w:rsidRPr="00277D24">
              <w:t>written correspondence, e.g. letters, forms or emails</w:t>
            </w:r>
          </w:p>
          <w:p w:rsidR="00000000" w:rsidRPr="00277D24" w:rsidP="00277D24">
            <w:pPr>
              <w:pStyle w:val="ListBullet2"/>
            </w:pPr>
            <w:r w:rsidRPr="00277D24">
              <w:t>applicant identification documents</w:t>
            </w:r>
          </w:p>
          <w:p w:rsidR="00000000" w:rsidRPr="00277D24" w:rsidP="00277D24">
            <w:pPr>
              <w:pStyle w:val="ListBullet2"/>
            </w:pPr>
            <w:r w:rsidRPr="00277D24">
              <w:t>evidence of residence</w:t>
            </w:r>
          </w:p>
          <w:p w:rsidR="00000000" w:rsidRPr="00277D24" w:rsidP="00277D24">
            <w:pPr>
              <w:pStyle w:val="ListBullet"/>
            </w:pPr>
            <w:r w:rsidRPr="00277D24">
              <w:t>fines:</w:t>
            </w:r>
          </w:p>
          <w:p w:rsidR="00000000" w:rsidRPr="00277D24" w:rsidP="00277D24">
            <w:pPr>
              <w:pStyle w:val="ListBullet2"/>
            </w:pPr>
            <w:r w:rsidRPr="00277D24">
              <w:t>statement of financial circumstances</w:t>
            </w:r>
          </w:p>
          <w:p w:rsidR="00000000" w:rsidRPr="00277D24" w:rsidP="00277D24">
            <w:pPr>
              <w:pStyle w:val="ListBullet2"/>
            </w:pPr>
            <w:r w:rsidRPr="00277D24">
              <w:t>medical reports</w:t>
            </w:r>
          </w:p>
          <w:p w:rsidR="00000000" w:rsidRPr="00277D24" w:rsidP="00277D24">
            <w:pPr>
              <w:pStyle w:val="ListBullet2"/>
            </w:pPr>
            <w:r w:rsidRPr="00277D24">
              <w:t>statutory declarations</w:t>
            </w:r>
          </w:p>
          <w:p w:rsidR="00000000" w:rsidRPr="00277D24" w:rsidP="00277D24">
            <w:pPr>
              <w:pStyle w:val="ListBullet2"/>
            </w:pPr>
            <w:r w:rsidRPr="00277D24">
              <w:t>written correspondence</w:t>
            </w:r>
          </w:p>
          <w:p w:rsidR="00000000" w:rsidRPr="00277D24" w:rsidP="00277D24">
            <w:pPr>
              <w:pStyle w:val="ListBullet2"/>
            </w:pPr>
            <w:r w:rsidRPr="00277D24">
              <w:t>resident or nationality status</w:t>
            </w:r>
          </w:p>
          <w:p w:rsidR="00000000" w:rsidRPr="00277D24" w:rsidP="00277D24">
            <w:pPr>
              <w:pStyle w:val="ListBullet2"/>
            </w:pPr>
            <w:r w:rsidRPr="00277D24">
              <w:t>proof of employment</w:t>
            </w:r>
          </w:p>
          <w:p w:rsidR="00000000" w:rsidP="00277D24">
            <w:pPr>
              <w:pStyle w:val="ListBullet2"/>
              <w:rPr>
                <w:lang w:val="en-NZ"/>
              </w:rPr>
            </w:pPr>
            <w:r w:rsidRPr="00277D24">
              <w:t>tickets or receipts</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BoldandItalics"/>
              </w:rPr>
              <w:t>Rulings</w:t>
            </w:r>
            <w:r w:rsidRPr="00277D2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ListBullet2"/>
            </w:pPr>
            <w:r w:rsidRPr="00277D24">
              <w:t>revenue rulings</w:t>
            </w:r>
          </w:p>
          <w:p w:rsidR="00000000" w:rsidRPr="00277D24" w:rsidP="00277D24">
            <w:pPr>
              <w:pStyle w:val="ListBullet2"/>
            </w:pPr>
            <w:r w:rsidRPr="00277D24">
              <w:t>tax rulings</w:t>
            </w:r>
          </w:p>
          <w:p w:rsidR="00000000" w:rsidRPr="00277D24" w:rsidP="00277D24">
            <w:pPr>
              <w:pStyle w:val="ListBullet2"/>
            </w:pPr>
            <w:r w:rsidRPr="00277D24">
              <w:t>public rulings</w:t>
            </w:r>
          </w:p>
          <w:p w:rsidR="00000000" w:rsidRPr="00277D24" w:rsidP="00277D24">
            <w:pPr>
              <w:pStyle w:val="ListBullet2"/>
            </w:pPr>
            <w:r w:rsidRPr="00277D24">
              <w:t>circulars</w:t>
            </w:r>
          </w:p>
          <w:p w:rsidR="00000000" w:rsidP="00277D24">
            <w:pPr>
              <w:pStyle w:val="ListBullet2"/>
              <w:rPr>
                <w:lang w:val="en-NZ"/>
              </w:rPr>
            </w:pPr>
            <w:r w:rsidRPr="00277D24">
              <w:t>Commissioner's determinations</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BoldandItalics"/>
              </w:rPr>
              <w:t>Commissioner's practices</w:t>
            </w:r>
            <w:r w:rsidRPr="00277D2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ListBullet2"/>
            </w:pPr>
            <w:r w:rsidRPr="00277D24">
              <w:t>practices designated by Commissioner of Revenue or Australian Taxation</w:t>
            </w:r>
            <w:r w:rsidRPr="00277D24">
              <w:t xml:space="preserve"> Commissioner</w:t>
            </w:r>
          </w:p>
          <w:p w:rsidR="00000000" w:rsidRPr="00277D24" w:rsidP="00277D24">
            <w:pPr>
              <w:pStyle w:val="ListBullet2"/>
            </w:pPr>
            <w:r w:rsidRPr="00277D24">
              <w:t>Commissioner's Guidelines and Circulars</w:t>
            </w:r>
          </w:p>
          <w:p w:rsidR="00000000" w:rsidRPr="00277D24" w:rsidP="00277D24">
            <w:pPr>
              <w:pStyle w:val="ListBullet2"/>
            </w:pPr>
            <w:r w:rsidRPr="00277D24">
              <w:t>practice directions</w:t>
            </w:r>
          </w:p>
          <w:p w:rsidR="00000000" w:rsidRPr="00277D24" w:rsidP="00277D24">
            <w:pPr>
              <w:pStyle w:val="ListBullet2"/>
            </w:pPr>
            <w:r w:rsidRPr="00277D24">
              <w:t>public guidelines</w:t>
            </w:r>
          </w:p>
          <w:p w:rsidR="00000000" w:rsidRPr="00277D24" w:rsidP="00277D24">
            <w:pPr>
              <w:pStyle w:val="ListBullet2"/>
            </w:pPr>
            <w:r w:rsidRPr="00277D24">
              <w:t>public practices</w:t>
            </w:r>
          </w:p>
          <w:p w:rsidR="00000000" w:rsidRPr="00277D24" w:rsidP="00277D24">
            <w:pPr>
              <w:pStyle w:val="ListBullet2"/>
            </w:pPr>
            <w:r w:rsidRPr="00277D24">
              <w:t>Treasurer's directions</w:t>
            </w:r>
          </w:p>
          <w:p w:rsidR="00000000" w:rsidRPr="00277D24" w:rsidP="00277D24">
            <w:pPr>
              <w:pStyle w:val="ListBullet2"/>
            </w:pPr>
            <w:r w:rsidRPr="00277D24">
              <w:t>business rules</w:t>
            </w:r>
          </w:p>
          <w:p w:rsidR="00000000" w:rsidRPr="00277D24" w:rsidP="00277D24">
            <w:pPr>
              <w:pStyle w:val="ListBullet2"/>
            </w:pPr>
            <w:r w:rsidRPr="00277D24">
              <w:t>circulars</w:t>
            </w:r>
          </w:p>
          <w:p w:rsidR="00000000" w:rsidRPr="00277D24" w:rsidP="00277D24">
            <w:pPr>
              <w:pStyle w:val="ListBullet2"/>
            </w:pPr>
            <w:r w:rsidRPr="00277D24">
              <w:t>operating policies</w:t>
            </w:r>
          </w:p>
          <w:p w:rsidR="00000000" w:rsidP="00277D24">
            <w:pPr>
              <w:pStyle w:val="ListBullet2"/>
              <w:rPr>
                <w:lang w:val="en-NZ"/>
              </w:rPr>
            </w:pPr>
            <w:r w:rsidRPr="00277D24">
              <w:t>technical and procedural instructions</w:t>
            </w:r>
          </w:p>
        </w:tc>
      </w:tr>
      <w:tr w:rsidTr="00E859F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7D24">
            <w:pPr>
              <w:pStyle w:val="BodyText"/>
              <w:rPr>
                <w:lang w:val="en-NZ"/>
              </w:rPr>
            </w:pPr>
            <w:r w:rsidRPr="00277D24">
              <w:rPr>
                <w:rStyle w:val="BoldandItalics"/>
              </w:rPr>
              <w:t>Actions</w:t>
            </w:r>
            <w:r w:rsidRPr="00277D2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77D24" w:rsidP="00277D24">
            <w:pPr>
              <w:pStyle w:val="ListBullet2"/>
            </w:pPr>
            <w:r w:rsidRPr="00277D24">
              <w:t>notification to the customer of the decision, including reasons for the decision and any rights of review</w:t>
            </w:r>
          </w:p>
          <w:p w:rsidR="00000000" w:rsidRPr="00277D24" w:rsidP="00277D24">
            <w:pPr>
              <w:pStyle w:val="ListBullet2"/>
            </w:pPr>
            <w:r w:rsidRPr="00277D24">
              <w:t>issue or withdrawal of assessments</w:t>
            </w:r>
          </w:p>
          <w:p w:rsidR="00000000" w:rsidRPr="00277D24" w:rsidP="00277D24">
            <w:pPr>
              <w:pStyle w:val="ListBullet2"/>
            </w:pPr>
            <w:r w:rsidRPr="00277D24">
              <w:t>documents embossed or stamped</w:t>
            </w:r>
          </w:p>
          <w:p w:rsidR="00000000" w:rsidRPr="00277D24" w:rsidP="00277D24">
            <w:pPr>
              <w:pStyle w:val="ListBullet2"/>
            </w:pPr>
            <w:r w:rsidRPr="00277D24">
              <w:t>referral to another area for further information or advice</w:t>
            </w:r>
          </w:p>
          <w:p w:rsidR="00000000" w:rsidRPr="00277D24" w:rsidP="00277D24">
            <w:pPr>
              <w:pStyle w:val="ListBullet2"/>
            </w:pPr>
            <w:r w:rsidRPr="00277D24">
              <w:t>request for more informati</w:t>
            </w:r>
            <w:r w:rsidRPr="00277D24">
              <w:t>on</w:t>
            </w:r>
          </w:p>
        </w:tc>
      </w:tr>
    </w:tbl>
    <w:p w:rsidR="00E859F7" w:rsidP="00277D24">
      <w:pPr>
        <w:pStyle w:val="BodyText"/>
      </w:pPr>
    </w:p>
    <w:p w:rsidR="00E859F7" w:rsidP="00277D24">
      <w:pPr>
        <w:pStyle w:val="BodyText"/>
      </w:pPr>
    </w:p>
    <w:p w:rsidR="00000000" w:rsidRPr="00277D24" w:rsidP="00277D24">
      <w:pPr>
        <w:pStyle w:val="Heading1"/>
      </w:pPr>
      <w:bookmarkStart w:id="12" w:name="O_499105"/>
      <w:bookmarkEnd w:id="12"/>
      <w:r w:rsidRPr="00277D24">
        <w:t>Unit Sector(s)</w:t>
      </w:r>
    </w:p>
    <w:p w:rsidR="00000000" w:rsidRPr="00277D24" w:rsidP="00277D24">
      <w:pPr>
        <w:pStyle w:val="BodyText"/>
      </w:pPr>
      <w:r w:rsidRPr="00277D24">
        <w:t>Not applicable.</w:t>
      </w:r>
    </w:p>
    <w:p w:rsidR="00000000" w:rsidRPr="00277D24" w:rsidP="00277D24">
      <w:pPr>
        <w:pStyle w:val="AllowPageBreak"/>
      </w:pPr>
    </w:p>
    <w:p w:rsidR="00000000" w:rsidRPr="00277D24" w:rsidP="00277D24">
      <w:pPr>
        <w:pStyle w:val="Heading1"/>
      </w:pPr>
      <w:bookmarkStart w:id="13" w:name="O_499113"/>
      <w:bookmarkEnd w:id="13"/>
      <w:r w:rsidRPr="00277D24">
        <w:t>Competency field</w:t>
      </w:r>
    </w:p>
    <w:p w:rsidR="00000000" w:rsidRPr="00277D24" w:rsidP="00277D24">
      <w:pPr>
        <w:pStyle w:val="BodyText"/>
      </w:pPr>
      <w:r w:rsidRPr="00277D24">
        <w:t>Revenue Administration.</w:t>
      </w:r>
    </w:p>
    <w:p w:rsidR="00000000" w:rsidRPr="00277D24" w:rsidP="00277D24"/>
    <w:sectPr w:rsidSect="00277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9F7" w:rsidP="00E859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F7" w:rsidP="00277D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59F7" w:rsidP="00277D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859F7" w:rsidP="00277D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4" w:rsidRPr="00E859F7" w:rsidP="00E859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F7" w:rsidRPr="002D2AF8" w:rsidP="00277D24">
    <w:pPr>
      <w:pStyle w:val="Header"/>
      <w:framePr w:wrap="around"/>
    </w:pPr>
    <w:r>
      <w:fldChar w:fldCharType="begin"/>
    </w:r>
    <w:r>
      <w:instrText xml:space="preserve"> TITLE   \* MERGEFORMAT </w:instrText>
    </w:r>
    <w:r>
      <w:fldChar w:fldCharType="separate"/>
    </w:r>
    <w:r>
      <w:t>PSPREV402A Undertake legislative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859F7" w:rsidP="00277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AE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C1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82B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D24"/>
    <w:pPr>
      <w:spacing w:before="360" w:after="60"/>
      <w:outlineLvl w:val="0"/>
    </w:pPr>
    <w:rPr>
      <w:sz w:val="32"/>
    </w:rPr>
  </w:style>
  <w:style w:type="paragraph" w:styleId="Heading2">
    <w:name w:val="heading 2"/>
    <w:basedOn w:val="HeadingBase"/>
    <w:next w:val="BodyText"/>
    <w:link w:val="Heading2Char"/>
    <w:qFormat/>
    <w:rsid w:val="00277D24"/>
    <w:pPr>
      <w:keepLines/>
      <w:spacing w:before="240" w:after="120"/>
      <w:outlineLvl w:val="1"/>
    </w:pPr>
    <w:rPr>
      <w:sz w:val="28"/>
      <w:szCs w:val="40"/>
    </w:rPr>
  </w:style>
  <w:style w:type="paragraph" w:styleId="Heading3">
    <w:name w:val="heading 3"/>
    <w:basedOn w:val="HeadingBase"/>
    <w:next w:val="BodyText"/>
    <w:link w:val="Heading3Char"/>
    <w:qFormat/>
    <w:rsid w:val="00277D24"/>
    <w:pPr>
      <w:spacing w:before="180" w:after="120"/>
      <w:outlineLvl w:val="2"/>
    </w:pPr>
    <w:rPr>
      <w:spacing w:val="-10"/>
      <w:kern w:val="32"/>
    </w:rPr>
  </w:style>
  <w:style w:type="paragraph" w:styleId="Heading4">
    <w:name w:val="heading 4"/>
    <w:basedOn w:val="HeadingBase"/>
    <w:next w:val="BodyText"/>
    <w:link w:val="Heading4Char"/>
    <w:qFormat/>
    <w:rsid w:val="00277D24"/>
    <w:pPr>
      <w:spacing w:before="160" w:after="120"/>
      <w:outlineLvl w:val="3"/>
    </w:pPr>
    <w:rPr>
      <w:sz w:val="22"/>
    </w:rPr>
  </w:style>
  <w:style w:type="paragraph" w:styleId="Heading5">
    <w:name w:val="heading 5"/>
    <w:basedOn w:val="HeadingBase"/>
    <w:next w:val="Normal"/>
    <w:link w:val="Heading5Char"/>
    <w:qFormat/>
    <w:rsid w:val="00277D24"/>
    <w:pPr>
      <w:spacing w:before="80"/>
      <w:outlineLvl w:val="4"/>
    </w:pPr>
    <w:rPr>
      <w:color w:val="918585"/>
      <w:sz w:val="20"/>
    </w:rPr>
  </w:style>
  <w:style w:type="paragraph" w:styleId="Heading6">
    <w:name w:val="heading 6"/>
    <w:basedOn w:val="HeadingBase"/>
    <w:next w:val="Normal"/>
    <w:link w:val="Heading6Char"/>
    <w:qFormat/>
    <w:rsid w:val="00277D24"/>
    <w:pPr>
      <w:spacing w:before="60"/>
      <w:outlineLvl w:val="5"/>
    </w:pPr>
    <w:rPr>
      <w:color w:val="918585"/>
      <w:sz w:val="20"/>
    </w:rPr>
  </w:style>
  <w:style w:type="paragraph" w:styleId="Heading7">
    <w:name w:val="heading 7"/>
    <w:basedOn w:val="Normal"/>
    <w:next w:val="Normal"/>
    <w:link w:val="Heading7Char"/>
    <w:qFormat/>
    <w:rsid w:val="00277D24"/>
    <w:pPr>
      <w:ind w:left="720"/>
      <w:outlineLvl w:val="6"/>
    </w:pPr>
    <w:rPr>
      <w:i/>
    </w:rPr>
  </w:style>
  <w:style w:type="paragraph" w:styleId="Heading8">
    <w:name w:val="heading 8"/>
    <w:basedOn w:val="Normal"/>
    <w:next w:val="Normal"/>
    <w:link w:val="Heading8Char"/>
    <w:qFormat/>
    <w:rsid w:val="00277D24"/>
    <w:pPr>
      <w:ind w:left="720"/>
      <w:outlineLvl w:val="7"/>
    </w:pPr>
    <w:rPr>
      <w:i/>
    </w:rPr>
  </w:style>
  <w:style w:type="paragraph" w:styleId="Heading9">
    <w:name w:val="heading 9"/>
    <w:basedOn w:val="Normal"/>
    <w:next w:val="Normal"/>
    <w:link w:val="Heading9Char"/>
    <w:qFormat/>
    <w:rsid w:val="00277D24"/>
    <w:pPr>
      <w:ind w:left="720"/>
      <w:outlineLvl w:val="8"/>
    </w:pPr>
    <w:rPr>
      <w:i/>
    </w:rPr>
  </w:style>
  <w:style w:type="character" w:default="1" w:styleId="DefaultParagraphFont">
    <w:name w:val="Default Paragraph Font"/>
    <w:uiPriority w:val="1"/>
    <w:unhideWhenUsed/>
    <w:rsid w:val="00277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D24"/>
  </w:style>
  <w:style w:type="character" w:customStyle="1" w:styleId="Heading1Char">
    <w:name w:val="Heading 1 Char"/>
    <w:basedOn w:val="DefaultParagraphFont"/>
    <w:link w:val="Heading1"/>
    <w:rsid w:val="00277D24"/>
    <w:rPr>
      <w:rFonts w:ascii="Times New Roman" w:eastAsia="Times New Roman" w:hAnsi="Times New Roman" w:cs="Times New Roman"/>
      <w:b/>
      <w:sz w:val="32"/>
      <w:szCs w:val="20"/>
      <w:lang w:eastAsia="en-US"/>
    </w:rPr>
  </w:style>
  <w:style w:type="paragraph" w:styleId="BodyText">
    <w:name w:val="Body Text"/>
    <w:basedOn w:val="Normal"/>
    <w:link w:val="BodyTextChar"/>
    <w:rsid w:val="00277D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D24"/>
    <w:rPr>
      <w:rFonts w:ascii="Times New Roman" w:eastAsia="Times New Roman" w:hAnsi="Times New Roman" w:cs="Times New Roman"/>
      <w:sz w:val="24"/>
      <w:lang w:eastAsia="en-US"/>
    </w:rPr>
  </w:style>
  <w:style w:type="paragraph" w:styleId="Footer">
    <w:name w:val="footer"/>
    <w:basedOn w:val="Normal"/>
    <w:link w:val="FooterChar"/>
    <w:rsid w:val="00277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D24"/>
    <w:rPr>
      <w:rFonts w:ascii="Times New Roman" w:eastAsia="Times New Roman" w:hAnsi="Times New Roman" w:cs="Times New Roman"/>
      <w:sz w:val="16"/>
      <w:lang w:eastAsia="en-US"/>
    </w:rPr>
  </w:style>
  <w:style w:type="paragraph" w:styleId="List">
    <w:name w:val="List"/>
    <w:basedOn w:val="BodyText"/>
    <w:next w:val="BodyText"/>
    <w:rsid w:val="00277D24"/>
    <w:pPr>
      <w:tabs>
        <w:tab w:val="left" w:pos="340"/>
      </w:tabs>
      <w:spacing w:before="60" w:after="60"/>
      <w:ind w:left="340" w:hanging="340"/>
    </w:pPr>
  </w:style>
  <w:style w:type="paragraph" w:styleId="ListBullet">
    <w:name w:val="List Bullet"/>
    <w:basedOn w:val="List"/>
    <w:rsid w:val="00277D24"/>
    <w:pPr>
      <w:numPr>
        <w:numId w:val="14"/>
      </w:numPr>
      <w:tabs>
        <w:tab w:val="clear" w:pos="340"/>
      </w:tabs>
      <w:spacing w:before="40" w:after="40"/>
    </w:pPr>
  </w:style>
  <w:style w:type="character" w:customStyle="1" w:styleId="SpecialBold">
    <w:name w:val="Special Bold"/>
    <w:basedOn w:val="DefaultParagraphFont"/>
    <w:rsid w:val="00277D24"/>
    <w:rPr>
      <w:b/>
      <w:spacing w:val="0"/>
    </w:rPr>
  </w:style>
  <w:style w:type="paragraph" w:styleId="ListBullet2">
    <w:name w:val="List Bullet 2"/>
    <w:basedOn w:val="List2"/>
    <w:rsid w:val="00277D24"/>
    <w:pPr>
      <w:numPr>
        <w:numId w:val="15"/>
      </w:numPr>
      <w:tabs>
        <w:tab w:val="clear" w:pos="680"/>
      </w:tabs>
    </w:pPr>
  </w:style>
  <w:style w:type="paragraph" w:customStyle="1" w:styleId="SuperHeading">
    <w:name w:val="SuperHeading"/>
    <w:basedOn w:val="Normal"/>
    <w:rsid w:val="00277D24"/>
    <w:pPr>
      <w:spacing w:before="240" w:after="120"/>
      <w:outlineLvl w:val="0"/>
    </w:pPr>
    <w:rPr>
      <w:rFonts w:ascii="Times New Roman" w:hAnsi="Times New Roman"/>
      <w:b/>
      <w:sz w:val="28"/>
    </w:rPr>
  </w:style>
  <w:style w:type="paragraph" w:customStyle="1" w:styleId="AllowPageBreak">
    <w:name w:val="AllowPageBreak"/>
    <w:rsid w:val="00277D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7D24"/>
    <w:pPr>
      <w:numPr>
        <w:numId w:val="3"/>
      </w:numPr>
      <w:tabs>
        <w:tab w:val="clear" w:pos="1021"/>
      </w:tabs>
      <w:ind w:left="1037" w:hanging="357"/>
    </w:pPr>
  </w:style>
  <w:style w:type="character" w:customStyle="1" w:styleId="BoldandItalics">
    <w:name w:val="Bold and Italics"/>
    <w:qFormat/>
    <w:rsid w:val="00277D24"/>
    <w:rPr>
      <w:b/>
      <w:i/>
      <w:u w:val="none"/>
    </w:rPr>
  </w:style>
  <w:style w:type="character" w:customStyle="1" w:styleId="Heading2Char">
    <w:name w:val="Heading 2 Char"/>
    <w:basedOn w:val="DefaultParagraphFont"/>
    <w:link w:val="Heading2"/>
    <w:rsid w:val="00277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D24"/>
    <w:rPr>
      <w:rFonts w:ascii="Courier New" w:eastAsia="Times New Roman" w:hAnsi="Courier New" w:cs="Times New Roman"/>
      <w:i/>
      <w:szCs w:val="20"/>
      <w:lang w:eastAsia="en-US"/>
    </w:rPr>
  </w:style>
  <w:style w:type="paragraph" w:customStyle="1" w:styleId="HeadingBase">
    <w:name w:val="Heading Base"/>
    <w:rsid w:val="00277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D24"/>
    <w:pPr>
      <w:tabs>
        <w:tab w:val="right" w:leader="dot" w:pos="9072"/>
      </w:tabs>
      <w:ind w:left="567"/>
    </w:pPr>
    <w:rPr>
      <w:szCs w:val="22"/>
    </w:rPr>
  </w:style>
  <w:style w:type="paragraph" w:customStyle="1" w:styleId="TOCBase">
    <w:name w:val="TOC Base"/>
    <w:rsid w:val="00277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D24"/>
    <w:pPr>
      <w:tabs>
        <w:tab w:val="right" w:leader="dot" w:pos="9072"/>
      </w:tabs>
      <w:spacing w:before="40" w:after="40"/>
      <w:ind w:left="284"/>
    </w:pPr>
    <w:rPr>
      <w:rFonts w:ascii="Times New Roman" w:hAnsi="Times New Roman"/>
    </w:rPr>
  </w:style>
  <w:style w:type="paragraph" w:styleId="TOC1">
    <w:name w:val="toc 1"/>
    <w:basedOn w:val="TOCBase"/>
    <w:next w:val="Normal"/>
    <w:rsid w:val="00277D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D24"/>
    <w:pPr>
      <w:spacing w:before="5040"/>
      <w:jc w:val="center"/>
    </w:pPr>
    <w:rPr>
      <w:sz w:val="48"/>
      <w:szCs w:val="72"/>
      <w:lang w:val="en-US"/>
    </w:rPr>
  </w:style>
  <w:style w:type="character" w:customStyle="1" w:styleId="TitleChar">
    <w:name w:val="Title Char"/>
    <w:basedOn w:val="DefaultParagraphFont"/>
    <w:link w:val="Title"/>
    <w:rsid w:val="00277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D24"/>
    <w:pPr>
      <w:tabs>
        <w:tab w:val="left" w:pos="3600"/>
        <w:tab w:val="left" w:pos="3958"/>
      </w:tabs>
    </w:pPr>
  </w:style>
  <w:style w:type="paragraph" w:customStyle="1" w:styleId="Note">
    <w:name w:val="Note"/>
    <w:basedOn w:val="BodyText"/>
    <w:rsid w:val="00277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D24"/>
    <w:pPr>
      <w:framePr w:wrap="auto" w:hAnchor="text" w:y="6049"/>
    </w:pPr>
    <w:rPr>
      <w:color w:val="000000"/>
      <w:sz w:val="40"/>
    </w:rPr>
  </w:style>
  <w:style w:type="paragraph" w:customStyle="1" w:styleId="TOCTitle">
    <w:name w:val="TOCTitle"/>
    <w:basedOn w:val="Heading1"/>
    <w:rsid w:val="00277D24"/>
    <w:pPr>
      <w:spacing w:after="240"/>
      <w:jc w:val="center"/>
      <w:outlineLvl w:val="9"/>
    </w:pPr>
    <w:rPr>
      <w:caps/>
    </w:rPr>
  </w:style>
  <w:style w:type="paragraph" w:customStyle="1" w:styleId="Version">
    <w:name w:val="Version"/>
    <w:rsid w:val="00277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D24"/>
    <w:pPr>
      <w:keepNext w:val="0"/>
      <w:tabs>
        <w:tab w:val="right" w:pos="4176"/>
      </w:tabs>
      <w:ind w:left="198" w:hanging="198"/>
    </w:pPr>
    <w:rPr>
      <w:rFonts w:ascii="Garamond" w:hAnsi="Garamond"/>
    </w:rPr>
  </w:style>
  <w:style w:type="paragraph" w:styleId="IndexHeading">
    <w:name w:val="index heading"/>
    <w:basedOn w:val="Normal"/>
    <w:next w:val="Index1"/>
    <w:semiHidden/>
    <w:rsid w:val="00277D24"/>
    <w:pPr>
      <w:spacing w:before="120" w:after="120"/>
    </w:pPr>
    <w:rPr>
      <w:rFonts w:ascii="Arial" w:hAnsi="Arial"/>
      <w:b/>
      <w:color w:val="918585"/>
      <w:sz w:val="24"/>
    </w:rPr>
  </w:style>
  <w:style w:type="paragraph" w:styleId="Header">
    <w:name w:val="header"/>
    <w:basedOn w:val="Normal"/>
    <w:link w:val="HeaderChar"/>
    <w:rsid w:val="00277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D24"/>
    <w:rPr>
      <w:rFonts w:ascii="Times New Roman" w:eastAsia="Times New Roman" w:hAnsi="Times New Roman" w:cs="Times New Roman"/>
      <w:sz w:val="16"/>
      <w:szCs w:val="20"/>
      <w:lang w:val="en-GB" w:eastAsia="en-US"/>
    </w:rPr>
  </w:style>
  <w:style w:type="paragraph" w:customStyle="1" w:styleId="Chapter">
    <w:name w:val="Chapter"/>
    <w:basedOn w:val="Normal"/>
    <w:rsid w:val="00277D24"/>
    <w:pPr>
      <w:spacing w:before="240"/>
    </w:pPr>
    <w:rPr>
      <w:rFonts w:ascii="Times New Roman" w:hAnsi="Times New Roman"/>
      <w:smallCaps/>
      <w:spacing w:val="80"/>
      <w:sz w:val="28"/>
    </w:rPr>
  </w:style>
  <w:style w:type="paragraph" w:customStyle="1" w:styleId="InChapter">
    <w:name w:val="InChapter"/>
    <w:basedOn w:val="Heading3"/>
    <w:rsid w:val="00277D24"/>
    <w:pPr>
      <w:spacing w:after="240"/>
      <w:outlineLvl w:val="9"/>
    </w:pPr>
    <w:rPr>
      <w:noProof/>
    </w:rPr>
  </w:style>
  <w:style w:type="paragraph" w:styleId="Index2">
    <w:name w:val="index 2"/>
    <w:basedOn w:val="Normal"/>
    <w:next w:val="Normal"/>
    <w:semiHidden/>
    <w:rsid w:val="00277D24"/>
    <w:pPr>
      <w:tabs>
        <w:tab w:val="right" w:pos="4176"/>
      </w:tabs>
      <w:ind w:left="568" w:hanging="284"/>
    </w:pPr>
    <w:rPr>
      <w:rFonts w:ascii="Garamond" w:hAnsi="Garamond"/>
    </w:rPr>
  </w:style>
  <w:style w:type="paragraph" w:customStyle="1" w:styleId="Byline">
    <w:name w:val="Byline"/>
    <w:rsid w:val="00277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D24"/>
    <w:pPr>
      <w:tabs>
        <w:tab w:val="clear" w:pos="3600"/>
        <w:tab w:val="clear" w:pos="3958"/>
      </w:tabs>
      <w:jc w:val="right"/>
    </w:pPr>
  </w:style>
  <w:style w:type="character" w:styleId="Emphasis">
    <w:name w:val="Emphasis"/>
    <w:basedOn w:val="DefaultParagraphFont"/>
    <w:qFormat/>
    <w:rsid w:val="00277D24"/>
    <w:rPr>
      <w:i/>
    </w:rPr>
  </w:style>
  <w:style w:type="paragraph" w:styleId="Caption">
    <w:name w:val="caption"/>
    <w:basedOn w:val="BodyText"/>
    <w:next w:val="Normal"/>
    <w:qFormat/>
    <w:rsid w:val="00277D24"/>
    <w:pPr>
      <w:framePr w:w="2268" w:hSpace="181" w:vSpace="181" w:wrap="around" w:vAnchor="text" w:hAnchor="page" w:x="1135" w:y="285" w:anchorLock="1"/>
    </w:pPr>
    <w:rPr>
      <w:i/>
    </w:rPr>
  </w:style>
  <w:style w:type="paragraph" w:customStyle="1" w:styleId="MiniTOCTitle">
    <w:name w:val="MiniTOCTitle"/>
    <w:basedOn w:val="Heading4"/>
    <w:rsid w:val="00277D24"/>
    <w:pPr>
      <w:spacing w:before="240"/>
      <w:outlineLvl w:val="9"/>
    </w:pPr>
    <w:rPr>
      <w:noProof/>
      <w:sz w:val="24"/>
    </w:rPr>
  </w:style>
  <w:style w:type="paragraph" w:customStyle="1" w:styleId="MiniTOCItem">
    <w:name w:val="MiniTOCItem"/>
    <w:basedOn w:val="ListBullet"/>
    <w:rsid w:val="00277D24"/>
    <w:pPr>
      <w:numPr>
        <w:numId w:val="0"/>
      </w:numPr>
      <w:tabs>
        <w:tab w:val="right" w:leader="dot" w:pos="6521"/>
      </w:tabs>
      <w:spacing w:before="0" w:after="0"/>
    </w:pPr>
  </w:style>
  <w:style w:type="paragraph" w:customStyle="1" w:styleId="TOFTitle">
    <w:name w:val="TOFTitle"/>
    <w:basedOn w:val="TOCTitle"/>
    <w:rsid w:val="00277D24"/>
  </w:style>
  <w:style w:type="paragraph" w:styleId="TableofFigures">
    <w:name w:val="table of figures"/>
    <w:basedOn w:val="Normal"/>
    <w:next w:val="Normal"/>
    <w:semiHidden/>
    <w:rsid w:val="00277D24"/>
    <w:pPr>
      <w:tabs>
        <w:tab w:val="right" w:leader="dot" w:pos="9072"/>
      </w:tabs>
      <w:ind w:left="970" w:hanging="403"/>
    </w:pPr>
    <w:rPr>
      <w:rFonts w:ascii="Times New Roman" w:hAnsi="Times New Roman"/>
      <w:b/>
    </w:rPr>
  </w:style>
  <w:style w:type="paragraph" w:styleId="ListNumber">
    <w:name w:val="List Number"/>
    <w:basedOn w:val="List"/>
    <w:rsid w:val="00277D24"/>
    <w:pPr>
      <w:numPr>
        <w:numId w:val="12"/>
      </w:numPr>
    </w:pPr>
  </w:style>
  <w:style w:type="character" w:customStyle="1" w:styleId="WingdingSymbols">
    <w:name w:val="Wingding Symbols"/>
    <w:rsid w:val="00277D24"/>
    <w:rPr>
      <w:rFonts w:ascii="Wingdings" w:hAnsi="Wingdings"/>
    </w:rPr>
  </w:style>
  <w:style w:type="paragraph" w:customStyle="1" w:styleId="TableHeading">
    <w:name w:val="Table Heading"/>
    <w:basedOn w:val="HeadingBase"/>
    <w:rsid w:val="00277D24"/>
    <w:pPr>
      <w:keepLines/>
      <w:pBdr>
        <w:bottom w:val="single" w:sz="6" w:space="1" w:color="918585"/>
      </w:pBdr>
      <w:spacing w:before="240"/>
    </w:pPr>
  </w:style>
  <w:style w:type="character" w:customStyle="1" w:styleId="HotSpot">
    <w:name w:val="HotSpot"/>
    <w:rsid w:val="00277D24"/>
    <w:rPr>
      <w:color w:val="0033CC"/>
      <w:u w:val="none"/>
    </w:rPr>
  </w:style>
  <w:style w:type="paragraph" w:customStyle="1" w:styleId="BodyTextRight">
    <w:name w:val="Body Text Right"/>
    <w:basedOn w:val="BodyText"/>
    <w:rsid w:val="00277D24"/>
    <w:pPr>
      <w:spacing w:before="0" w:after="0"/>
      <w:jc w:val="right"/>
    </w:pPr>
  </w:style>
  <w:style w:type="paragraph" w:styleId="Index3">
    <w:name w:val="index 3"/>
    <w:basedOn w:val="ListNumber2"/>
    <w:next w:val="Normal"/>
    <w:semiHidden/>
    <w:rsid w:val="00277D24"/>
    <w:pPr>
      <w:numPr>
        <w:numId w:val="0"/>
      </w:numPr>
      <w:tabs>
        <w:tab w:val="right" w:leader="dot" w:pos="4176"/>
      </w:tabs>
    </w:pPr>
  </w:style>
  <w:style w:type="paragraph" w:styleId="ListNumber2">
    <w:name w:val="List Number 2"/>
    <w:basedOn w:val="List2"/>
    <w:rsid w:val="00277D24"/>
    <w:pPr>
      <w:numPr>
        <w:numId w:val="11"/>
      </w:numPr>
      <w:tabs>
        <w:tab w:val="clear" w:pos="1060"/>
      </w:tabs>
    </w:pPr>
  </w:style>
  <w:style w:type="paragraph" w:customStyle="1" w:styleId="MarginNote">
    <w:name w:val="Margin Note"/>
    <w:basedOn w:val="BodyText"/>
    <w:rsid w:val="00277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D24"/>
    <w:rPr>
      <w:sz w:val="32"/>
    </w:rPr>
  </w:style>
  <w:style w:type="paragraph" w:customStyle="1" w:styleId="HeadingProcedure">
    <w:name w:val="Heading Procedure"/>
    <w:basedOn w:val="HeadingBase"/>
    <w:next w:val="Normal"/>
    <w:rsid w:val="00277D24"/>
    <w:pPr>
      <w:tabs>
        <w:tab w:val="left" w:pos="0"/>
      </w:tabs>
      <w:spacing w:before="120" w:after="60"/>
    </w:pPr>
    <w:rPr>
      <w:i/>
      <w:color w:val="918585"/>
      <w:sz w:val="22"/>
    </w:rPr>
  </w:style>
  <w:style w:type="paragraph" w:customStyle="1" w:styleId="TableBodyText">
    <w:name w:val="Table Body Text"/>
    <w:basedOn w:val="BodyText"/>
    <w:rsid w:val="00277D24"/>
    <w:pPr>
      <w:spacing w:before="60" w:after="60"/>
    </w:pPr>
  </w:style>
  <w:style w:type="paragraph" w:styleId="ListContinue">
    <w:name w:val="List Continue"/>
    <w:basedOn w:val="List"/>
    <w:rsid w:val="00277D24"/>
    <w:pPr>
      <w:ind w:firstLine="0"/>
    </w:pPr>
  </w:style>
  <w:style w:type="paragraph" w:customStyle="1" w:styleId="ListNote">
    <w:name w:val="List Note"/>
    <w:basedOn w:val="List"/>
    <w:rsid w:val="00277D24"/>
    <w:pPr>
      <w:pBdr>
        <w:top w:val="single" w:sz="6" w:space="2" w:color="918585"/>
        <w:bottom w:val="single" w:sz="6" w:space="2" w:color="918585"/>
      </w:pBdr>
      <w:tabs>
        <w:tab w:val="left" w:pos="1021"/>
      </w:tabs>
      <w:ind w:firstLine="0"/>
    </w:pPr>
  </w:style>
  <w:style w:type="paragraph" w:customStyle="1" w:styleId="Warning">
    <w:name w:val="Warning"/>
    <w:basedOn w:val="BodyText"/>
    <w:rsid w:val="00277D24"/>
    <w:pPr>
      <w:shd w:val="clear" w:color="auto" w:fill="D9D9D9"/>
      <w:tabs>
        <w:tab w:val="left" w:pos="992"/>
      </w:tabs>
      <w:ind w:left="119" w:right="119"/>
    </w:pPr>
    <w:rPr>
      <w:sz w:val="20"/>
    </w:rPr>
  </w:style>
  <w:style w:type="paragraph" w:customStyle="1" w:styleId="MarginIcons">
    <w:name w:val="Margin Icons"/>
    <w:basedOn w:val="BodyText"/>
    <w:rsid w:val="00277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D24"/>
    <w:rPr>
      <w:rFonts w:ascii="Courier New" w:hAnsi="Courier New"/>
    </w:rPr>
  </w:style>
  <w:style w:type="paragraph" w:customStyle="1" w:styleId="NoteBullet">
    <w:name w:val="Note Bullet"/>
    <w:basedOn w:val="Note"/>
    <w:rsid w:val="00277D24"/>
    <w:pPr>
      <w:tabs>
        <w:tab w:val="clear" w:pos="680"/>
      </w:tabs>
      <w:spacing w:before="60" w:after="60"/>
    </w:pPr>
  </w:style>
  <w:style w:type="paragraph" w:customStyle="1" w:styleId="SubHeading2">
    <w:name w:val="SubHeading2"/>
    <w:basedOn w:val="HeadingBase"/>
    <w:rsid w:val="00277D24"/>
    <w:pPr>
      <w:spacing w:before="240" w:after="60"/>
    </w:pPr>
    <w:rPr>
      <w:sz w:val="20"/>
    </w:rPr>
  </w:style>
  <w:style w:type="paragraph" w:customStyle="1" w:styleId="SubHeading1">
    <w:name w:val="SubHeading1"/>
    <w:basedOn w:val="HeadingBase"/>
    <w:rsid w:val="00277D24"/>
    <w:pPr>
      <w:spacing w:before="240" w:after="60"/>
    </w:pPr>
    <w:rPr>
      <w:color w:val="918585"/>
      <w:sz w:val="22"/>
    </w:rPr>
  </w:style>
  <w:style w:type="paragraph" w:customStyle="1" w:styleId="SideHeading">
    <w:name w:val="Side Heading"/>
    <w:basedOn w:val="HeadingBase"/>
    <w:rsid w:val="00277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D24"/>
    <w:pPr>
      <w:numPr>
        <w:numId w:val="13"/>
      </w:numPr>
    </w:pPr>
  </w:style>
  <w:style w:type="paragraph" w:styleId="PlainText">
    <w:name w:val="Plain Text"/>
    <w:basedOn w:val="Normal"/>
    <w:link w:val="PlainTextChar"/>
    <w:rsid w:val="00277D24"/>
    <w:rPr>
      <w:sz w:val="20"/>
    </w:rPr>
  </w:style>
  <w:style w:type="character" w:customStyle="1" w:styleId="PlainTextChar">
    <w:name w:val="Plain Text Char"/>
    <w:basedOn w:val="DefaultParagraphFont"/>
    <w:link w:val="PlainText"/>
    <w:rsid w:val="00277D24"/>
    <w:rPr>
      <w:rFonts w:ascii="Courier New" w:eastAsia="Times New Roman" w:hAnsi="Courier New" w:cs="Times New Roman"/>
      <w:sz w:val="20"/>
      <w:szCs w:val="20"/>
      <w:lang w:eastAsia="en-US"/>
    </w:rPr>
  </w:style>
  <w:style w:type="character" w:customStyle="1" w:styleId="MenuOption">
    <w:name w:val="Menu Option"/>
    <w:basedOn w:val="DefaultParagraphFont"/>
    <w:rsid w:val="00277D24"/>
    <w:rPr>
      <w:b/>
      <w:smallCaps/>
    </w:rPr>
  </w:style>
  <w:style w:type="paragraph" w:customStyle="1" w:styleId="TableListNumber">
    <w:name w:val="Table List Number"/>
    <w:basedOn w:val="ListNumber"/>
    <w:rsid w:val="00277D24"/>
    <w:pPr>
      <w:numPr>
        <w:numId w:val="0"/>
      </w:numPr>
    </w:pPr>
  </w:style>
  <w:style w:type="paragraph" w:styleId="TOC4">
    <w:name w:val="toc 4"/>
    <w:basedOn w:val="TOCBase"/>
    <w:next w:val="Normal"/>
    <w:semiHidden/>
    <w:rsid w:val="00277D24"/>
    <w:pPr>
      <w:tabs>
        <w:tab w:val="right" w:leader="dot" w:pos="9071"/>
      </w:tabs>
      <w:ind w:left="1701"/>
    </w:pPr>
  </w:style>
  <w:style w:type="paragraph" w:customStyle="1" w:styleId="ListAlpha">
    <w:name w:val="List Alpha"/>
    <w:basedOn w:val="List"/>
    <w:rsid w:val="00277D24"/>
    <w:pPr>
      <w:numPr>
        <w:numId w:val="10"/>
      </w:numPr>
    </w:pPr>
  </w:style>
  <w:style w:type="paragraph" w:customStyle="1" w:styleId="ListAlpha2">
    <w:name w:val="List Alpha 2"/>
    <w:basedOn w:val="List2"/>
    <w:rsid w:val="00277D24"/>
    <w:pPr>
      <w:numPr>
        <w:numId w:val="9"/>
      </w:numPr>
    </w:pPr>
  </w:style>
  <w:style w:type="paragraph" w:styleId="List2">
    <w:name w:val="List 2"/>
    <w:basedOn w:val="BodyText"/>
    <w:rsid w:val="00277D24"/>
    <w:pPr>
      <w:tabs>
        <w:tab w:val="left" w:pos="680"/>
      </w:tabs>
      <w:spacing w:before="60" w:after="60"/>
      <w:ind w:left="680" w:hanging="340"/>
    </w:pPr>
  </w:style>
  <w:style w:type="paragraph" w:styleId="List3">
    <w:name w:val="List 3"/>
    <w:basedOn w:val="BodyText"/>
    <w:rsid w:val="00277D24"/>
    <w:pPr>
      <w:tabs>
        <w:tab w:val="left" w:pos="1021"/>
      </w:tabs>
      <w:spacing w:before="60" w:after="60"/>
      <w:ind w:left="1020" w:hanging="340"/>
    </w:pPr>
  </w:style>
  <w:style w:type="paragraph" w:styleId="List4">
    <w:name w:val="List 4"/>
    <w:basedOn w:val="BodyText"/>
    <w:rsid w:val="00277D24"/>
    <w:pPr>
      <w:tabs>
        <w:tab w:val="left" w:pos="1361"/>
      </w:tabs>
      <w:spacing w:before="60" w:after="60"/>
      <w:ind w:left="1361" w:hanging="340"/>
    </w:pPr>
  </w:style>
  <w:style w:type="paragraph" w:styleId="List5">
    <w:name w:val="List 5"/>
    <w:basedOn w:val="BodyText"/>
    <w:rsid w:val="00277D24"/>
    <w:pPr>
      <w:tabs>
        <w:tab w:val="left" w:pos="1701"/>
      </w:tabs>
      <w:spacing w:before="60" w:after="60"/>
      <w:ind w:left="1701" w:hanging="340"/>
    </w:pPr>
  </w:style>
  <w:style w:type="paragraph" w:styleId="ListBullet4">
    <w:name w:val="List Bullet 4"/>
    <w:basedOn w:val="List4"/>
    <w:rsid w:val="00277D24"/>
    <w:pPr>
      <w:numPr>
        <w:numId w:val="4"/>
      </w:numPr>
    </w:pPr>
  </w:style>
  <w:style w:type="paragraph" w:styleId="ListBullet5">
    <w:name w:val="List Bullet 5"/>
    <w:basedOn w:val="List5"/>
    <w:rsid w:val="00277D24"/>
    <w:pPr>
      <w:numPr>
        <w:numId w:val="5"/>
      </w:numPr>
    </w:pPr>
  </w:style>
  <w:style w:type="paragraph" w:styleId="ListContinue2">
    <w:name w:val="List Continue 2"/>
    <w:basedOn w:val="List2"/>
    <w:rsid w:val="00277D24"/>
    <w:pPr>
      <w:ind w:firstLine="0"/>
    </w:pPr>
  </w:style>
  <w:style w:type="paragraph" w:styleId="ListContinue3">
    <w:name w:val="List Continue 3"/>
    <w:basedOn w:val="List3"/>
    <w:rsid w:val="00277D24"/>
    <w:pPr>
      <w:ind w:left="1021" w:firstLine="0"/>
    </w:pPr>
  </w:style>
  <w:style w:type="paragraph" w:styleId="ListContinue4">
    <w:name w:val="List Continue 4"/>
    <w:basedOn w:val="List4"/>
    <w:rsid w:val="00277D24"/>
    <w:pPr>
      <w:ind w:firstLine="0"/>
    </w:pPr>
  </w:style>
  <w:style w:type="paragraph" w:styleId="ListContinue5">
    <w:name w:val="List Continue 5"/>
    <w:basedOn w:val="List5"/>
    <w:rsid w:val="00277D24"/>
    <w:pPr>
      <w:ind w:firstLine="0"/>
    </w:pPr>
  </w:style>
  <w:style w:type="paragraph" w:styleId="ListNumber3">
    <w:name w:val="List Number 3"/>
    <w:basedOn w:val="List3"/>
    <w:rsid w:val="00277D24"/>
    <w:pPr>
      <w:numPr>
        <w:numId w:val="6"/>
      </w:numPr>
    </w:pPr>
  </w:style>
  <w:style w:type="paragraph" w:styleId="ListNumber4">
    <w:name w:val="List Number 4"/>
    <w:basedOn w:val="List4"/>
    <w:rsid w:val="00277D24"/>
    <w:pPr>
      <w:numPr>
        <w:numId w:val="7"/>
      </w:numPr>
    </w:pPr>
  </w:style>
  <w:style w:type="paragraph" w:styleId="ListNumber5">
    <w:name w:val="List Number 5"/>
    <w:basedOn w:val="List5"/>
    <w:rsid w:val="00277D24"/>
    <w:pPr>
      <w:numPr>
        <w:numId w:val="8"/>
      </w:numPr>
    </w:pPr>
  </w:style>
  <w:style w:type="paragraph" w:styleId="BlockText">
    <w:name w:val="Block Text"/>
    <w:basedOn w:val="Normal"/>
    <w:rsid w:val="00277D24"/>
    <w:pPr>
      <w:spacing w:after="120"/>
      <w:ind w:left="1440" w:right="1440"/>
    </w:pPr>
  </w:style>
  <w:style w:type="character" w:customStyle="1" w:styleId="Subscript">
    <w:name w:val="Subscript"/>
    <w:basedOn w:val="DefaultParagraphFont"/>
    <w:rsid w:val="00277D24"/>
    <w:rPr>
      <w:sz w:val="16"/>
      <w:vertAlign w:val="subscript"/>
    </w:rPr>
  </w:style>
  <w:style w:type="character" w:customStyle="1" w:styleId="Superscript">
    <w:name w:val="Superscript"/>
    <w:basedOn w:val="DefaultParagraphFont"/>
    <w:rsid w:val="00277D24"/>
    <w:rPr>
      <w:sz w:val="16"/>
      <w:vertAlign w:val="superscript"/>
    </w:rPr>
  </w:style>
  <w:style w:type="character" w:customStyle="1" w:styleId="Symbols">
    <w:name w:val="Symbols"/>
    <w:basedOn w:val="DefaultParagraphFont"/>
    <w:rsid w:val="00277D24"/>
    <w:rPr>
      <w:rFonts w:ascii="Symbol" w:hAnsi="Symbol"/>
    </w:rPr>
  </w:style>
  <w:style w:type="character" w:customStyle="1" w:styleId="MenuOptions">
    <w:name w:val="Menu Options"/>
    <w:basedOn w:val="DefaultParagraphFont"/>
    <w:rsid w:val="00277D24"/>
    <w:rPr>
      <w:rFonts w:ascii="Arial Narrow" w:hAnsi="Arial Narrow"/>
      <w:smallCaps/>
    </w:rPr>
  </w:style>
  <w:style w:type="character" w:customStyle="1" w:styleId="Buttons">
    <w:name w:val="Buttons"/>
    <w:basedOn w:val="DefaultParagraphFont"/>
    <w:rsid w:val="00277D24"/>
    <w:rPr>
      <w:b/>
    </w:rPr>
  </w:style>
  <w:style w:type="character" w:customStyle="1" w:styleId="Underlined">
    <w:name w:val="Underlined"/>
    <w:basedOn w:val="DefaultParagraphFont"/>
    <w:rsid w:val="00277D24"/>
    <w:rPr>
      <w:u w:val="single"/>
    </w:rPr>
  </w:style>
  <w:style w:type="paragraph" w:customStyle="1" w:styleId="TableBodyTextRight">
    <w:name w:val="Table Body Text Right"/>
    <w:basedOn w:val="TableBodyText"/>
    <w:rsid w:val="00277D24"/>
    <w:pPr>
      <w:widowControl w:val="0"/>
      <w:autoSpaceDE w:val="0"/>
      <w:autoSpaceDN w:val="0"/>
      <w:adjustRightInd w:val="0"/>
      <w:jc w:val="right"/>
    </w:pPr>
    <w:rPr>
      <w:rFonts w:cs="Arial"/>
      <w:szCs w:val="18"/>
    </w:rPr>
  </w:style>
  <w:style w:type="paragraph" w:customStyle="1" w:styleId="CopyrightText">
    <w:name w:val="Copyright Text"/>
    <w:basedOn w:val="BodyText"/>
    <w:rsid w:val="00277D24"/>
    <w:rPr>
      <w:sz w:val="18"/>
    </w:rPr>
  </w:style>
  <w:style w:type="paragraph" w:customStyle="1" w:styleId="BodySmallRight">
    <w:name w:val="Body Small Right"/>
    <w:basedOn w:val="BodyTextRight"/>
    <w:rsid w:val="00277D24"/>
    <w:rPr>
      <w:sz w:val="18"/>
      <w:szCs w:val="18"/>
    </w:rPr>
  </w:style>
  <w:style w:type="paragraph" w:customStyle="1" w:styleId="MarginEdition">
    <w:name w:val="Margin Edition"/>
    <w:basedOn w:val="MarginNote"/>
    <w:rsid w:val="00277D24"/>
    <w:pPr>
      <w:spacing w:before="0" w:after="0"/>
    </w:pPr>
    <w:rPr>
      <w:rFonts w:ascii="Times New Roman" w:hAnsi="Times New Roman"/>
      <w:color w:val="999999"/>
    </w:rPr>
  </w:style>
  <w:style w:type="paragraph" w:customStyle="1" w:styleId="Spacer">
    <w:name w:val="Spacer"/>
    <w:basedOn w:val="Normal"/>
    <w:rsid w:val="00277D24"/>
    <w:rPr>
      <w:sz w:val="2"/>
      <w:szCs w:val="2"/>
    </w:rPr>
  </w:style>
  <w:style w:type="character" w:customStyle="1" w:styleId="Small">
    <w:name w:val="Small"/>
    <w:basedOn w:val="DefaultParagraphFont"/>
    <w:rsid w:val="00277D24"/>
    <w:rPr>
      <w:sz w:val="16"/>
    </w:rPr>
  </w:style>
  <w:style w:type="paragraph" w:customStyle="1" w:styleId="WideTable">
    <w:name w:val="Wide Table"/>
    <w:basedOn w:val="Normal"/>
    <w:rsid w:val="00277D24"/>
    <w:pPr>
      <w:ind w:left="-1418"/>
    </w:pPr>
    <w:rPr>
      <w:sz w:val="2"/>
      <w:szCs w:val="2"/>
    </w:rPr>
  </w:style>
  <w:style w:type="character" w:styleId="PageNumber">
    <w:name w:val="page number"/>
    <w:basedOn w:val="DefaultParagraphFont"/>
    <w:rsid w:val="00277D24"/>
  </w:style>
  <w:style w:type="paragraph" w:styleId="Quote">
    <w:name w:val="Quote"/>
    <w:basedOn w:val="Heading1"/>
    <w:link w:val="QuoteChar"/>
    <w:qFormat/>
    <w:rsid w:val="00277D24"/>
    <w:rPr>
      <w:b w:val="0"/>
      <w:sz w:val="72"/>
      <w:szCs w:val="72"/>
      <w:lang w:val="en-NZ"/>
    </w:rPr>
  </w:style>
  <w:style w:type="character" w:customStyle="1" w:styleId="QuoteChar">
    <w:name w:val="Quote Char"/>
    <w:basedOn w:val="DefaultParagraphFont"/>
    <w:link w:val="Quote"/>
    <w:rsid w:val="00277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D24"/>
    <w:pPr>
      <w:pageBreakBefore/>
    </w:pPr>
  </w:style>
  <w:style w:type="paragraph" w:customStyle="1" w:styleId="Border">
    <w:name w:val="Border"/>
    <w:basedOn w:val="Normal"/>
    <w:qFormat/>
    <w:rsid w:val="00277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D24"/>
    <w:rPr>
      <w:b/>
      <w:bCs/>
      <w:i/>
      <w:iCs/>
      <w:color w:val="auto"/>
    </w:rPr>
  </w:style>
  <w:style w:type="paragraph" w:styleId="IntenseQuote">
    <w:name w:val="Intense Quote"/>
    <w:basedOn w:val="Normal"/>
    <w:next w:val="Normal"/>
    <w:link w:val="IntenseQuoteChar"/>
    <w:uiPriority w:val="30"/>
    <w:qFormat/>
    <w:rsid w:val="00277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D24"/>
    <w:rPr>
      <w:smallCaps/>
      <w:color w:val="auto"/>
      <w:u w:val="single"/>
    </w:rPr>
  </w:style>
  <w:style w:type="character" w:styleId="IntenseReference">
    <w:name w:val="Intense Reference"/>
    <w:basedOn w:val="DefaultParagraphFont"/>
    <w:uiPriority w:val="32"/>
    <w:qFormat/>
    <w:rsid w:val="00277D24"/>
    <w:rPr>
      <w:b/>
      <w:bCs/>
      <w:smallCaps/>
      <w:color w:val="auto"/>
      <w:spacing w:val="5"/>
      <w:u w:val="single"/>
    </w:rPr>
  </w:style>
  <w:style w:type="paragraph" w:customStyle="1" w:styleId="2ColumnHeading">
    <w:name w:val="2Column Heading"/>
    <w:basedOn w:val="BodyText"/>
    <w:qFormat/>
    <w:rsid w:val="00277D24"/>
    <w:pPr>
      <w:spacing w:after="60"/>
      <w:ind w:left="-2268"/>
    </w:pPr>
    <w:rPr>
      <w:b/>
    </w:rPr>
  </w:style>
  <w:style w:type="paragraph" w:customStyle="1" w:styleId="Heading1TOC">
    <w:name w:val="Heading1 TOC"/>
    <w:basedOn w:val="Normal"/>
    <w:qFormat/>
    <w:rsid w:val="00277D24"/>
    <w:pPr>
      <w:spacing w:before="240" w:after="120"/>
    </w:pPr>
    <w:rPr>
      <w:rFonts w:ascii="Times New Roman" w:hAnsi="Times New Roman"/>
      <w:b/>
      <w:sz w:val="32"/>
    </w:rPr>
  </w:style>
  <w:style w:type="paragraph" w:customStyle="1" w:styleId="Heading2TOC">
    <w:name w:val="Heading2 TOC"/>
    <w:basedOn w:val="Normal"/>
    <w:qFormat/>
    <w:rsid w:val="00277D24"/>
    <w:pPr>
      <w:spacing w:before="240" w:after="60"/>
    </w:pPr>
    <w:rPr>
      <w:rFonts w:ascii="Times New Roman" w:hAnsi="Times New Roman"/>
      <w:b/>
      <w:sz w:val="28"/>
    </w:rPr>
  </w:style>
  <w:style w:type="character" w:customStyle="1" w:styleId="Underline">
    <w:name w:val="Underline"/>
    <w:basedOn w:val="DefaultParagraphFont"/>
    <w:qFormat/>
    <w:rsid w:val="00277D24"/>
    <w:rPr>
      <w:u w:val="single"/>
    </w:rPr>
  </w:style>
  <w:style w:type="paragraph" w:styleId="BalloonText">
    <w:name w:val="Balloon Text"/>
    <w:basedOn w:val="Normal"/>
    <w:link w:val="BalloonTextChar"/>
    <w:rsid w:val="00277D24"/>
    <w:rPr>
      <w:rFonts w:ascii="Tahoma" w:hAnsi="Tahoma" w:cs="Tahoma"/>
      <w:sz w:val="16"/>
      <w:szCs w:val="16"/>
    </w:rPr>
  </w:style>
  <w:style w:type="character" w:customStyle="1" w:styleId="BalloonTextChar">
    <w:name w:val="Balloon Text Char"/>
    <w:basedOn w:val="DefaultParagraphFont"/>
    <w:link w:val="BalloonText"/>
    <w:rsid w:val="00277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D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D24"/>
    <w:rPr>
      <w:b/>
      <w:color w:val="660033"/>
      <w:spacing w:val="0"/>
    </w:rPr>
  </w:style>
  <w:style w:type="paragraph" w:customStyle="1" w:styleId="Nameditemlist">
    <w:name w:val="Named item list"/>
    <w:basedOn w:val="BodyText"/>
    <w:qFormat/>
    <w:rsid w:val="00277D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1496</Words>
  <Characters>9710</Characters>
  <Application>Microsoft Office Word</Application>
  <DocSecurity>0</DocSecurity>
  <Lines>318</Lines>
  <Paragraphs>206</Paragraphs>
  <ScaleCrop>false</ScaleCrop>
  <Company>Author-it Software Corporation Ltd.</Company>
  <LinksUpToDate>false</LinksUpToDate>
  <CharactersWithSpaces>11131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PSPREV402A Undertake legislative decision making</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2012-11-01T18:30:00Z</dcterms:created>
  <dcterms:modified xsi:type="dcterms:W3CDTF">2012-11-01T18:30:00Z</dcterms:modified>
</cp:coreProperties>
</file>