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CFD" w:rsidP="004B0CFD">
      <w:pPr>
        <w:pStyle w:val="Title"/>
      </w:pPr>
      <w:bookmarkStart w:id="0" w:name="_GoBack"/>
      <w:bookmarkEnd w:id="0"/>
      <w:r>
        <w:fldChar w:fldCharType="begin"/>
      </w:r>
      <w:r>
        <w:instrText xml:space="preserve"> TITLE   \* MERGEFORMAT </w:instrText>
      </w:r>
      <w:r>
        <w:fldChar w:fldCharType="separate"/>
      </w:r>
      <w:r>
        <w:t>PSPREV401A Identify and apply statute law</w:t>
      </w:r>
      <w:r>
        <w:fldChar w:fldCharType="end"/>
      </w:r>
    </w:p>
    <w:p w:rsidR="004B0CFD" w:rsidP="004B0CFD">
      <w:pPr>
        <w:pStyle w:val="Version"/>
        <w:sectPr w:rsidSect="00714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14786" w:rsidP="00714786">
      <w:pPr>
        <w:pStyle w:val="SuperHeading"/>
      </w:pPr>
      <w:r w:rsidRPr="00714786">
        <w:t>PSPREV401A Identify and apply statute law</w:t>
      </w:r>
    </w:p>
    <w:p w:rsidR="00000000" w:rsidRPr="00714786" w:rsidP="00714786">
      <w:pPr>
        <w:pStyle w:val="SuperHeading"/>
      </w:pPr>
    </w:p>
    <w:p w:rsidR="00000000" w:rsidRPr="00714786" w:rsidP="00714786">
      <w:pPr>
        <w:pStyle w:val="Heading1"/>
      </w:pPr>
      <w:bookmarkStart w:id="1" w:name="O_499086"/>
      <w:bookmarkEnd w:id="1"/>
      <w:r w:rsidRPr="00714786">
        <w:t>Modification History</w:t>
      </w:r>
    </w:p>
    <w:tbl>
      <w:tblPr>
        <w:tblW w:w="0" w:type="auto"/>
        <w:tblLayout w:type="fixed"/>
        <w:tblCellMar>
          <w:left w:w="62" w:type="dxa"/>
          <w:right w:w="62" w:type="dxa"/>
        </w:tblCellMar>
        <w:tblLook w:val="0000"/>
      </w:tblPr>
      <w:tblGrid>
        <w:gridCol w:w="3052"/>
        <w:gridCol w:w="3052"/>
        <w:gridCol w:w="3052"/>
      </w:tblGrid>
      <w:tr w:rsidTr="004B0CF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786" w:rsidP="00714786">
            <w:pPr>
              <w:pStyle w:val="BodyText"/>
            </w:pPr>
            <w:r w:rsidRPr="0071478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786" w:rsidP="00714786">
            <w:pPr>
              <w:pStyle w:val="BodyText"/>
            </w:pPr>
            <w:r w:rsidRPr="0071478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rPr>
                <w:rStyle w:val="SpecialBold"/>
              </w:rPr>
              <w:t>Comments</w:t>
            </w:r>
          </w:p>
        </w:tc>
      </w:tr>
      <w:tr w:rsidTr="004B0CF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t xml:space="preserve">Unit descriptor edited. </w:t>
            </w:r>
          </w:p>
        </w:tc>
      </w:tr>
      <w:tr w:rsidTr="004B0CF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t>Layout adjusted. No changes to content.</w:t>
            </w:r>
          </w:p>
        </w:tc>
      </w:tr>
      <w:tr w:rsidTr="004B0CF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786">
            <w:pPr>
              <w:pStyle w:val="BodyText"/>
              <w:rPr>
                <w:lang w:val="en-NZ"/>
              </w:rPr>
            </w:pPr>
            <w:r w:rsidRPr="0071478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786" w:rsidP="00714786">
            <w:pPr>
              <w:pStyle w:val="BodyText"/>
            </w:pPr>
            <w:r w:rsidRPr="00714786">
              <w:t>Primary release.</w:t>
            </w:r>
          </w:p>
        </w:tc>
      </w:tr>
    </w:tbl>
    <w:p w:rsidR="004B0CFD" w:rsidP="00714786">
      <w:pPr>
        <w:pStyle w:val="BodyText"/>
      </w:pPr>
    </w:p>
    <w:p w:rsidR="004B0CFD" w:rsidP="00714786">
      <w:pPr>
        <w:pStyle w:val="BodyText"/>
      </w:pPr>
    </w:p>
    <w:p w:rsidR="00000000" w:rsidRPr="00714786" w:rsidP="00714786">
      <w:pPr>
        <w:pStyle w:val="Heading1"/>
      </w:pPr>
      <w:bookmarkStart w:id="2" w:name="O_499093"/>
      <w:bookmarkEnd w:id="2"/>
      <w:r w:rsidRPr="00714786">
        <w:t>Unit Descriptor</w:t>
      </w:r>
    </w:p>
    <w:p w:rsidR="00000000" w:rsidRPr="00714786" w:rsidP="00714786">
      <w:pPr>
        <w:pStyle w:val="BodyText"/>
      </w:pPr>
      <w:r w:rsidRPr="00714786">
        <w:t>This unit covers the identification of statute law and how it applies to a range of situations affecting customers.</w:t>
      </w:r>
    </w:p>
    <w:p w:rsidR="00000000" w:rsidRPr="00714786" w:rsidP="00714786">
      <w:pPr>
        <w:pStyle w:val="BodyText"/>
      </w:pPr>
      <w:r w:rsidRPr="00714786">
        <w:t>In practice, applying statute law overlaps with other generalist or specialist work activities, such as acting ethically; undertaking legislative decision making; dealing with legal entities, relationships and property; assessing applications for grants, s</w:t>
      </w:r>
      <w:r w:rsidRPr="00714786">
        <w:t>ubsidies and rebates; and delivering client service. Co-assessment with units of competency addressing these other activities could be considered.</w:t>
      </w:r>
    </w:p>
    <w:p w:rsidR="00000000" w:rsidRPr="00714786" w:rsidP="00714786">
      <w:pPr>
        <w:pStyle w:val="BodyText"/>
      </w:pPr>
      <w:r w:rsidRPr="00714786">
        <w:t>No licensing, legislative, regulatory or certification requirements apply to this unit at the time of endorse</w:t>
      </w:r>
      <w:r w:rsidRPr="00714786">
        <w:t>ment.</w:t>
      </w:r>
    </w:p>
    <w:p w:rsidR="00000000" w:rsidRPr="00714786" w:rsidP="00714786">
      <w:pPr>
        <w:pStyle w:val="AllowPageBreak"/>
      </w:pPr>
    </w:p>
    <w:p w:rsidR="00000000" w:rsidRPr="00714786" w:rsidP="00714786">
      <w:pPr>
        <w:pStyle w:val="Heading1"/>
      </w:pPr>
      <w:bookmarkStart w:id="3" w:name="O_499099"/>
      <w:bookmarkEnd w:id="3"/>
      <w:r w:rsidRPr="00714786">
        <w:t>Application of the Unit</w:t>
      </w:r>
    </w:p>
    <w:p w:rsidR="00000000" w:rsidRPr="00714786" w:rsidP="00714786">
      <w:pPr>
        <w:pStyle w:val="BodyText"/>
      </w:pPr>
      <w:r w:rsidRPr="00714786">
        <w:t xml:space="preserve">In the workplace, staff must be able to identify and apply the statute law applicable to a range of situations affecting customers. Staff may develop a good understanding of the way laws are created, enacted, </w:t>
      </w:r>
      <w:r w:rsidRPr="00714786">
        <w:t xml:space="preserve">amended and interpreted within parliament and the courts in order to apply them to their work. </w:t>
      </w:r>
    </w:p>
    <w:p w:rsidR="00000000" w:rsidRPr="00714786" w:rsidP="00714786">
      <w:pPr>
        <w:pStyle w:val="BodyText"/>
      </w:pPr>
      <w:r w:rsidRPr="00714786">
        <w:t>Knowing the structure and purpose of the different components of an Act allows staff to navigate efficiently to find the specific information they require. In c</w:t>
      </w:r>
      <w:r w:rsidRPr="00714786">
        <w:t>omplex situations they must be able to use explanatory statements to determine the intent of parliament with regard to the interpretation of particular statutes. The principles governing the interpretation of statutes are important, as are the use of prece</w:t>
      </w:r>
      <w:r w:rsidRPr="00714786">
        <w:t>dents, rulings, Commissioner's practices and the relevant Interpretation Act.</w:t>
      </w:r>
    </w:p>
    <w:p w:rsidR="00000000" w:rsidRPr="00714786" w:rsidP="00714786">
      <w:pPr>
        <w:pStyle w:val="AllowPageBreak"/>
      </w:pPr>
    </w:p>
    <w:p w:rsidR="00000000" w:rsidRPr="00714786" w:rsidP="00714786">
      <w:pPr>
        <w:pStyle w:val="Heading1"/>
      </w:pPr>
      <w:bookmarkStart w:id="4" w:name="O_499089"/>
      <w:bookmarkEnd w:id="4"/>
      <w:r w:rsidRPr="00714786">
        <w:t>Licensing/Regulatory Information</w:t>
      </w:r>
    </w:p>
    <w:p w:rsidR="00000000" w:rsidRPr="00714786" w:rsidP="00714786">
      <w:pPr>
        <w:pStyle w:val="BodyText"/>
      </w:pPr>
      <w:r w:rsidRPr="00714786">
        <w:t>Not applicable.</w:t>
      </w:r>
    </w:p>
    <w:p w:rsidR="00000000" w:rsidRPr="00714786" w:rsidP="00714786">
      <w:pPr>
        <w:pStyle w:val="AllowPageBreak"/>
      </w:pPr>
    </w:p>
    <w:p w:rsidR="00000000" w:rsidRPr="00714786" w:rsidP="00714786">
      <w:pPr>
        <w:pStyle w:val="Heading1"/>
      </w:pPr>
      <w:bookmarkStart w:id="5" w:name="O_499087"/>
      <w:bookmarkEnd w:id="5"/>
      <w:r w:rsidRPr="00714786">
        <w:t>Pre-Requisites</w:t>
      </w:r>
    </w:p>
    <w:p w:rsidR="00000000" w:rsidRPr="00714786" w:rsidP="00714786">
      <w:pPr>
        <w:pStyle w:val="BodyText"/>
      </w:pPr>
      <w:r w:rsidRPr="00714786">
        <w:t>Not applicable.</w:t>
      </w:r>
    </w:p>
    <w:p w:rsidR="00000000" w:rsidRPr="00714786" w:rsidP="00714786">
      <w:pPr>
        <w:pStyle w:val="AllowPageBreak"/>
      </w:pPr>
    </w:p>
    <w:p w:rsidR="00000000" w:rsidRPr="00714786" w:rsidP="00714786">
      <w:pPr>
        <w:pStyle w:val="Heading1"/>
      </w:pPr>
      <w:bookmarkStart w:id="6" w:name="O_499096"/>
      <w:bookmarkEnd w:id="6"/>
      <w:r w:rsidRPr="00714786">
        <w:t>Employability Skills Information</w:t>
      </w:r>
    </w:p>
    <w:p w:rsidR="00000000" w:rsidRPr="00714786" w:rsidP="00714786">
      <w:pPr>
        <w:pStyle w:val="BodyText"/>
      </w:pPr>
      <w:r w:rsidRPr="00714786">
        <w:t>This unit cont</w:t>
      </w:r>
      <w:r w:rsidRPr="00714786">
        <w:t>ains employability skills.</w:t>
      </w:r>
    </w:p>
    <w:p w:rsidR="00000000" w:rsidRPr="00714786" w:rsidP="00714786">
      <w:pPr>
        <w:pStyle w:val="AllowPageBreak"/>
      </w:pPr>
    </w:p>
    <w:p w:rsidR="00000000" w:rsidRPr="00714786" w:rsidP="00714786">
      <w:pPr>
        <w:pStyle w:val="Heading1"/>
      </w:pPr>
      <w:bookmarkStart w:id="7" w:name="O_499095"/>
      <w:bookmarkEnd w:id="7"/>
      <w:r w:rsidRPr="00714786">
        <w:t>Elements and Performance Criteria Pre-Content</w:t>
      </w:r>
    </w:p>
    <w:tbl>
      <w:tblPr>
        <w:tblW w:w="9322" w:type="dxa"/>
        <w:tblLayout w:type="fixed"/>
        <w:tblCellMar>
          <w:left w:w="62" w:type="dxa"/>
          <w:right w:w="62" w:type="dxa"/>
        </w:tblCellMar>
        <w:tblLook w:val="0000"/>
      </w:tblPr>
      <w:tblGrid>
        <w:gridCol w:w="2943"/>
        <w:gridCol w:w="6379"/>
      </w:tblGrid>
      <w:tr w:rsidTr="004B0CFD">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t>Elements describe the essential outcomes of a unit of competency.</w:t>
            </w:r>
          </w:p>
        </w:tc>
        <w:tc>
          <w:tcPr>
            <w:tcW w:w="6379"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t>Performance criteria describe the required performance needed to demonstrate achievement of the elem</w:t>
            </w:r>
            <w:r w:rsidRPr="00714786">
              <w:t xml:space="preserve">ent. Where </w:t>
            </w:r>
            <w:r w:rsidRPr="00714786">
              <w:rPr>
                <w:rStyle w:val="BoldandItalics"/>
              </w:rPr>
              <w:t xml:space="preserve">bold italicised </w:t>
            </w:r>
            <w:r w:rsidRPr="00714786">
              <w:t>text is used, further information is detailed in the range statement. Assessment of performance is to be consistent with the evidence guide.</w:t>
            </w:r>
          </w:p>
        </w:tc>
      </w:tr>
    </w:tbl>
    <w:p w:rsidR="00000000" w:rsidRPr="00714786" w:rsidP="00714786">
      <w:pPr>
        <w:pStyle w:val="BodyText"/>
      </w:pPr>
    </w:p>
    <w:p w:rsidR="00000000" w:rsidRPr="00714786" w:rsidP="00714786">
      <w:pPr>
        <w:pStyle w:val="AllowPageBreak"/>
      </w:pPr>
    </w:p>
    <w:p w:rsidR="00000000" w:rsidRPr="00714786" w:rsidP="00714786">
      <w:pPr>
        <w:pStyle w:val="Heading1"/>
      </w:pPr>
      <w:bookmarkStart w:id="8" w:name="O_499097"/>
      <w:bookmarkEnd w:id="8"/>
      <w:r w:rsidRPr="00714786">
        <w:t>Elements and Performance Criteria</w:t>
      </w:r>
    </w:p>
    <w:tbl>
      <w:tblPr>
        <w:tblW w:w="9322" w:type="dxa"/>
        <w:tblLayout w:type="fixed"/>
        <w:tblCellMar>
          <w:left w:w="62" w:type="dxa"/>
          <w:right w:w="62" w:type="dxa"/>
        </w:tblCellMar>
        <w:tblLook w:val="0000"/>
      </w:tblPr>
      <w:tblGrid>
        <w:gridCol w:w="2943"/>
        <w:gridCol w:w="6379"/>
      </w:tblGrid>
      <w:tr w:rsidTr="004B0CFD">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SpecialBold"/>
              </w:rPr>
              <w:t>PERFORMANCE CRITERIA</w:t>
            </w:r>
          </w:p>
        </w:tc>
      </w:tr>
      <w:tr w:rsidTr="004B0CFD">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714786">
            <w:pPr>
              <w:pStyle w:val="List"/>
              <w:rPr>
                <w:lang w:val="en-NZ"/>
              </w:rPr>
            </w:pPr>
            <w:r w:rsidRPr="00714786">
              <w:rPr>
                <w:rStyle w:val="SpecialBold"/>
              </w:rPr>
              <w:t>1</w:t>
            </w:r>
            <w:r w:rsidRPr="00714786">
              <w:t>.</w:t>
            </w:r>
            <w:r w:rsidRPr="00714786">
              <w:tab/>
            </w:r>
            <w:r w:rsidRPr="00714786">
              <w:rPr>
                <w:rStyle w:val="SpecialBold"/>
              </w:rPr>
              <w:t>Identify applicable statute law</w:t>
            </w:r>
          </w:p>
        </w:tc>
        <w:tc>
          <w:tcPr>
            <w:tcW w:w="6379" w:type="dxa"/>
            <w:tcBorders>
              <w:top w:val="nil"/>
              <w:left w:val="nil"/>
              <w:bottom w:val="nil"/>
              <w:right w:val="nil"/>
            </w:tcBorders>
            <w:tcMar>
              <w:top w:w="0" w:type="dxa"/>
              <w:left w:w="62" w:type="dxa"/>
              <w:bottom w:w="0" w:type="dxa"/>
              <w:right w:w="62" w:type="dxa"/>
            </w:tcMar>
          </w:tcPr>
          <w:p w:rsidR="00000000" w:rsidRPr="00714786" w:rsidP="00714786">
            <w:pPr>
              <w:pStyle w:val="List"/>
            </w:pPr>
            <w:r w:rsidRPr="00714786">
              <w:t>1.1</w:t>
            </w:r>
            <w:r w:rsidRPr="00714786">
              <w:rPr>
                <w:rStyle w:val="BoldandItalics"/>
              </w:rPr>
              <w:tab/>
              <w:t>Principal rules</w:t>
            </w:r>
            <w:r w:rsidRPr="00714786">
              <w:t xml:space="preserve"> governing the interpretation of statutes are applied.</w:t>
            </w:r>
          </w:p>
          <w:p w:rsidR="00000000" w:rsidP="00714786">
            <w:pPr>
              <w:pStyle w:val="List"/>
              <w:rPr>
                <w:lang w:val="en-NZ"/>
              </w:rPr>
            </w:pPr>
            <w:r w:rsidRPr="00714786">
              <w:t>1.2</w:t>
            </w:r>
            <w:r w:rsidRPr="00714786">
              <w:tab/>
              <w:t xml:space="preserve">Statutes are analysed to identify </w:t>
            </w:r>
            <w:r w:rsidRPr="00714786">
              <w:rPr>
                <w:rStyle w:val="BoldandItalics"/>
              </w:rPr>
              <w:t xml:space="preserve">components </w:t>
            </w:r>
            <w:r w:rsidRPr="00714786">
              <w:t xml:space="preserve">applicable to the </w:t>
            </w:r>
            <w:r w:rsidRPr="00714786">
              <w:rPr>
                <w:rStyle w:val="BoldandItalics"/>
              </w:rPr>
              <w:t xml:space="preserve">situation </w:t>
            </w:r>
            <w:r w:rsidRPr="00714786">
              <w:t>at hand.</w:t>
            </w:r>
          </w:p>
        </w:tc>
      </w:tr>
      <w:tr w:rsidTr="004B0CFD">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714786">
            <w:pPr>
              <w:pStyle w:val="List"/>
              <w:rPr>
                <w:lang w:val="en-NZ"/>
              </w:rPr>
            </w:pPr>
            <w:r w:rsidRPr="00714786">
              <w:rPr>
                <w:rStyle w:val="SpecialBold"/>
              </w:rPr>
              <w:t>2</w:t>
            </w:r>
            <w:r w:rsidRPr="00714786">
              <w:t>.</w:t>
            </w:r>
            <w:r w:rsidRPr="00714786">
              <w:tab/>
            </w:r>
            <w:r w:rsidRPr="00714786">
              <w:rPr>
                <w:rStyle w:val="SpecialBold"/>
              </w:rPr>
              <w:t>Apply statute law</w:t>
            </w:r>
          </w:p>
        </w:tc>
        <w:tc>
          <w:tcPr>
            <w:tcW w:w="6379" w:type="dxa"/>
            <w:tcBorders>
              <w:top w:val="nil"/>
              <w:left w:val="nil"/>
              <w:bottom w:val="nil"/>
              <w:right w:val="nil"/>
            </w:tcBorders>
            <w:tcMar>
              <w:top w:w="0" w:type="dxa"/>
              <w:left w:w="62" w:type="dxa"/>
              <w:bottom w:w="0" w:type="dxa"/>
              <w:right w:w="62" w:type="dxa"/>
            </w:tcMar>
          </w:tcPr>
          <w:p w:rsidR="00000000" w:rsidRPr="00714786" w:rsidP="00714786">
            <w:pPr>
              <w:pStyle w:val="List"/>
            </w:pPr>
            <w:r w:rsidRPr="00714786">
              <w:t>2.1</w:t>
            </w:r>
            <w:r w:rsidRPr="00714786">
              <w:tab/>
              <w:t>Information on the creation, amendment</w:t>
            </w:r>
            <w:r w:rsidRPr="00714786">
              <w:t xml:space="preserve"> and interpretation of laws is used to assist in identifying applicable bills, Acts and subordinate legislation.</w:t>
            </w:r>
          </w:p>
          <w:p w:rsidR="00000000" w:rsidRPr="00714786" w:rsidP="00714786">
            <w:pPr>
              <w:pStyle w:val="List"/>
            </w:pPr>
            <w:r w:rsidRPr="00714786">
              <w:t>2.2</w:t>
            </w:r>
            <w:r w:rsidRPr="00714786">
              <w:tab/>
              <w:t>Interpretation Act is used in accordance with its purpose.</w:t>
            </w:r>
          </w:p>
          <w:p w:rsidR="00000000" w:rsidRPr="00714786" w:rsidP="00714786">
            <w:pPr>
              <w:pStyle w:val="List"/>
            </w:pPr>
            <w:r w:rsidRPr="00714786">
              <w:t>2.3</w:t>
            </w:r>
            <w:r w:rsidRPr="00714786">
              <w:tab/>
              <w:t xml:space="preserve">Statutes are interpreted and applied in accordance with precedents, </w:t>
            </w:r>
            <w:r w:rsidRPr="00714786">
              <w:rPr>
                <w:rStyle w:val="BoldandItalics"/>
              </w:rPr>
              <w:t xml:space="preserve">rulings </w:t>
            </w:r>
            <w:r w:rsidRPr="00714786">
              <w:t>and</w:t>
            </w:r>
            <w:r w:rsidRPr="00714786">
              <w:rPr>
                <w:rStyle w:val="BoldandItalics"/>
              </w:rPr>
              <w:t xml:space="preserve"> Commissioner's practices</w:t>
            </w:r>
            <w:r w:rsidRPr="00714786">
              <w:t>.</w:t>
            </w:r>
          </w:p>
          <w:p w:rsidR="00000000" w:rsidRPr="00714786" w:rsidP="00714786">
            <w:pPr>
              <w:pStyle w:val="List"/>
            </w:pPr>
            <w:r w:rsidRPr="00714786">
              <w:t>2.4</w:t>
            </w:r>
            <w:r w:rsidRPr="00714786">
              <w:rPr>
                <w:rStyle w:val="BoldandItalics"/>
              </w:rPr>
              <w:tab/>
              <w:t>Explanatory statements</w:t>
            </w:r>
            <w:r w:rsidRPr="00714786">
              <w:t xml:space="preserve"> are used to assist in determining the intent of Parliament when interpreting complex statutes that apply to particular situations.</w:t>
            </w:r>
          </w:p>
          <w:p w:rsidR="00000000" w:rsidRPr="00714786" w:rsidP="00714786">
            <w:pPr>
              <w:pStyle w:val="List"/>
            </w:pPr>
            <w:r w:rsidRPr="00714786">
              <w:t>2.5</w:t>
            </w:r>
            <w:r w:rsidRPr="00714786">
              <w:tab/>
              <w:t>Reference is made to relevant case law and other</w:t>
            </w:r>
            <w:r w:rsidRPr="00714786">
              <w:rPr>
                <w:rStyle w:val="BoldandItalics"/>
              </w:rPr>
              <w:t xml:space="preserve"> extraneous mate</w:t>
            </w:r>
            <w:r w:rsidRPr="00714786">
              <w:rPr>
                <w:rStyle w:val="BoldandItalics"/>
              </w:rPr>
              <w:t xml:space="preserve">rial </w:t>
            </w:r>
            <w:r w:rsidRPr="00714786">
              <w:t>as required.</w:t>
            </w:r>
          </w:p>
          <w:p w:rsidR="00000000" w:rsidRPr="00714786" w:rsidP="00714786">
            <w:pPr>
              <w:pStyle w:val="List"/>
            </w:pPr>
            <w:r w:rsidRPr="00714786">
              <w:t>2.6</w:t>
            </w:r>
            <w:r w:rsidRPr="00714786">
              <w:tab/>
              <w:t xml:space="preserve">Records that cite applicable statute law are completed using </w:t>
            </w:r>
            <w:r w:rsidRPr="00714786">
              <w:rPr>
                <w:rStyle w:val="BoldandItalics"/>
              </w:rPr>
              <w:t>commonly accepted practices</w:t>
            </w:r>
            <w:r w:rsidRPr="00714786">
              <w:t xml:space="preserve"> and </w:t>
            </w:r>
            <w:r w:rsidRPr="00714786">
              <w:rPr>
                <w:rStyle w:val="BoldandItalics"/>
              </w:rPr>
              <w:t xml:space="preserve">abbreviations </w:t>
            </w:r>
            <w:r w:rsidRPr="00714786">
              <w:t>in accordance with organisational policy and procedures.</w:t>
            </w:r>
          </w:p>
        </w:tc>
      </w:tr>
    </w:tbl>
    <w:p w:rsidR="00000000" w:rsidRPr="00714786" w:rsidP="00714786">
      <w:pPr>
        <w:pStyle w:val="BodyText"/>
      </w:pPr>
    </w:p>
    <w:p w:rsidR="00000000" w:rsidRPr="00714786" w:rsidP="00714786">
      <w:pPr>
        <w:pStyle w:val="AllowPageBreak"/>
      </w:pPr>
    </w:p>
    <w:p w:rsidR="00000000" w:rsidRPr="00714786" w:rsidP="00714786">
      <w:pPr>
        <w:pStyle w:val="Heading1"/>
      </w:pPr>
      <w:bookmarkStart w:id="9" w:name="O_499088"/>
      <w:bookmarkEnd w:id="9"/>
      <w:r w:rsidRPr="00714786">
        <w:t>Required Skills and Knowledge</w:t>
      </w:r>
    </w:p>
    <w:tbl>
      <w:tblPr>
        <w:tblW w:w="9311" w:type="dxa"/>
        <w:tblLayout w:type="fixed"/>
        <w:tblCellMar>
          <w:left w:w="62" w:type="dxa"/>
          <w:right w:w="62" w:type="dxa"/>
        </w:tblCellMar>
        <w:tblLook w:val="0000"/>
      </w:tblPr>
      <w:tblGrid>
        <w:gridCol w:w="9311"/>
      </w:tblGrid>
      <w:tr w:rsidTr="004B0CF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t>This section describe</w:t>
            </w:r>
            <w:r w:rsidRPr="00714786">
              <w:t>s the essential skills and knowledge and their level, required for this unit.</w:t>
            </w:r>
          </w:p>
        </w:tc>
      </w:tr>
      <w:tr w:rsidTr="004B0CF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rPr>
                <w:rStyle w:val="SpecialBold"/>
              </w:rPr>
              <w:t>Required skills</w:t>
            </w:r>
            <w:r w:rsidRPr="00714786">
              <w:t>:</w:t>
            </w:r>
          </w:p>
          <w:p w:rsidR="00000000" w:rsidRPr="00714786" w:rsidP="00714786">
            <w:pPr>
              <w:pStyle w:val="BodyText"/>
            </w:pPr>
            <w:r w:rsidRPr="00714786">
              <w:t>Look for evidence that confirms skills in:</w:t>
            </w:r>
          </w:p>
          <w:p w:rsidR="00000000" w:rsidRPr="00714786" w:rsidP="00714786">
            <w:pPr>
              <w:pStyle w:val="ListBullet2"/>
            </w:pPr>
            <w:r w:rsidRPr="00714786">
              <w:t>searching for and identifying applicable statute laws, rulings, precedents and Commissioner's practices</w:t>
            </w:r>
          </w:p>
          <w:p w:rsidR="00000000" w:rsidRPr="00714786" w:rsidP="00714786">
            <w:pPr>
              <w:pStyle w:val="ListBullet2"/>
            </w:pPr>
            <w:r w:rsidRPr="00714786">
              <w:t>reading, analysing and interpreting complex, formal documents, such as legislation, regulations, explanatory statements, rulings and Commissioner's practices and applying them to work situations</w:t>
            </w:r>
          </w:p>
          <w:p w:rsidR="00000000" w:rsidRPr="00714786" w:rsidP="00714786">
            <w:pPr>
              <w:pStyle w:val="ListBullet2"/>
            </w:pPr>
            <w:r w:rsidRPr="00714786">
              <w:t>recording references to statutes using commonly accepted prac</w:t>
            </w:r>
            <w:r w:rsidRPr="00714786">
              <w:t>tices and abbreviations</w:t>
            </w:r>
          </w:p>
          <w:p w:rsidR="00000000" w:rsidRPr="00714786" w:rsidP="00714786">
            <w:pPr>
              <w:pStyle w:val="ListBullet2"/>
            </w:pPr>
            <w:r w:rsidRPr="00714786">
              <w:t>communicating with others involving exchanges of complex oral and written information</w:t>
            </w:r>
          </w:p>
          <w:p w:rsidR="00000000" w:rsidRPr="00714786" w:rsidP="00714786">
            <w:pPr>
              <w:pStyle w:val="ListBullet2"/>
            </w:pPr>
            <w:r w:rsidRPr="00714786">
              <w:t>responding to diversity, including gender and disability</w:t>
            </w:r>
          </w:p>
          <w:p w:rsidR="00000000" w:rsidRPr="00714786" w:rsidP="00714786">
            <w:pPr>
              <w:pStyle w:val="ListBullet2"/>
            </w:pPr>
            <w:r w:rsidRPr="00714786">
              <w:t>using technology to access applicable statutes and record outcomes</w:t>
            </w:r>
          </w:p>
          <w:p w:rsidR="00000000" w:rsidP="00714786">
            <w:pPr>
              <w:pStyle w:val="ListBullet2"/>
              <w:rPr>
                <w:lang w:val="en-NZ"/>
              </w:rPr>
            </w:pPr>
            <w:r w:rsidRPr="00714786">
              <w:t>applying environmental</w:t>
            </w:r>
            <w:r w:rsidRPr="00714786">
              <w:t>, sustainability and occupational health and safety procedures to administrative and IT-related work</w:t>
            </w:r>
          </w:p>
        </w:tc>
      </w:tr>
      <w:tr w:rsidTr="004B0CFD">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rPr>
                <w:rStyle w:val="SpecialBold"/>
              </w:rPr>
              <w:t>Required knowledge</w:t>
            </w:r>
            <w:r w:rsidRPr="00714786">
              <w:t>:</w:t>
            </w:r>
          </w:p>
          <w:p w:rsidR="00000000" w:rsidRPr="00714786" w:rsidP="00714786">
            <w:pPr>
              <w:pStyle w:val="BodyText"/>
            </w:pPr>
            <w:r w:rsidRPr="00714786">
              <w:t>Look for evidence that confirms knowledge and understanding of:</w:t>
            </w:r>
          </w:p>
          <w:p w:rsidR="00000000" w:rsidRPr="00714786" w:rsidP="00714786">
            <w:pPr>
              <w:pStyle w:val="ListBullet2"/>
            </w:pPr>
            <w:r w:rsidRPr="00714786">
              <w:t xml:space="preserve">law-making processes in Australia </w:t>
            </w:r>
          </w:p>
          <w:p w:rsidR="00000000" w:rsidRPr="00714786" w:rsidP="00714786">
            <w:pPr>
              <w:pStyle w:val="ListBullet2"/>
            </w:pPr>
            <w:r w:rsidRPr="00714786">
              <w:t>structure and components of an Act</w:t>
            </w:r>
          </w:p>
          <w:p w:rsidR="00000000" w:rsidRPr="00714786" w:rsidP="00714786">
            <w:pPr>
              <w:pStyle w:val="ListBullet2"/>
            </w:pPr>
            <w:r w:rsidRPr="00714786">
              <w:t>primary and secondary sources of law</w:t>
            </w:r>
          </w:p>
          <w:p w:rsidR="00000000" w:rsidRPr="00714786" w:rsidP="00714786">
            <w:pPr>
              <w:pStyle w:val="ListBullet2"/>
            </w:pPr>
            <w:r w:rsidRPr="00714786">
              <w:t>principal rules governing the interpretation of statute law</w:t>
            </w:r>
          </w:p>
          <w:p w:rsidR="00000000" w:rsidRPr="00714786" w:rsidP="00714786">
            <w:pPr>
              <w:pStyle w:val="ListBullet2"/>
            </w:pPr>
            <w:r w:rsidRPr="00714786">
              <w:t>the doctrine of precedent</w:t>
            </w:r>
          </w:p>
          <w:p w:rsidR="00000000" w:rsidRPr="00714786" w:rsidP="00714786">
            <w:pPr>
              <w:pStyle w:val="ListBullet2"/>
            </w:pPr>
            <w:r w:rsidRPr="00714786">
              <w:t>purpose and use of Interpretation Act</w:t>
            </w:r>
          </w:p>
          <w:p w:rsidR="00000000" w:rsidRPr="00714786" w:rsidP="00714786">
            <w:pPr>
              <w:pStyle w:val="ListBullet2"/>
            </w:pPr>
            <w:r w:rsidRPr="00714786">
              <w:t>abbreviations and commonly accepted practices used in citing statute law</w:t>
            </w:r>
          </w:p>
        </w:tc>
      </w:tr>
    </w:tbl>
    <w:p w:rsidR="00000000" w:rsidRPr="00714786" w:rsidP="00714786">
      <w:pPr>
        <w:pStyle w:val="BodyText"/>
      </w:pPr>
    </w:p>
    <w:p w:rsidR="00000000" w:rsidRPr="00714786" w:rsidP="00714786">
      <w:pPr>
        <w:pStyle w:val="AllowPageBreak"/>
      </w:pPr>
    </w:p>
    <w:p w:rsidR="00000000" w:rsidRPr="00714786" w:rsidP="00714786">
      <w:pPr>
        <w:pStyle w:val="Heading1"/>
      </w:pPr>
      <w:bookmarkStart w:id="10" w:name="O_499090"/>
      <w:bookmarkEnd w:id="10"/>
      <w:r w:rsidRPr="00714786">
        <w:t>Evidence Guide</w:t>
      </w:r>
    </w:p>
    <w:tbl>
      <w:tblPr>
        <w:tblW w:w="9322" w:type="dxa"/>
        <w:tblLayout w:type="fixed"/>
        <w:tblCellMar>
          <w:left w:w="62" w:type="dxa"/>
          <w:right w:w="62" w:type="dxa"/>
        </w:tblCellMar>
        <w:tblLook w:val="0000"/>
      </w:tblPr>
      <w:tblGrid>
        <w:gridCol w:w="2660"/>
        <w:gridCol w:w="6662"/>
      </w:tblGrid>
      <w:tr w:rsidTr="004B0CF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t>The Evidence Guide specifies the evidence required to demonstrate achievement in the unit of competency as a whole. It must be read in conjunction with the unit descriptor, performance criteria, The range statement and the Assessment Guideli</w:t>
            </w:r>
            <w:r w:rsidRPr="00714786">
              <w:t>nes for the Public Sector Training Package.</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t xml:space="preserve">Co-assessed units that may be assessed with this unit to increase the efficiency and realism of the assessment process include: </w:t>
            </w:r>
          </w:p>
          <w:p w:rsidR="00000000" w:rsidRPr="00714786" w:rsidP="00714786">
            <w:pPr>
              <w:pStyle w:val="ListBullet2"/>
            </w:pPr>
            <w:r w:rsidRPr="00714786">
              <w:t>PSPETHC401A Uphold and support the values and principles of public service</w:t>
            </w:r>
          </w:p>
          <w:p w:rsidR="00000000" w:rsidRPr="00714786" w:rsidP="00714786">
            <w:pPr>
              <w:pStyle w:val="ListBullet2"/>
            </w:pPr>
            <w:r w:rsidRPr="00714786">
              <w:t>PSPREV402A Undertake legislative decision making</w:t>
            </w:r>
          </w:p>
          <w:p w:rsidR="00000000" w:rsidRPr="00714786" w:rsidP="00714786">
            <w:pPr>
              <w:pStyle w:val="ListBullet2"/>
            </w:pPr>
            <w:r w:rsidRPr="00714786">
              <w:t>PSPREV403A Manage information on legal entities, relationships and property</w:t>
            </w:r>
          </w:p>
          <w:p w:rsidR="00000000" w:rsidRPr="00714786" w:rsidP="00714786">
            <w:pPr>
              <w:pStyle w:val="ListBullet2"/>
            </w:pPr>
            <w:r w:rsidRPr="00714786">
              <w:t>PSPREV405A Assess applications for grants, subsidies and</w:t>
            </w:r>
            <w:r w:rsidRPr="00714786">
              <w:t xml:space="preserve"> rebates</w:t>
            </w:r>
          </w:p>
          <w:p w:rsidR="00000000" w:rsidP="00714786">
            <w:pPr>
              <w:pStyle w:val="ListBullet2"/>
              <w:rPr>
                <w:lang w:val="en-NZ"/>
              </w:rPr>
            </w:pPr>
            <w:r w:rsidRPr="00714786">
              <w:t>PSPGOV402B Deliver and monitor service to clients.</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t>In addition to integrated demonstration of the elements and their related performance criteria, look for evidence that confirms:</w:t>
            </w:r>
          </w:p>
          <w:p w:rsidR="00000000" w:rsidRPr="00714786" w:rsidP="00714786">
            <w:pPr>
              <w:pStyle w:val="ListBullet2"/>
            </w:pPr>
            <w:r w:rsidRPr="00714786">
              <w:t>knowledge requirements of this unit</w:t>
            </w:r>
          </w:p>
          <w:p w:rsidR="00000000" w:rsidRPr="00714786" w:rsidP="00714786">
            <w:pPr>
              <w:pStyle w:val="ListBullet2"/>
            </w:pPr>
            <w:r w:rsidRPr="00714786">
              <w:t>skill requirements of this unit</w:t>
            </w:r>
          </w:p>
          <w:p w:rsidR="00000000" w:rsidP="00714786">
            <w:pPr>
              <w:pStyle w:val="ListBullet2"/>
              <w:rPr>
                <w:lang w:val="en-NZ"/>
              </w:rPr>
            </w:pPr>
            <w:r w:rsidRPr="00714786">
              <w:t>application of employability skills as they relate to this unit.</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t>Resources essential for assessment include:</w:t>
            </w:r>
          </w:p>
          <w:p w:rsidR="00000000" w:rsidRPr="00714786" w:rsidP="00714786">
            <w:pPr>
              <w:pStyle w:val="ListBullet2"/>
            </w:pPr>
            <w:r w:rsidRPr="00714786">
              <w:t>government legislation, regulation</w:t>
            </w:r>
            <w:r w:rsidRPr="00714786">
              <w:t>s, rulings, Commissioner's practices and other applicable case law</w:t>
            </w:r>
          </w:p>
          <w:p w:rsidR="00000000" w:rsidRPr="00714786" w:rsidP="00714786">
            <w:pPr>
              <w:pStyle w:val="ListBullet2"/>
            </w:pPr>
            <w:r w:rsidRPr="00714786">
              <w:t>organisational procedures and protocols relating to the application of statute law</w:t>
            </w:r>
          </w:p>
          <w:p w:rsidR="00000000" w:rsidRPr="00714786" w:rsidP="00714786">
            <w:pPr>
              <w:pStyle w:val="ListBullet2"/>
            </w:pPr>
            <w:r w:rsidRPr="00714786">
              <w:t>scenarios and case studies to capture the range of situations likely to be encountered when applying statu</w:t>
            </w:r>
            <w:r w:rsidRPr="00714786">
              <w:t xml:space="preserve">te law </w:t>
            </w:r>
          </w:p>
          <w:p w:rsidR="00000000" w:rsidP="00714786">
            <w:pPr>
              <w:pStyle w:val="ListBullet2"/>
              <w:rPr>
                <w:lang w:val="en-NZ"/>
              </w:rPr>
            </w:pPr>
            <w:r w:rsidRPr="00714786">
              <w:t>access to relevant systems.</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t>Valid assessment of this unit requires:</w:t>
            </w:r>
          </w:p>
          <w:p w:rsidR="00000000" w:rsidRPr="00714786" w:rsidP="00714786">
            <w:pPr>
              <w:pStyle w:val="ListBullet2"/>
            </w:pPr>
            <w:r w:rsidRPr="00714786">
              <w:t xml:space="preserve">a workplace environment or one that closely resembles normal work practice and replicates </w:t>
            </w:r>
            <w:r w:rsidRPr="00714786">
              <w:t>the range of conditions likely to be encountered when applying statute law, including coping with difficulties, irregularities and breakdowns in routine</w:t>
            </w:r>
          </w:p>
          <w:p w:rsidR="00000000" w:rsidRPr="00714786" w:rsidP="00714786">
            <w:pPr>
              <w:pStyle w:val="ListBullet2"/>
            </w:pPr>
            <w:r w:rsidRPr="00714786">
              <w:t>applying statute law in a range of three or more contexts or occasions, over time.</w:t>
            </w:r>
          </w:p>
          <w:p w:rsidR="00000000" w:rsidRPr="00714786" w:rsidP="00714786">
            <w:pPr>
              <w:pStyle w:val="BodyText"/>
            </w:pPr>
            <w:r w:rsidRPr="00714786">
              <w:t>Assessment methods s</w:t>
            </w:r>
            <w:r w:rsidRPr="00714786">
              <w:t>hould reflect but not exceed workplace demands, such as literacy, and the needs of individuals who might be disadvantaged.</w:t>
            </w:r>
          </w:p>
          <w:p w:rsidR="00000000" w:rsidRPr="00714786" w:rsidP="00714786">
            <w:pPr>
              <w:pStyle w:val="BodyText"/>
            </w:pPr>
            <w:r w:rsidRPr="00714786">
              <w:t xml:space="preserve">Assessment methods suitable for valid and reliable assessment of this unit must use authenticated evidence from the workplace and/or </w:t>
            </w:r>
            <w:r w:rsidRPr="00714786">
              <w:t xml:space="preserve">training courses and may include a combination of two or more of: </w:t>
            </w:r>
          </w:p>
          <w:p w:rsidR="00000000" w:rsidRPr="00714786" w:rsidP="00714786">
            <w:pPr>
              <w:pStyle w:val="ListBullet2"/>
            </w:pPr>
            <w:r w:rsidRPr="00714786">
              <w:t>workplace projects</w:t>
            </w:r>
          </w:p>
          <w:p w:rsidR="00000000" w:rsidRPr="00714786" w:rsidP="00714786">
            <w:pPr>
              <w:pStyle w:val="ListBullet2"/>
            </w:pPr>
            <w:r w:rsidRPr="00714786">
              <w:t>simulation or role plays</w:t>
            </w:r>
          </w:p>
          <w:p w:rsidR="00000000" w:rsidRPr="00714786" w:rsidP="00714786">
            <w:pPr>
              <w:pStyle w:val="ListBullet2"/>
            </w:pPr>
            <w:r w:rsidRPr="00714786">
              <w:t>case studies and scenarios</w:t>
            </w:r>
          </w:p>
          <w:p w:rsidR="00000000" w:rsidRPr="00714786" w:rsidP="00714786">
            <w:pPr>
              <w:pStyle w:val="ListBullet2"/>
            </w:pPr>
            <w:r w:rsidRPr="00714786">
              <w:t>observation</w:t>
            </w:r>
          </w:p>
          <w:p w:rsidR="00000000" w:rsidRPr="00714786" w:rsidP="00714786">
            <w:pPr>
              <w:pStyle w:val="ListBullet2"/>
            </w:pPr>
            <w:r w:rsidRPr="00714786">
              <w:t>portfolios</w:t>
            </w:r>
          </w:p>
          <w:p w:rsidR="00000000" w:rsidP="00714786">
            <w:pPr>
              <w:pStyle w:val="BodyText"/>
              <w:rPr>
                <w:lang w:val="en-NZ"/>
              </w:rPr>
            </w:pPr>
            <w:r w:rsidRPr="00714786">
              <w:t>The assessment environment should not disadvantage the candidate and where the person has a di</w:t>
            </w:r>
            <w:r w:rsidRPr="00714786">
              <w:t>sability the principle of reasonable adjustment should be applied during assessment.</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BodyText"/>
            </w:pPr>
            <w:r w:rsidRPr="00714786">
              <w:t>Evidence must be gathered over time in a range of contexts to ensure the person can achieve the unit outcome and apply the competency in dif</w:t>
            </w:r>
            <w:r w:rsidRPr="00714786">
              <w:t>ferent situations or environments.</w:t>
            </w:r>
          </w:p>
        </w:tc>
      </w:tr>
    </w:tbl>
    <w:p w:rsidR="00000000" w:rsidRPr="00714786" w:rsidP="00714786">
      <w:pPr>
        <w:pStyle w:val="BodyText"/>
      </w:pPr>
    </w:p>
    <w:p w:rsidR="00000000" w:rsidRPr="00714786" w:rsidP="00714786">
      <w:pPr>
        <w:pStyle w:val="AllowPageBreak"/>
      </w:pPr>
    </w:p>
    <w:p w:rsidR="00000000" w:rsidRPr="00714786" w:rsidP="00714786">
      <w:pPr>
        <w:pStyle w:val="Heading1"/>
      </w:pPr>
      <w:bookmarkStart w:id="11" w:name="O_499094"/>
      <w:bookmarkEnd w:id="11"/>
      <w:r w:rsidRPr="00714786">
        <w:t>Range Statement</w:t>
      </w:r>
    </w:p>
    <w:tbl>
      <w:tblPr>
        <w:tblW w:w="9322" w:type="dxa"/>
        <w:tblLayout w:type="fixed"/>
        <w:tblCellMar>
          <w:left w:w="62" w:type="dxa"/>
          <w:right w:w="62" w:type="dxa"/>
        </w:tblCellMar>
        <w:tblLook w:val="0000"/>
      </w:tblPr>
      <w:tblGrid>
        <w:gridCol w:w="2660"/>
        <w:gridCol w:w="6662"/>
      </w:tblGrid>
      <w:tr w:rsidTr="004B0CF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t xml:space="preserve">The range statement provides information about the context in which the unit of competency is carried out. The variables cater for differences </w:t>
            </w:r>
            <w:r w:rsidRPr="00714786">
              <w:t>between States and Territories and the Commonwealth, and between organisations and workplaces. They allow for different work requirements, work practices and knowledge. The range statement also provides a focus for assessment. It relates to the unit as a w</w:t>
            </w:r>
            <w:r w:rsidRPr="00714786">
              <w:t xml:space="preserve">hole. Text in </w:t>
            </w:r>
            <w:r w:rsidRPr="00714786">
              <w:rPr>
                <w:rStyle w:val="Emphasis"/>
              </w:rPr>
              <w:t>italics</w:t>
            </w:r>
            <w:r w:rsidRPr="00714786">
              <w:t xml:space="preserve"> in the Performance criteria is explained here.</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Components of statutes</w:t>
            </w:r>
            <w:r w:rsidRPr="0071478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long and short titles</w:t>
            </w:r>
          </w:p>
          <w:p w:rsidR="00000000" w:rsidRPr="00714786" w:rsidP="00714786">
            <w:pPr>
              <w:pStyle w:val="ListBullet2"/>
            </w:pPr>
            <w:r w:rsidRPr="00714786">
              <w:t>commencement date</w:t>
            </w:r>
          </w:p>
          <w:p w:rsidR="00000000" w:rsidRPr="00714786" w:rsidP="00714786">
            <w:pPr>
              <w:pStyle w:val="ListBullet2"/>
            </w:pPr>
            <w:r w:rsidRPr="00714786">
              <w:t>end date</w:t>
            </w:r>
          </w:p>
          <w:p w:rsidR="00000000" w:rsidRPr="00714786" w:rsidP="00714786">
            <w:pPr>
              <w:pStyle w:val="ListBullet2"/>
            </w:pPr>
            <w:r w:rsidRPr="00714786">
              <w:t>preambles</w:t>
            </w:r>
          </w:p>
          <w:p w:rsidR="00000000" w:rsidRPr="00714786" w:rsidP="00714786">
            <w:pPr>
              <w:pStyle w:val="ListBullet2"/>
            </w:pPr>
            <w:r w:rsidRPr="00714786">
              <w:t>definitions</w:t>
            </w:r>
          </w:p>
          <w:p w:rsidR="00000000" w:rsidRPr="00714786" w:rsidP="00714786">
            <w:pPr>
              <w:pStyle w:val="ListBullet2"/>
            </w:pPr>
            <w:r w:rsidRPr="00714786">
              <w:t>head notes and headings</w:t>
            </w:r>
          </w:p>
          <w:p w:rsidR="00000000" w:rsidRPr="00714786" w:rsidP="00714786">
            <w:pPr>
              <w:pStyle w:val="ListBullet2"/>
            </w:pPr>
            <w:r w:rsidRPr="00714786">
              <w:t>parts</w:t>
            </w:r>
          </w:p>
          <w:p w:rsidR="00000000" w:rsidRPr="00714786" w:rsidP="00714786">
            <w:pPr>
              <w:pStyle w:val="ListBullet2"/>
            </w:pPr>
            <w:r w:rsidRPr="00714786">
              <w:t>divisions</w:t>
            </w:r>
          </w:p>
          <w:p w:rsidR="00000000" w:rsidRPr="00714786" w:rsidP="00714786">
            <w:pPr>
              <w:pStyle w:val="ListBullet2"/>
            </w:pPr>
            <w:r w:rsidRPr="00714786">
              <w:t>chapters</w:t>
            </w:r>
          </w:p>
          <w:p w:rsidR="00000000" w:rsidRPr="00714786" w:rsidP="00714786">
            <w:pPr>
              <w:pStyle w:val="ListBullet2"/>
            </w:pPr>
            <w:r w:rsidRPr="00714786">
              <w:t>sections</w:t>
            </w:r>
          </w:p>
          <w:p w:rsidR="00000000" w:rsidRPr="00714786" w:rsidP="00714786">
            <w:pPr>
              <w:pStyle w:val="ListBullet2"/>
            </w:pPr>
            <w:r w:rsidRPr="00714786">
              <w:t>subsections</w:t>
            </w:r>
          </w:p>
          <w:p w:rsidR="00000000" w:rsidRPr="00714786" w:rsidP="00714786">
            <w:pPr>
              <w:pStyle w:val="ListBullet2"/>
            </w:pPr>
            <w:r w:rsidRPr="00714786">
              <w:t>paragraphs</w:t>
            </w:r>
          </w:p>
          <w:p w:rsidR="00000000" w:rsidRPr="00714786" w:rsidP="00714786">
            <w:pPr>
              <w:pStyle w:val="ListBullet2"/>
            </w:pPr>
            <w:r w:rsidRPr="00714786">
              <w:t>subparagraphs</w:t>
            </w:r>
          </w:p>
          <w:p w:rsidR="00000000" w:rsidRPr="00714786" w:rsidP="00714786">
            <w:pPr>
              <w:pStyle w:val="ListBullet2"/>
            </w:pPr>
            <w:r w:rsidRPr="00714786">
              <w:t>historical notes</w:t>
            </w:r>
          </w:p>
          <w:p w:rsidR="00000000" w:rsidRPr="00714786" w:rsidP="00714786">
            <w:pPr>
              <w:pStyle w:val="ListBullet2"/>
            </w:pPr>
            <w:r w:rsidRPr="00714786">
              <w:t>clause notes</w:t>
            </w:r>
          </w:p>
          <w:p w:rsidR="00000000" w:rsidRPr="00714786" w:rsidP="00714786">
            <w:pPr>
              <w:pStyle w:val="ListBullet2"/>
            </w:pPr>
            <w:r w:rsidRPr="00714786">
              <w:t>editorial and explanatory notes</w:t>
            </w:r>
          </w:p>
          <w:p w:rsidR="00000000" w:rsidRPr="00714786" w:rsidP="00714786">
            <w:pPr>
              <w:pStyle w:val="ListBullet2"/>
            </w:pPr>
            <w:r w:rsidRPr="00714786">
              <w:t>schedules</w:t>
            </w:r>
          </w:p>
          <w:p w:rsidR="00000000" w:rsidRPr="00714786" w:rsidP="00714786">
            <w:pPr>
              <w:pStyle w:val="ListBullet2"/>
            </w:pPr>
            <w:r w:rsidRPr="00714786">
              <w:t>statutory regulations</w:t>
            </w:r>
          </w:p>
          <w:p w:rsidR="00000000" w:rsidRPr="00714786" w:rsidP="00714786">
            <w:pPr>
              <w:pStyle w:val="ListBullet2"/>
            </w:pPr>
            <w:r w:rsidRPr="00714786">
              <w:t>amendment information</w:t>
            </w:r>
          </w:p>
          <w:p w:rsidR="00000000" w:rsidRPr="00714786" w:rsidP="00714786">
            <w:pPr>
              <w:pStyle w:val="ListBullet2"/>
            </w:pPr>
            <w:r w:rsidRPr="00714786">
              <w:t>amending Acts</w:t>
            </w:r>
          </w:p>
          <w:p w:rsidR="00000000" w:rsidRPr="00714786" w:rsidP="00714786">
            <w:pPr>
              <w:pStyle w:val="ListBullet2"/>
            </w:pPr>
            <w:r w:rsidRPr="00714786">
              <w:t>version or reprint number</w:t>
            </w:r>
          </w:p>
          <w:p w:rsidR="00000000" w:rsidP="00714786">
            <w:pPr>
              <w:pStyle w:val="ListBullet2"/>
              <w:rPr>
                <w:lang w:val="en-NZ"/>
              </w:rPr>
            </w:pPr>
            <w:r w:rsidRPr="00714786">
              <w:t>nexus</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Situations</w:t>
            </w:r>
            <w:r w:rsidRPr="0071478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assessment of applications for grants, subsidies or rebates</w:t>
            </w:r>
          </w:p>
          <w:p w:rsidR="00000000" w:rsidRPr="00714786" w:rsidP="00714786">
            <w:pPr>
              <w:pStyle w:val="ListBullet2"/>
            </w:pPr>
            <w:r w:rsidRPr="00714786">
              <w:t>assessment of tax liability</w:t>
            </w:r>
          </w:p>
          <w:p w:rsidR="00000000" w:rsidRPr="00714786" w:rsidP="00714786">
            <w:pPr>
              <w:pStyle w:val="ListBullet2"/>
            </w:pPr>
            <w:r w:rsidRPr="00714786">
              <w:t>issue and enforcement of fines</w:t>
            </w:r>
          </w:p>
          <w:p w:rsidR="00000000" w:rsidRPr="00714786" w:rsidP="00714786">
            <w:pPr>
              <w:pStyle w:val="ListBullet2"/>
            </w:pPr>
            <w:r w:rsidRPr="00714786">
              <w:t>legislative decision making</w:t>
            </w:r>
          </w:p>
          <w:p w:rsidR="00000000" w:rsidP="00714786">
            <w:pPr>
              <w:pStyle w:val="ListBullet2"/>
              <w:rPr>
                <w:lang w:val="en-NZ"/>
              </w:rPr>
            </w:pPr>
            <w:r w:rsidRPr="00714786">
              <w:t>providing customers with information and assistance</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Principal rules</w:t>
            </w:r>
            <w:r w:rsidRPr="0071478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literal</w:t>
            </w:r>
          </w:p>
          <w:p w:rsidR="00000000" w:rsidRPr="00714786" w:rsidP="00714786">
            <w:pPr>
              <w:pStyle w:val="ListBullet2"/>
            </w:pPr>
            <w:r w:rsidRPr="00714786">
              <w:t>golden</w:t>
            </w:r>
          </w:p>
          <w:p w:rsidR="00000000" w:rsidRPr="00714786" w:rsidP="00714786">
            <w:pPr>
              <w:pStyle w:val="ListBullet2"/>
            </w:pPr>
            <w:r w:rsidRPr="00714786">
              <w:t>mischief</w:t>
            </w:r>
          </w:p>
          <w:p w:rsidR="00000000" w:rsidP="00714786">
            <w:pPr>
              <w:pStyle w:val="ListBullet2"/>
              <w:rPr>
                <w:lang w:val="en-NZ"/>
              </w:rPr>
            </w:pPr>
            <w:r w:rsidRPr="00714786">
              <w:t>sp</w:t>
            </w:r>
            <w:r w:rsidRPr="00714786">
              <w:t>irit (intent) of the legislation</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Interpretation Act:</w:t>
            </w:r>
          </w:p>
        </w:tc>
        <w:tc>
          <w:tcPr>
            <w:tcW w:w="6662" w:type="dxa"/>
            <w:tcBorders>
              <w:top w:val="nil"/>
              <w:left w:val="nil"/>
              <w:bottom w:val="nil"/>
              <w:right w:val="nil"/>
            </w:tcBorders>
            <w:tcMar>
              <w:top w:w="0" w:type="dxa"/>
              <w:left w:w="62" w:type="dxa"/>
              <w:bottom w:w="0" w:type="dxa"/>
              <w:right w:w="62" w:type="dxa"/>
            </w:tcMar>
          </w:tcPr>
          <w:p w:rsidR="00000000" w:rsidP="00714786">
            <w:pPr>
              <w:pStyle w:val="ListBullet2"/>
              <w:rPr>
                <w:lang w:val="en-NZ"/>
              </w:rPr>
            </w:pPr>
            <w:r w:rsidRPr="00714786">
              <w:t>will be the relevant legislation in the applicant's jurisdiction and will be the Commonwealth Act or the state or territory Act</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Rulings</w:t>
            </w:r>
            <w:r w:rsidRPr="0071478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revenue rulings</w:t>
            </w:r>
          </w:p>
          <w:p w:rsidR="00000000" w:rsidRPr="00714786" w:rsidP="00714786">
            <w:pPr>
              <w:pStyle w:val="ListBullet2"/>
            </w:pPr>
            <w:r w:rsidRPr="00714786">
              <w:t>tax rulings</w:t>
            </w:r>
          </w:p>
          <w:p w:rsidR="00000000" w:rsidRPr="00714786" w:rsidP="00714786">
            <w:pPr>
              <w:pStyle w:val="ListBullet2"/>
            </w:pPr>
            <w:r w:rsidRPr="00714786">
              <w:t>public rulings</w:t>
            </w:r>
          </w:p>
          <w:p w:rsidR="00000000" w:rsidRPr="00714786" w:rsidP="00714786">
            <w:pPr>
              <w:pStyle w:val="ListBullet2"/>
            </w:pPr>
            <w:r w:rsidRPr="00714786">
              <w:t>circulars</w:t>
            </w:r>
          </w:p>
          <w:p w:rsidR="00000000" w:rsidP="00714786">
            <w:pPr>
              <w:pStyle w:val="ListBullet2"/>
              <w:rPr>
                <w:lang w:val="en-NZ"/>
              </w:rPr>
            </w:pPr>
            <w:r w:rsidRPr="00714786">
              <w:t>Commissioner's determinations</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Commissioner's practices</w:t>
            </w:r>
            <w:r w:rsidRPr="0071478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practices designated by Commissioner of Revenue or Australian Taxation Commissioner</w:t>
            </w:r>
          </w:p>
          <w:p w:rsidR="00000000" w:rsidRPr="00714786" w:rsidP="00714786">
            <w:pPr>
              <w:pStyle w:val="ListBullet2"/>
            </w:pPr>
            <w:r w:rsidRPr="00714786">
              <w:t>Commissioner's Guidelines and Circulars</w:t>
            </w:r>
          </w:p>
          <w:p w:rsidR="00000000" w:rsidRPr="00714786" w:rsidP="00714786">
            <w:pPr>
              <w:pStyle w:val="ListBullet2"/>
            </w:pPr>
            <w:r w:rsidRPr="00714786">
              <w:t>Practice Directions</w:t>
            </w:r>
          </w:p>
          <w:p w:rsidR="00000000" w:rsidRPr="00714786" w:rsidP="00714786">
            <w:pPr>
              <w:pStyle w:val="ListBullet2"/>
            </w:pPr>
            <w:r w:rsidRPr="00714786">
              <w:t>public guidelines</w:t>
            </w:r>
          </w:p>
          <w:p w:rsidR="00000000" w:rsidRPr="00714786" w:rsidP="00714786">
            <w:pPr>
              <w:pStyle w:val="ListBullet2"/>
            </w:pPr>
            <w:r w:rsidRPr="00714786">
              <w:t>public practices</w:t>
            </w:r>
          </w:p>
          <w:p w:rsidR="00000000" w:rsidRPr="00714786" w:rsidP="00714786">
            <w:pPr>
              <w:pStyle w:val="ListBullet2"/>
            </w:pPr>
            <w:r w:rsidRPr="00714786">
              <w:t>Treasurer's directions</w:t>
            </w:r>
          </w:p>
          <w:p w:rsidR="00000000" w:rsidRPr="00714786" w:rsidP="00714786">
            <w:pPr>
              <w:pStyle w:val="ListBullet2"/>
            </w:pPr>
            <w:r w:rsidRPr="00714786">
              <w:t>business rules</w:t>
            </w:r>
          </w:p>
          <w:p w:rsidR="00000000" w:rsidRPr="00714786" w:rsidP="00714786">
            <w:pPr>
              <w:pStyle w:val="ListBullet2"/>
            </w:pPr>
            <w:r w:rsidRPr="00714786">
              <w:t>circulars</w:t>
            </w:r>
          </w:p>
          <w:p w:rsidR="00000000" w:rsidRPr="00714786" w:rsidP="00714786">
            <w:pPr>
              <w:pStyle w:val="ListBullet2"/>
            </w:pPr>
            <w:r w:rsidRPr="00714786">
              <w:t>operating policies</w:t>
            </w:r>
          </w:p>
          <w:p w:rsidR="00000000" w:rsidP="00714786">
            <w:pPr>
              <w:pStyle w:val="ListBullet2"/>
              <w:rPr>
                <w:lang w:val="en-NZ"/>
              </w:rPr>
            </w:pPr>
            <w:r w:rsidRPr="00714786">
              <w:t>technical and procedural instructions</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Explanatory statements</w:t>
            </w:r>
            <w:r w:rsidRPr="0071478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explanatory memoranda</w:t>
            </w:r>
          </w:p>
          <w:p w:rsidR="00000000" w:rsidRPr="00714786" w:rsidP="00714786">
            <w:pPr>
              <w:pStyle w:val="ListBullet2"/>
            </w:pPr>
            <w:r w:rsidRPr="00714786">
              <w:t>clause notes</w:t>
            </w:r>
          </w:p>
          <w:p w:rsidR="00000000" w:rsidP="00714786">
            <w:pPr>
              <w:pStyle w:val="ListBullet2"/>
              <w:rPr>
                <w:lang w:val="en-NZ"/>
              </w:rPr>
            </w:pPr>
            <w:r w:rsidRPr="00714786">
              <w:t>explanatory notes</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Extraneous materials</w:t>
            </w:r>
            <w:r w:rsidRPr="0071478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rulings</w:t>
            </w:r>
          </w:p>
          <w:p w:rsidR="00000000" w:rsidRPr="00714786" w:rsidP="00714786">
            <w:pPr>
              <w:pStyle w:val="ListBullet2"/>
            </w:pPr>
            <w:r w:rsidRPr="00714786">
              <w:t>published practices</w:t>
            </w:r>
          </w:p>
          <w:p w:rsidR="00000000" w:rsidRPr="00714786" w:rsidP="00714786">
            <w:pPr>
              <w:pStyle w:val="ListBullet2"/>
            </w:pPr>
            <w:r w:rsidRPr="00714786">
              <w:t>circulars</w:t>
            </w:r>
          </w:p>
          <w:p w:rsidR="00000000" w:rsidRPr="00714786" w:rsidP="00714786">
            <w:pPr>
              <w:pStyle w:val="ListBullet2"/>
            </w:pPr>
            <w:r w:rsidRPr="00714786">
              <w:t>revenue circulars</w:t>
            </w:r>
          </w:p>
          <w:p w:rsidR="00000000" w:rsidRPr="00714786" w:rsidP="00714786">
            <w:pPr>
              <w:pStyle w:val="ListBullet2"/>
            </w:pPr>
            <w:r w:rsidRPr="00714786">
              <w:t>public rulings</w:t>
            </w:r>
          </w:p>
          <w:p w:rsidR="00000000" w:rsidRPr="00714786" w:rsidP="00714786">
            <w:pPr>
              <w:pStyle w:val="ListBullet2"/>
            </w:pPr>
            <w:r w:rsidRPr="00714786">
              <w:t>case transcripts</w:t>
            </w:r>
          </w:p>
          <w:p w:rsidR="00000000" w:rsidRPr="00714786" w:rsidP="00714786">
            <w:pPr>
              <w:pStyle w:val="ListBullet2"/>
            </w:pPr>
            <w:r w:rsidRPr="00714786">
              <w:t>regulations</w:t>
            </w:r>
          </w:p>
          <w:p w:rsidR="00000000" w:rsidRPr="00714786" w:rsidP="00714786">
            <w:pPr>
              <w:pStyle w:val="ListBullet2"/>
            </w:pPr>
            <w:r w:rsidRPr="00714786">
              <w:t>precedent databases</w:t>
            </w:r>
          </w:p>
          <w:p w:rsidR="00000000" w:rsidRPr="00714786" w:rsidP="00714786">
            <w:pPr>
              <w:pStyle w:val="ListBullet2"/>
            </w:pPr>
            <w:r w:rsidRPr="00714786">
              <w:t>technical and procedural instructions</w:t>
            </w:r>
          </w:p>
          <w:p w:rsidR="00000000" w:rsidRPr="00714786" w:rsidP="00714786">
            <w:pPr>
              <w:pStyle w:val="ListBullet2"/>
            </w:pPr>
            <w:r w:rsidRPr="00714786">
              <w:t>operating policies and procedures</w:t>
            </w:r>
          </w:p>
          <w:p w:rsidR="00000000" w:rsidRPr="00714786" w:rsidP="00714786">
            <w:pPr>
              <w:pStyle w:val="ListBullet2"/>
            </w:pPr>
            <w:r w:rsidRPr="00714786">
              <w:t>internal procedures</w:t>
            </w:r>
          </w:p>
          <w:p w:rsidR="00000000" w:rsidRPr="00714786" w:rsidP="00714786">
            <w:pPr>
              <w:pStyle w:val="ListBullet2"/>
            </w:pPr>
            <w:r w:rsidRPr="00714786">
              <w:t>forms and brochures</w:t>
            </w:r>
          </w:p>
          <w:p w:rsidR="00000000" w:rsidRPr="00714786" w:rsidP="00714786">
            <w:pPr>
              <w:pStyle w:val="ListBullet2"/>
            </w:pPr>
            <w:r w:rsidRPr="00714786">
              <w:t>fact sheets</w:t>
            </w:r>
          </w:p>
          <w:p w:rsidR="00000000" w:rsidRPr="00714786" w:rsidP="00714786">
            <w:pPr>
              <w:pStyle w:val="ListBullet2"/>
            </w:pPr>
            <w:r w:rsidRPr="00714786">
              <w:t>organisational aler</w:t>
            </w:r>
            <w:r w:rsidRPr="00714786">
              <w:t>ts</w:t>
            </w:r>
          </w:p>
          <w:p w:rsidR="00000000" w:rsidRPr="00714786" w:rsidP="00714786">
            <w:pPr>
              <w:pStyle w:val="ListBullet2"/>
            </w:pPr>
            <w:r w:rsidRPr="00714786">
              <w:t>training materials</w:t>
            </w:r>
          </w:p>
          <w:p w:rsidR="00000000" w:rsidRPr="00714786" w:rsidP="00714786">
            <w:pPr>
              <w:pStyle w:val="ListBullet2"/>
            </w:pPr>
            <w:r w:rsidRPr="00714786">
              <w:t>readings in Parliament</w:t>
            </w:r>
          </w:p>
          <w:p w:rsidR="00000000" w:rsidRPr="00714786" w:rsidP="00714786">
            <w:pPr>
              <w:pStyle w:val="ListBullet2"/>
            </w:pPr>
            <w:r w:rsidRPr="00714786">
              <w:t>subordinate legislation</w:t>
            </w:r>
          </w:p>
          <w:p w:rsidR="00000000" w:rsidRPr="00714786" w:rsidP="00714786">
            <w:pPr>
              <w:pStyle w:val="ListBullet2"/>
            </w:pPr>
            <w:r w:rsidRPr="00714786">
              <w:t>disallowable and notifiable instruments</w:t>
            </w:r>
          </w:p>
          <w:p w:rsidR="00000000" w:rsidRPr="00714786" w:rsidP="00714786">
            <w:pPr>
              <w:pStyle w:val="ListBullet2"/>
            </w:pPr>
            <w:r w:rsidRPr="00714786">
              <w:t>legislation register</w:t>
            </w:r>
          </w:p>
          <w:p w:rsidR="00000000" w:rsidP="00714786">
            <w:pPr>
              <w:pStyle w:val="ListBullet2"/>
              <w:rPr>
                <w:lang w:val="en-NZ"/>
              </w:rPr>
            </w:pPr>
            <w:r w:rsidRPr="00714786">
              <w:t>other relevant legislation</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Commonly accepted practices</w:t>
            </w:r>
            <w:r w:rsidRPr="00714786">
              <w:t xml:space="preserve"> use: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consecutive numbering for sections of an Act - no brackets</w:t>
            </w:r>
          </w:p>
          <w:p w:rsidR="00000000" w:rsidRPr="00714786" w:rsidP="00714786">
            <w:pPr>
              <w:pStyle w:val="ListBullet2"/>
            </w:pPr>
            <w:r w:rsidRPr="00714786">
              <w:t>consecutive numbering in brackets for subsections</w:t>
            </w:r>
          </w:p>
          <w:p w:rsidR="00000000" w:rsidRPr="00714786" w:rsidP="00714786">
            <w:pPr>
              <w:pStyle w:val="ListBullet2"/>
            </w:pPr>
            <w:r w:rsidRPr="00714786">
              <w:t>lower case alphabetical order in brackets for paragraphs</w:t>
            </w:r>
          </w:p>
          <w:p w:rsidR="00000000" w:rsidP="00714786">
            <w:pPr>
              <w:pStyle w:val="ListBullet2"/>
              <w:rPr>
                <w:lang w:val="en-NZ"/>
              </w:rPr>
            </w:pPr>
            <w:r w:rsidRPr="00714786">
              <w:t>consecutive numbering using lower case Roman numerals in brackets for subparagraphs</w:t>
            </w:r>
          </w:p>
        </w:tc>
      </w:tr>
      <w:tr w:rsidTr="004B0CF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14786">
            <w:pPr>
              <w:pStyle w:val="BodyText"/>
              <w:rPr>
                <w:lang w:val="en-NZ"/>
              </w:rPr>
            </w:pPr>
            <w:r w:rsidRPr="00714786">
              <w:rPr>
                <w:rStyle w:val="BoldandItalics"/>
              </w:rPr>
              <w:t>Abbreviations</w:t>
            </w:r>
            <w:r w:rsidRPr="0071478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14786" w:rsidP="00714786">
            <w:pPr>
              <w:pStyle w:val="ListBullet2"/>
            </w:pPr>
            <w:r w:rsidRPr="00714786">
              <w:t>sec., s. and s for section</w:t>
            </w:r>
          </w:p>
          <w:p w:rsidR="00000000" w:rsidRPr="00714786" w:rsidP="00714786">
            <w:pPr>
              <w:pStyle w:val="ListBullet2"/>
            </w:pPr>
            <w:r w:rsidRPr="00714786">
              <w:t xml:space="preserve">subsec., </w:t>
            </w:r>
            <w:r w:rsidRPr="00714786">
              <w:t>ss. and ss for subsection</w:t>
            </w:r>
          </w:p>
          <w:p w:rsidR="00000000" w:rsidRPr="00714786" w:rsidP="00714786">
            <w:pPr>
              <w:pStyle w:val="ListBullet2"/>
            </w:pPr>
            <w:r w:rsidRPr="00714786">
              <w:t>para for paragraph</w:t>
            </w:r>
          </w:p>
        </w:tc>
      </w:tr>
    </w:tbl>
    <w:p w:rsidR="004B0CFD" w:rsidP="00714786">
      <w:pPr>
        <w:pStyle w:val="BodyText"/>
      </w:pPr>
    </w:p>
    <w:p w:rsidR="004B0CFD" w:rsidP="00714786">
      <w:pPr>
        <w:pStyle w:val="BodyText"/>
      </w:pPr>
    </w:p>
    <w:p w:rsidR="00000000" w:rsidRPr="00714786" w:rsidP="00714786">
      <w:pPr>
        <w:pStyle w:val="Heading1"/>
      </w:pPr>
      <w:bookmarkStart w:id="12" w:name="O_499092"/>
      <w:bookmarkEnd w:id="12"/>
      <w:r w:rsidRPr="00714786">
        <w:t>Unit Sector(s)</w:t>
      </w:r>
    </w:p>
    <w:p w:rsidR="00000000" w:rsidRPr="00714786" w:rsidP="00714786">
      <w:pPr>
        <w:pStyle w:val="BodyText"/>
      </w:pPr>
      <w:r w:rsidRPr="00714786">
        <w:t>Not applicable.</w:t>
      </w:r>
    </w:p>
    <w:p w:rsidR="00000000" w:rsidRPr="00714786" w:rsidP="00714786">
      <w:pPr>
        <w:pStyle w:val="AllowPageBreak"/>
      </w:pPr>
    </w:p>
    <w:p w:rsidR="00000000" w:rsidRPr="00714786" w:rsidP="00714786">
      <w:pPr>
        <w:pStyle w:val="Heading1"/>
      </w:pPr>
      <w:bookmarkStart w:id="13" w:name="O_499098"/>
      <w:bookmarkEnd w:id="13"/>
      <w:r w:rsidRPr="00714786">
        <w:t>Competency field</w:t>
      </w:r>
    </w:p>
    <w:p w:rsidR="00000000" w:rsidRPr="00714786" w:rsidP="00714786">
      <w:pPr>
        <w:pStyle w:val="BodyText"/>
      </w:pPr>
      <w:r w:rsidRPr="00714786">
        <w:t>Revenue Administration.</w:t>
      </w:r>
    </w:p>
    <w:p w:rsidR="00000000" w:rsidRPr="00714786" w:rsidP="00714786"/>
    <w:sectPr w:rsidSect="00714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CFD" w:rsidP="004B0C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FD" w:rsidP="007147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0CFD" w:rsidP="007147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B0CFD" w:rsidP="007147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86" w:rsidRPr="004B0CFD" w:rsidP="004B0C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FD" w:rsidRPr="002D2AF8" w:rsidP="00714786">
    <w:pPr>
      <w:pStyle w:val="Header"/>
      <w:framePr w:wrap="around"/>
    </w:pPr>
    <w:r>
      <w:fldChar w:fldCharType="begin"/>
    </w:r>
    <w:r>
      <w:instrText xml:space="preserve"> TITLE   \* MERGEFORMAT </w:instrText>
    </w:r>
    <w:r>
      <w:fldChar w:fldCharType="separate"/>
    </w:r>
    <w:r>
      <w:t>PSPREV401A Identify and apply statute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B0CFD" w:rsidP="00714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8E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F00F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786"/>
    <w:pPr>
      <w:spacing w:before="360" w:after="60"/>
      <w:outlineLvl w:val="0"/>
    </w:pPr>
    <w:rPr>
      <w:sz w:val="32"/>
    </w:rPr>
  </w:style>
  <w:style w:type="paragraph" w:styleId="Heading2">
    <w:name w:val="heading 2"/>
    <w:basedOn w:val="HeadingBase"/>
    <w:next w:val="BodyText"/>
    <w:link w:val="Heading2Char"/>
    <w:qFormat/>
    <w:rsid w:val="00714786"/>
    <w:pPr>
      <w:keepLines/>
      <w:spacing w:before="240" w:after="120"/>
      <w:outlineLvl w:val="1"/>
    </w:pPr>
    <w:rPr>
      <w:sz w:val="28"/>
      <w:szCs w:val="40"/>
    </w:rPr>
  </w:style>
  <w:style w:type="paragraph" w:styleId="Heading3">
    <w:name w:val="heading 3"/>
    <w:basedOn w:val="HeadingBase"/>
    <w:next w:val="BodyText"/>
    <w:link w:val="Heading3Char"/>
    <w:qFormat/>
    <w:rsid w:val="00714786"/>
    <w:pPr>
      <w:spacing w:before="180" w:after="120"/>
      <w:outlineLvl w:val="2"/>
    </w:pPr>
    <w:rPr>
      <w:spacing w:val="-10"/>
      <w:kern w:val="32"/>
    </w:rPr>
  </w:style>
  <w:style w:type="paragraph" w:styleId="Heading4">
    <w:name w:val="heading 4"/>
    <w:basedOn w:val="HeadingBase"/>
    <w:next w:val="BodyText"/>
    <w:link w:val="Heading4Char"/>
    <w:qFormat/>
    <w:rsid w:val="00714786"/>
    <w:pPr>
      <w:spacing w:before="160" w:after="120"/>
      <w:outlineLvl w:val="3"/>
    </w:pPr>
    <w:rPr>
      <w:sz w:val="22"/>
    </w:rPr>
  </w:style>
  <w:style w:type="paragraph" w:styleId="Heading5">
    <w:name w:val="heading 5"/>
    <w:basedOn w:val="HeadingBase"/>
    <w:next w:val="Normal"/>
    <w:link w:val="Heading5Char"/>
    <w:qFormat/>
    <w:rsid w:val="00714786"/>
    <w:pPr>
      <w:spacing w:before="80"/>
      <w:outlineLvl w:val="4"/>
    </w:pPr>
    <w:rPr>
      <w:color w:val="918585"/>
      <w:sz w:val="20"/>
    </w:rPr>
  </w:style>
  <w:style w:type="paragraph" w:styleId="Heading6">
    <w:name w:val="heading 6"/>
    <w:basedOn w:val="HeadingBase"/>
    <w:next w:val="Normal"/>
    <w:link w:val="Heading6Char"/>
    <w:qFormat/>
    <w:rsid w:val="00714786"/>
    <w:pPr>
      <w:spacing w:before="60"/>
      <w:outlineLvl w:val="5"/>
    </w:pPr>
    <w:rPr>
      <w:color w:val="918585"/>
      <w:sz w:val="20"/>
    </w:rPr>
  </w:style>
  <w:style w:type="paragraph" w:styleId="Heading7">
    <w:name w:val="heading 7"/>
    <w:basedOn w:val="Normal"/>
    <w:next w:val="Normal"/>
    <w:link w:val="Heading7Char"/>
    <w:qFormat/>
    <w:rsid w:val="00714786"/>
    <w:pPr>
      <w:ind w:left="720"/>
      <w:outlineLvl w:val="6"/>
    </w:pPr>
    <w:rPr>
      <w:i/>
    </w:rPr>
  </w:style>
  <w:style w:type="paragraph" w:styleId="Heading8">
    <w:name w:val="heading 8"/>
    <w:basedOn w:val="Normal"/>
    <w:next w:val="Normal"/>
    <w:link w:val="Heading8Char"/>
    <w:qFormat/>
    <w:rsid w:val="00714786"/>
    <w:pPr>
      <w:ind w:left="720"/>
      <w:outlineLvl w:val="7"/>
    </w:pPr>
    <w:rPr>
      <w:i/>
    </w:rPr>
  </w:style>
  <w:style w:type="paragraph" w:styleId="Heading9">
    <w:name w:val="heading 9"/>
    <w:basedOn w:val="Normal"/>
    <w:next w:val="Normal"/>
    <w:link w:val="Heading9Char"/>
    <w:qFormat/>
    <w:rsid w:val="00714786"/>
    <w:pPr>
      <w:ind w:left="720"/>
      <w:outlineLvl w:val="8"/>
    </w:pPr>
    <w:rPr>
      <w:i/>
    </w:rPr>
  </w:style>
  <w:style w:type="character" w:default="1" w:styleId="DefaultParagraphFont">
    <w:name w:val="Default Paragraph Font"/>
    <w:uiPriority w:val="1"/>
    <w:unhideWhenUsed/>
    <w:rsid w:val="00714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786"/>
  </w:style>
  <w:style w:type="character" w:customStyle="1" w:styleId="Heading1Char">
    <w:name w:val="Heading 1 Char"/>
    <w:basedOn w:val="DefaultParagraphFont"/>
    <w:link w:val="Heading1"/>
    <w:rsid w:val="00714786"/>
    <w:rPr>
      <w:rFonts w:ascii="Times New Roman" w:eastAsia="Times New Roman" w:hAnsi="Times New Roman" w:cs="Times New Roman"/>
      <w:b/>
      <w:sz w:val="32"/>
      <w:szCs w:val="20"/>
      <w:lang w:eastAsia="en-US"/>
    </w:rPr>
  </w:style>
  <w:style w:type="paragraph" w:styleId="BodyText">
    <w:name w:val="Body Text"/>
    <w:basedOn w:val="Normal"/>
    <w:link w:val="BodyTextChar"/>
    <w:rsid w:val="007147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786"/>
    <w:rPr>
      <w:rFonts w:ascii="Times New Roman" w:eastAsia="Times New Roman" w:hAnsi="Times New Roman" w:cs="Times New Roman"/>
      <w:sz w:val="24"/>
      <w:lang w:eastAsia="en-US"/>
    </w:rPr>
  </w:style>
  <w:style w:type="paragraph" w:styleId="Footer">
    <w:name w:val="footer"/>
    <w:basedOn w:val="Normal"/>
    <w:link w:val="FooterChar"/>
    <w:rsid w:val="00714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786"/>
    <w:rPr>
      <w:rFonts w:ascii="Times New Roman" w:eastAsia="Times New Roman" w:hAnsi="Times New Roman" w:cs="Times New Roman"/>
      <w:sz w:val="16"/>
      <w:lang w:eastAsia="en-US"/>
    </w:rPr>
  </w:style>
  <w:style w:type="paragraph" w:styleId="List">
    <w:name w:val="List"/>
    <w:basedOn w:val="BodyText"/>
    <w:next w:val="BodyText"/>
    <w:rsid w:val="00714786"/>
    <w:pPr>
      <w:tabs>
        <w:tab w:val="left" w:pos="340"/>
      </w:tabs>
      <w:spacing w:before="60" w:after="60"/>
      <w:ind w:left="340" w:hanging="340"/>
    </w:pPr>
  </w:style>
  <w:style w:type="character" w:customStyle="1" w:styleId="SpecialBold">
    <w:name w:val="Special Bold"/>
    <w:basedOn w:val="DefaultParagraphFont"/>
    <w:rsid w:val="00714786"/>
    <w:rPr>
      <w:b/>
      <w:spacing w:val="0"/>
    </w:rPr>
  </w:style>
  <w:style w:type="paragraph" w:styleId="ListBullet2">
    <w:name w:val="List Bullet 2"/>
    <w:basedOn w:val="List2"/>
    <w:rsid w:val="00714786"/>
    <w:pPr>
      <w:numPr>
        <w:numId w:val="13"/>
      </w:numPr>
      <w:tabs>
        <w:tab w:val="clear" w:pos="680"/>
      </w:tabs>
    </w:pPr>
  </w:style>
  <w:style w:type="character" w:styleId="Emphasis">
    <w:name w:val="Emphasis"/>
    <w:basedOn w:val="DefaultParagraphFont"/>
    <w:qFormat/>
    <w:rsid w:val="00714786"/>
    <w:rPr>
      <w:i/>
    </w:rPr>
  </w:style>
  <w:style w:type="paragraph" w:customStyle="1" w:styleId="SuperHeading">
    <w:name w:val="SuperHeading"/>
    <w:basedOn w:val="Normal"/>
    <w:rsid w:val="00714786"/>
    <w:pPr>
      <w:spacing w:before="240" w:after="120"/>
      <w:outlineLvl w:val="0"/>
    </w:pPr>
    <w:rPr>
      <w:rFonts w:ascii="Times New Roman" w:hAnsi="Times New Roman"/>
      <w:b/>
      <w:sz w:val="28"/>
    </w:rPr>
  </w:style>
  <w:style w:type="paragraph" w:customStyle="1" w:styleId="AllowPageBreak">
    <w:name w:val="AllowPageBreak"/>
    <w:rsid w:val="00714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4786"/>
    <w:rPr>
      <w:b/>
      <w:i/>
      <w:u w:val="none"/>
    </w:rPr>
  </w:style>
  <w:style w:type="character" w:customStyle="1" w:styleId="Heading2Char">
    <w:name w:val="Heading 2 Char"/>
    <w:basedOn w:val="DefaultParagraphFont"/>
    <w:link w:val="Heading2"/>
    <w:rsid w:val="00714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786"/>
    <w:rPr>
      <w:rFonts w:ascii="Courier New" w:eastAsia="Times New Roman" w:hAnsi="Courier New" w:cs="Times New Roman"/>
      <w:i/>
      <w:szCs w:val="20"/>
      <w:lang w:eastAsia="en-US"/>
    </w:rPr>
  </w:style>
  <w:style w:type="paragraph" w:customStyle="1" w:styleId="HeadingBase">
    <w:name w:val="Heading Base"/>
    <w:rsid w:val="00714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786"/>
    <w:pPr>
      <w:tabs>
        <w:tab w:val="right" w:leader="dot" w:pos="9072"/>
      </w:tabs>
      <w:ind w:left="567"/>
    </w:pPr>
    <w:rPr>
      <w:szCs w:val="22"/>
    </w:rPr>
  </w:style>
  <w:style w:type="paragraph" w:customStyle="1" w:styleId="TOCBase">
    <w:name w:val="TOC Base"/>
    <w:rsid w:val="00714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786"/>
    <w:pPr>
      <w:tabs>
        <w:tab w:val="right" w:leader="dot" w:pos="9072"/>
      </w:tabs>
      <w:spacing w:before="40" w:after="40"/>
      <w:ind w:left="284"/>
    </w:pPr>
    <w:rPr>
      <w:rFonts w:ascii="Times New Roman" w:hAnsi="Times New Roman"/>
    </w:rPr>
  </w:style>
  <w:style w:type="paragraph" w:styleId="TOC1">
    <w:name w:val="toc 1"/>
    <w:basedOn w:val="TOCBase"/>
    <w:next w:val="Normal"/>
    <w:rsid w:val="007147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786"/>
    <w:pPr>
      <w:spacing w:before="5040"/>
      <w:jc w:val="center"/>
    </w:pPr>
    <w:rPr>
      <w:sz w:val="48"/>
      <w:szCs w:val="72"/>
      <w:lang w:val="en-US"/>
    </w:rPr>
  </w:style>
  <w:style w:type="character" w:customStyle="1" w:styleId="TitleChar">
    <w:name w:val="Title Char"/>
    <w:basedOn w:val="DefaultParagraphFont"/>
    <w:link w:val="Title"/>
    <w:rsid w:val="00714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786"/>
    <w:pPr>
      <w:tabs>
        <w:tab w:val="left" w:pos="3600"/>
        <w:tab w:val="left" w:pos="3958"/>
      </w:tabs>
    </w:pPr>
  </w:style>
  <w:style w:type="paragraph" w:styleId="ListBullet">
    <w:name w:val="List Bullet"/>
    <w:basedOn w:val="List"/>
    <w:rsid w:val="00714786"/>
    <w:pPr>
      <w:numPr>
        <w:numId w:val="12"/>
      </w:numPr>
      <w:tabs>
        <w:tab w:val="clear" w:pos="340"/>
      </w:tabs>
      <w:spacing w:before="40" w:after="40"/>
    </w:pPr>
  </w:style>
  <w:style w:type="paragraph" w:customStyle="1" w:styleId="Note">
    <w:name w:val="Note"/>
    <w:basedOn w:val="BodyText"/>
    <w:rsid w:val="00714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786"/>
    <w:pPr>
      <w:framePr w:wrap="auto" w:hAnchor="text" w:y="6049"/>
    </w:pPr>
    <w:rPr>
      <w:color w:val="000000"/>
      <w:sz w:val="40"/>
    </w:rPr>
  </w:style>
  <w:style w:type="paragraph" w:customStyle="1" w:styleId="TOCTitle">
    <w:name w:val="TOCTitle"/>
    <w:basedOn w:val="Heading1"/>
    <w:rsid w:val="00714786"/>
    <w:pPr>
      <w:spacing w:after="240"/>
      <w:jc w:val="center"/>
      <w:outlineLvl w:val="9"/>
    </w:pPr>
    <w:rPr>
      <w:caps/>
    </w:rPr>
  </w:style>
  <w:style w:type="paragraph" w:customStyle="1" w:styleId="Version">
    <w:name w:val="Version"/>
    <w:rsid w:val="00714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786"/>
    <w:pPr>
      <w:keepNext w:val="0"/>
      <w:tabs>
        <w:tab w:val="right" w:pos="4176"/>
      </w:tabs>
      <w:ind w:left="198" w:hanging="198"/>
    </w:pPr>
    <w:rPr>
      <w:rFonts w:ascii="Garamond" w:hAnsi="Garamond"/>
    </w:rPr>
  </w:style>
  <w:style w:type="paragraph" w:styleId="IndexHeading">
    <w:name w:val="index heading"/>
    <w:basedOn w:val="Normal"/>
    <w:next w:val="Index1"/>
    <w:semiHidden/>
    <w:rsid w:val="00714786"/>
    <w:pPr>
      <w:spacing w:before="120" w:after="120"/>
    </w:pPr>
    <w:rPr>
      <w:rFonts w:ascii="Arial" w:hAnsi="Arial"/>
      <w:b/>
      <w:color w:val="918585"/>
      <w:sz w:val="24"/>
    </w:rPr>
  </w:style>
  <w:style w:type="paragraph" w:styleId="Header">
    <w:name w:val="header"/>
    <w:basedOn w:val="Normal"/>
    <w:link w:val="HeaderChar"/>
    <w:rsid w:val="00714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786"/>
    <w:rPr>
      <w:rFonts w:ascii="Times New Roman" w:eastAsia="Times New Roman" w:hAnsi="Times New Roman" w:cs="Times New Roman"/>
      <w:sz w:val="16"/>
      <w:szCs w:val="20"/>
      <w:lang w:val="en-GB" w:eastAsia="en-US"/>
    </w:rPr>
  </w:style>
  <w:style w:type="paragraph" w:customStyle="1" w:styleId="Chapter">
    <w:name w:val="Chapter"/>
    <w:basedOn w:val="Normal"/>
    <w:rsid w:val="00714786"/>
    <w:pPr>
      <w:spacing w:before="240"/>
    </w:pPr>
    <w:rPr>
      <w:rFonts w:ascii="Times New Roman" w:hAnsi="Times New Roman"/>
      <w:smallCaps/>
      <w:spacing w:val="80"/>
      <w:sz w:val="28"/>
    </w:rPr>
  </w:style>
  <w:style w:type="paragraph" w:customStyle="1" w:styleId="InChapter">
    <w:name w:val="InChapter"/>
    <w:basedOn w:val="Heading3"/>
    <w:rsid w:val="00714786"/>
    <w:pPr>
      <w:spacing w:after="240"/>
      <w:outlineLvl w:val="9"/>
    </w:pPr>
    <w:rPr>
      <w:noProof/>
    </w:rPr>
  </w:style>
  <w:style w:type="paragraph" w:styleId="Index2">
    <w:name w:val="index 2"/>
    <w:basedOn w:val="Normal"/>
    <w:next w:val="Normal"/>
    <w:semiHidden/>
    <w:rsid w:val="00714786"/>
    <w:pPr>
      <w:tabs>
        <w:tab w:val="right" w:pos="4176"/>
      </w:tabs>
      <w:ind w:left="568" w:hanging="284"/>
    </w:pPr>
    <w:rPr>
      <w:rFonts w:ascii="Garamond" w:hAnsi="Garamond"/>
    </w:rPr>
  </w:style>
  <w:style w:type="paragraph" w:customStyle="1" w:styleId="Byline">
    <w:name w:val="Byline"/>
    <w:rsid w:val="00714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786"/>
    <w:pPr>
      <w:tabs>
        <w:tab w:val="clear" w:pos="3600"/>
        <w:tab w:val="clear" w:pos="3958"/>
      </w:tabs>
      <w:jc w:val="right"/>
    </w:pPr>
  </w:style>
  <w:style w:type="paragraph" w:styleId="Caption">
    <w:name w:val="caption"/>
    <w:basedOn w:val="BodyText"/>
    <w:next w:val="Normal"/>
    <w:qFormat/>
    <w:rsid w:val="00714786"/>
    <w:pPr>
      <w:framePr w:w="2268" w:hSpace="181" w:vSpace="181" w:wrap="around" w:vAnchor="text" w:hAnchor="page" w:x="1135" w:y="285" w:anchorLock="1"/>
    </w:pPr>
    <w:rPr>
      <w:i/>
    </w:rPr>
  </w:style>
  <w:style w:type="paragraph" w:customStyle="1" w:styleId="MiniTOCTitle">
    <w:name w:val="MiniTOCTitle"/>
    <w:basedOn w:val="Heading4"/>
    <w:rsid w:val="00714786"/>
    <w:pPr>
      <w:spacing w:before="240"/>
      <w:outlineLvl w:val="9"/>
    </w:pPr>
    <w:rPr>
      <w:noProof/>
      <w:sz w:val="24"/>
    </w:rPr>
  </w:style>
  <w:style w:type="paragraph" w:customStyle="1" w:styleId="MiniTOCItem">
    <w:name w:val="MiniTOCItem"/>
    <w:basedOn w:val="ListBullet"/>
    <w:rsid w:val="00714786"/>
    <w:pPr>
      <w:numPr>
        <w:numId w:val="0"/>
      </w:numPr>
      <w:tabs>
        <w:tab w:val="right" w:leader="dot" w:pos="6521"/>
      </w:tabs>
      <w:spacing w:before="0" w:after="0"/>
    </w:pPr>
  </w:style>
  <w:style w:type="paragraph" w:customStyle="1" w:styleId="TOFTitle">
    <w:name w:val="TOFTitle"/>
    <w:basedOn w:val="TOCTitle"/>
    <w:rsid w:val="00714786"/>
  </w:style>
  <w:style w:type="paragraph" w:styleId="TableofFigures">
    <w:name w:val="table of figures"/>
    <w:basedOn w:val="Normal"/>
    <w:next w:val="Normal"/>
    <w:semiHidden/>
    <w:rsid w:val="00714786"/>
    <w:pPr>
      <w:tabs>
        <w:tab w:val="right" w:leader="dot" w:pos="9072"/>
      </w:tabs>
      <w:ind w:left="970" w:hanging="403"/>
    </w:pPr>
    <w:rPr>
      <w:rFonts w:ascii="Times New Roman" w:hAnsi="Times New Roman"/>
      <w:b/>
    </w:rPr>
  </w:style>
  <w:style w:type="paragraph" w:styleId="ListNumber">
    <w:name w:val="List Number"/>
    <w:basedOn w:val="List"/>
    <w:rsid w:val="00714786"/>
    <w:pPr>
      <w:numPr>
        <w:numId w:val="10"/>
      </w:numPr>
    </w:pPr>
  </w:style>
  <w:style w:type="character" w:customStyle="1" w:styleId="WingdingSymbols">
    <w:name w:val="Wingding Symbols"/>
    <w:rsid w:val="00714786"/>
    <w:rPr>
      <w:rFonts w:ascii="Wingdings" w:hAnsi="Wingdings"/>
    </w:rPr>
  </w:style>
  <w:style w:type="paragraph" w:customStyle="1" w:styleId="TableHeading">
    <w:name w:val="Table Heading"/>
    <w:basedOn w:val="HeadingBase"/>
    <w:rsid w:val="00714786"/>
    <w:pPr>
      <w:keepLines/>
      <w:pBdr>
        <w:bottom w:val="single" w:sz="6" w:space="1" w:color="918585"/>
      </w:pBdr>
      <w:spacing w:before="240"/>
    </w:pPr>
  </w:style>
  <w:style w:type="character" w:customStyle="1" w:styleId="HotSpot">
    <w:name w:val="HotSpot"/>
    <w:rsid w:val="00714786"/>
    <w:rPr>
      <w:color w:val="0033CC"/>
      <w:u w:val="none"/>
    </w:rPr>
  </w:style>
  <w:style w:type="paragraph" w:customStyle="1" w:styleId="BodyTextRight">
    <w:name w:val="Body Text Right"/>
    <w:basedOn w:val="BodyText"/>
    <w:rsid w:val="00714786"/>
    <w:pPr>
      <w:spacing w:before="0" w:after="0"/>
      <w:jc w:val="right"/>
    </w:pPr>
  </w:style>
  <w:style w:type="paragraph" w:styleId="Index3">
    <w:name w:val="index 3"/>
    <w:basedOn w:val="ListNumber2"/>
    <w:next w:val="Normal"/>
    <w:semiHidden/>
    <w:rsid w:val="00714786"/>
    <w:pPr>
      <w:numPr>
        <w:numId w:val="0"/>
      </w:numPr>
      <w:tabs>
        <w:tab w:val="right" w:leader="dot" w:pos="4176"/>
      </w:tabs>
    </w:pPr>
  </w:style>
  <w:style w:type="paragraph" w:styleId="ListNumber2">
    <w:name w:val="List Number 2"/>
    <w:basedOn w:val="List2"/>
    <w:rsid w:val="00714786"/>
    <w:pPr>
      <w:numPr>
        <w:numId w:val="9"/>
      </w:numPr>
      <w:tabs>
        <w:tab w:val="clear" w:pos="1060"/>
      </w:tabs>
    </w:pPr>
  </w:style>
  <w:style w:type="paragraph" w:customStyle="1" w:styleId="MarginNote">
    <w:name w:val="Margin Note"/>
    <w:basedOn w:val="BodyText"/>
    <w:rsid w:val="00714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786"/>
    <w:rPr>
      <w:sz w:val="32"/>
    </w:rPr>
  </w:style>
  <w:style w:type="paragraph" w:customStyle="1" w:styleId="HeadingProcedure">
    <w:name w:val="Heading Procedure"/>
    <w:basedOn w:val="HeadingBase"/>
    <w:next w:val="Normal"/>
    <w:rsid w:val="00714786"/>
    <w:pPr>
      <w:tabs>
        <w:tab w:val="left" w:pos="0"/>
      </w:tabs>
      <w:spacing w:before="120" w:after="60"/>
    </w:pPr>
    <w:rPr>
      <w:i/>
      <w:color w:val="918585"/>
      <w:sz w:val="22"/>
    </w:rPr>
  </w:style>
  <w:style w:type="paragraph" w:customStyle="1" w:styleId="TableBodyText">
    <w:name w:val="Table Body Text"/>
    <w:basedOn w:val="BodyText"/>
    <w:rsid w:val="00714786"/>
    <w:pPr>
      <w:spacing w:before="60" w:after="60"/>
    </w:pPr>
  </w:style>
  <w:style w:type="paragraph" w:styleId="ListContinue">
    <w:name w:val="List Continue"/>
    <w:basedOn w:val="List"/>
    <w:rsid w:val="00714786"/>
    <w:pPr>
      <w:ind w:firstLine="0"/>
    </w:pPr>
  </w:style>
  <w:style w:type="paragraph" w:customStyle="1" w:styleId="ListNote">
    <w:name w:val="List Note"/>
    <w:basedOn w:val="List"/>
    <w:rsid w:val="00714786"/>
    <w:pPr>
      <w:pBdr>
        <w:top w:val="single" w:sz="6" w:space="2" w:color="918585"/>
        <w:bottom w:val="single" w:sz="6" w:space="2" w:color="918585"/>
      </w:pBdr>
      <w:tabs>
        <w:tab w:val="left" w:pos="1021"/>
      </w:tabs>
      <w:ind w:firstLine="0"/>
    </w:pPr>
  </w:style>
  <w:style w:type="paragraph" w:customStyle="1" w:styleId="Warning">
    <w:name w:val="Warning"/>
    <w:basedOn w:val="BodyText"/>
    <w:rsid w:val="00714786"/>
    <w:pPr>
      <w:shd w:val="clear" w:color="auto" w:fill="D9D9D9"/>
      <w:tabs>
        <w:tab w:val="left" w:pos="992"/>
      </w:tabs>
      <w:ind w:left="119" w:right="119"/>
    </w:pPr>
    <w:rPr>
      <w:sz w:val="20"/>
    </w:rPr>
  </w:style>
  <w:style w:type="paragraph" w:customStyle="1" w:styleId="MarginIcons">
    <w:name w:val="Margin Icons"/>
    <w:basedOn w:val="BodyText"/>
    <w:rsid w:val="00714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786"/>
    <w:rPr>
      <w:rFonts w:ascii="Courier New" w:hAnsi="Courier New"/>
    </w:rPr>
  </w:style>
  <w:style w:type="paragraph" w:customStyle="1" w:styleId="NoteBullet">
    <w:name w:val="Note Bullet"/>
    <w:basedOn w:val="Note"/>
    <w:rsid w:val="00714786"/>
    <w:pPr>
      <w:tabs>
        <w:tab w:val="clear" w:pos="680"/>
      </w:tabs>
      <w:spacing w:before="60" w:after="60"/>
    </w:pPr>
  </w:style>
  <w:style w:type="paragraph" w:customStyle="1" w:styleId="SubHeading2">
    <w:name w:val="SubHeading2"/>
    <w:basedOn w:val="HeadingBase"/>
    <w:rsid w:val="00714786"/>
    <w:pPr>
      <w:spacing w:before="240" w:after="60"/>
    </w:pPr>
    <w:rPr>
      <w:sz w:val="20"/>
    </w:rPr>
  </w:style>
  <w:style w:type="paragraph" w:customStyle="1" w:styleId="SubHeading1">
    <w:name w:val="SubHeading1"/>
    <w:basedOn w:val="HeadingBase"/>
    <w:rsid w:val="00714786"/>
    <w:pPr>
      <w:spacing w:before="240" w:after="60"/>
    </w:pPr>
    <w:rPr>
      <w:color w:val="918585"/>
      <w:sz w:val="22"/>
    </w:rPr>
  </w:style>
  <w:style w:type="paragraph" w:customStyle="1" w:styleId="SideHeading">
    <w:name w:val="Side Heading"/>
    <w:basedOn w:val="HeadingBase"/>
    <w:rsid w:val="00714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786"/>
    <w:pPr>
      <w:tabs>
        <w:tab w:val="num" w:pos="360"/>
      </w:tabs>
    </w:pPr>
  </w:style>
  <w:style w:type="paragraph" w:styleId="PlainText">
    <w:name w:val="Plain Text"/>
    <w:basedOn w:val="Normal"/>
    <w:link w:val="PlainTextChar"/>
    <w:rsid w:val="00714786"/>
    <w:rPr>
      <w:sz w:val="20"/>
    </w:rPr>
  </w:style>
  <w:style w:type="character" w:customStyle="1" w:styleId="PlainTextChar">
    <w:name w:val="Plain Text Char"/>
    <w:basedOn w:val="DefaultParagraphFont"/>
    <w:link w:val="PlainText"/>
    <w:rsid w:val="00714786"/>
    <w:rPr>
      <w:rFonts w:ascii="Courier New" w:eastAsia="Times New Roman" w:hAnsi="Courier New" w:cs="Times New Roman"/>
      <w:sz w:val="20"/>
      <w:szCs w:val="20"/>
      <w:lang w:eastAsia="en-US"/>
    </w:rPr>
  </w:style>
  <w:style w:type="character" w:customStyle="1" w:styleId="MenuOption">
    <w:name w:val="Menu Option"/>
    <w:basedOn w:val="DefaultParagraphFont"/>
    <w:rsid w:val="00714786"/>
    <w:rPr>
      <w:b/>
      <w:smallCaps/>
    </w:rPr>
  </w:style>
  <w:style w:type="paragraph" w:customStyle="1" w:styleId="TableListNumber">
    <w:name w:val="Table List Number"/>
    <w:basedOn w:val="ListNumber"/>
    <w:rsid w:val="00714786"/>
    <w:pPr>
      <w:numPr>
        <w:numId w:val="0"/>
      </w:numPr>
    </w:pPr>
  </w:style>
  <w:style w:type="paragraph" w:styleId="TOC4">
    <w:name w:val="toc 4"/>
    <w:basedOn w:val="TOCBase"/>
    <w:next w:val="Normal"/>
    <w:semiHidden/>
    <w:rsid w:val="00714786"/>
    <w:pPr>
      <w:tabs>
        <w:tab w:val="right" w:leader="dot" w:pos="9071"/>
      </w:tabs>
      <w:ind w:left="1701"/>
    </w:pPr>
  </w:style>
  <w:style w:type="paragraph" w:customStyle="1" w:styleId="ListAlpha">
    <w:name w:val="List Alpha"/>
    <w:basedOn w:val="List"/>
    <w:rsid w:val="00714786"/>
    <w:pPr>
      <w:numPr>
        <w:numId w:val="8"/>
      </w:numPr>
    </w:pPr>
  </w:style>
  <w:style w:type="paragraph" w:customStyle="1" w:styleId="ListAlpha2">
    <w:name w:val="List Alpha 2"/>
    <w:basedOn w:val="List2"/>
    <w:rsid w:val="00714786"/>
    <w:pPr>
      <w:numPr>
        <w:numId w:val="7"/>
      </w:numPr>
    </w:pPr>
  </w:style>
  <w:style w:type="paragraph" w:styleId="List2">
    <w:name w:val="List 2"/>
    <w:basedOn w:val="BodyText"/>
    <w:rsid w:val="00714786"/>
    <w:pPr>
      <w:tabs>
        <w:tab w:val="left" w:pos="680"/>
      </w:tabs>
      <w:spacing w:before="60" w:after="60"/>
      <w:ind w:left="680" w:hanging="340"/>
    </w:pPr>
  </w:style>
  <w:style w:type="paragraph" w:styleId="List3">
    <w:name w:val="List 3"/>
    <w:basedOn w:val="BodyText"/>
    <w:rsid w:val="00714786"/>
    <w:pPr>
      <w:tabs>
        <w:tab w:val="left" w:pos="1021"/>
      </w:tabs>
      <w:spacing w:before="60" w:after="60"/>
      <w:ind w:left="1020" w:hanging="340"/>
    </w:pPr>
  </w:style>
  <w:style w:type="paragraph" w:styleId="List4">
    <w:name w:val="List 4"/>
    <w:basedOn w:val="BodyText"/>
    <w:rsid w:val="00714786"/>
    <w:pPr>
      <w:tabs>
        <w:tab w:val="left" w:pos="1361"/>
      </w:tabs>
      <w:spacing w:before="60" w:after="60"/>
      <w:ind w:left="1361" w:hanging="340"/>
    </w:pPr>
  </w:style>
  <w:style w:type="paragraph" w:styleId="List5">
    <w:name w:val="List 5"/>
    <w:basedOn w:val="BodyText"/>
    <w:rsid w:val="00714786"/>
    <w:pPr>
      <w:tabs>
        <w:tab w:val="left" w:pos="1701"/>
      </w:tabs>
      <w:spacing w:before="60" w:after="60"/>
      <w:ind w:left="1701" w:hanging="340"/>
    </w:pPr>
  </w:style>
  <w:style w:type="paragraph" w:styleId="ListBullet3">
    <w:name w:val="List Bullet 3"/>
    <w:basedOn w:val="List3"/>
    <w:rsid w:val="00714786"/>
    <w:pPr>
      <w:numPr>
        <w:numId w:val="14"/>
      </w:numPr>
      <w:tabs>
        <w:tab w:val="clear" w:pos="1021"/>
      </w:tabs>
      <w:ind w:left="1037" w:hanging="357"/>
    </w:pPr>
  </w:style>
  <w:style w:type="paragraph" w:styleId="ListBullet4">
    <w:name w:val="List Bullet 4"/>
    <w:basedOn w:val="List4"/>
    <w:rsid w:val="00714786"/>
    <w:pPr>
      <w:numPr>
        <w:numId w:val="2"/>
      </w:numPr>
    </w:pPr>
  </w:style>
  <w:style w:type="paragraph" w:styleId="ListBullet5">
    <w:name w:val="List Bullet 5"/>
    <w:basedOn w:val="List5"/>
    <w:rsid w:val="00714786"/>
    <w:pPr>
      <w:numPr>
        <w:numId w:val="3"/>
      </w:numPr>
    </w:pPr>
  </w:style>
  <w:style w:type="paragraph" w:styleId="ListContinue2">
    <w:name w:val="List Continue 2"/>
    <w:basedOn w:val="List2"/>
    <w:rsid w:val="00714786"/>
    <w:pPr>
      <w:ind w:firstLine="0"/>
    </w:pPr>
  </w:style>
  <w:style w:type="paragraph" w:styleId="ListContinue3">
    <w:name w:val="List Continue 3"/>
    <w:basedOn w:val="List3"/>
    <w:rsid w:val="00714786"/>
    <w:pPr>
      <w:ind w:left="1021" w:firstLine="0"/>
    </w:pPr>
  </w:style>
  <w:style w:type="paragraph" w:styleId="ListContinue4">
    <w:name w:val="List Continue 4"/>
    <w:basedOn w:val="List4"/>
    <w:rsid w:val="00714786"/>
    <w:pPr>
      <w:ind w:firstLine="0"/>
    </w:pPr>
  </w:style>
  <w:style w:type="paragraph" w:styleId="ListContinue5">
    <w:name w:val="List Continue 5"/>
    <w:basedOn w:val="List5"/>
    <w:rsid w:val="00714786"/>
    <w:pPr>
      <w:ind w:firstLine="0"/>
    </w:pPr>
  </w:style>
  <w:style w:type="paragraph" w:styleId="ListNumber3">
    <w:name w:val="List Number 3"/>
    <w:basedOn w:val="List3"/>
    <w:rsid w:val="00714786"/>
    <w:pPr>
      <w:numPr>
        <w:numId w:val="4"/>
      </w:numPr>
    </w:pPr>
  </w:style>
  <w:style w:type="paragraph" w:styleId="ListNumber4">
    <w:name w:val="List Number 4"/>
    <w:basedOn w:val="List4"/>
    <w:rsid w:val="00714786"/>
    <w:pPr>
      <w:numPr>
        <w:numId w:val="5"/>
      </w:numPr>
    </w:pPr>
  </w:style>
  <w:style w:type="paragraph" w:styleId="ListNumber5">
    <w:name w:val="List Number 5"/>
    <w:basedOn w:val="List5"/>
    <w:rsid w:val="00714786"/>
    <w:pPr>
      <w:numPr>
        <w:numId w:val="6"/>
      </w:numPr>
    </w:pPr>
  </w:style>
  <w:style w:type="paragraph" w:styleId="BlockText">
    <w:name w:val="Block Text"/>
    <w:basedOn w:val="Normal"/>
    <w:rsid w:val="00714786"/>
    <w:pPr>
      <w:spacing w:after="120"/>
      <w:ind w:left="1440" w:right="1440"/>
    </w:pPr>
  </w:style>
  <w:style w:type="character" w:customStyle="1" w:styleId="Subscript">
    <w:name w:val="Subscript"/>
    <w:basedOn w:val="DefaultParagraphFont"/>
    <w:rsid w:val="00714786"/>
    <w:rPr>
      <w:sz w:val="16"/>
      <w:vertAlign w:val="subscript"/>
    </w:rPr>
  </w:style>
  <w:style w:type="character" w:customStyle="1" w:styleId="Superscript">
    <w:name w:val="Superscript"/>
    <w:basedOn w:val="DefaultParagraphFont"/>
    <w:rsid w:val="00714786"/>
    <w:rPr>
      <w:sz w:val="16"/>
      <w:vertAlign w:val="superscript"/>
    </w:rPr>
  </w:style>
  <w:style w:type="character" w:customStyle="1" w:styleId="Symbols">
    <w:name w:val="Symbols"/>
    <w:basedOn w:val="DefaultParagraphFont"/>
    <w:rsid w:val="00714786"/>
    <w:rPr>
      <w:rFonts w:ascii="Symbol" w:hAnsi="Symbol"/>
    </w:rPr>
  </w:style>
  <w:style w:type="character" w:customStyle="1" w:styleId="MenuOptions">
    <w:name w:val="Menu Options"/>
    <w:basedOn w:val="DefaultParagraphFont"/>
    <w:rsid w:val="00714786"/>
    <w:rPr>
      <w:rFonts w:ascii="Arial Narrow" w:hAnsi="Arial Narrow"/>
      <w:smallCaps/>
    </w:rPr>
  </w:style>
  <w:style w:type="character" w:customStyle="1" w:styleId="Buttons">
    <w:name w:val="Buttons"/>
    <w:basedOn w:val="DefaultParagraphFont"/>
    <w:rsid w:val="00714786"/>
    <w:rPr>
      <w:b/>
    </w:rPr>
  </w:style>
  <w:style w:type="character" w:customStyle="1" w:styleId="Underlined">
    <w:name w:val="Underlined"/>
    <w:basedOn w:val="DefaultParagraphFont"/>
    <w:rsid w:val="00714786"/>
    <w:rPr>
      <w:u w:val="single"/>
    </w:rPr>
  </w:style>
  <w:style w:type="paragraph" w:customStyle="1" w:styleId="TableBodyTextRight">
    <w:name w:val="Table Body Text Right"/>
    <w:basedOn w:val="TableBodyText"/>
    <w:rsid w:val="00714786"/>
    <w:pPr>
      <w:widowControl w:val="0"/>
      <w:autoSpaceDE w:val="0"/>
      <w:autoSpaceDN w:val="0"/>
      <w:adjustRightInd w:val="0"/>
      <w:jc w:val="right"/>
    </w:pPr>
    <w:rPr>
      <w:rFonts w:cs="Arial"/>
      <w:szCs w:val="18"/>
    </w:rPr>
  </w:style>
  <w:style w:type="paragraph" w:customStyle="1" w:styleId="CopyrightText">
    <w:name w:val="Copyright Text"/>
    <w:basedOn w:val="BodyText"/>
    <w:rsid w:val="00714786"/>
    <w:rPr>
      <w:sz w:val="18"/>
    </w:rPr>
  </w:style>
  <w:style w:type="paragraph" w:customStyle="1" w:styleId="BodySmallRight">
    <w:name w:val="Body Small Right"/>
    <w:basedOn w:val="BodyTextRight"/>
    <w:rsid w:val="00714786"/>
    <w:rPr>
      <w:sz w:val="18"/>
      <w:szCs w:val="18"/>
    </w:rPr>
  </w:style>
  <w:style w:type="paragraph" w:customStyle="1" w:styleId="MarginEdition">
    <w:name w:val="Margin Edition"/>
    <w:basedOn w:val="MarginNote"/>
    <w:rsid w:val="00714786"/>
    <w:pPr>
      <w:spacing w:before="0" w:after="0"/>
    </w:pPr>
    <w:rPr>
      <w:rFonts w:ascii="Times New Roman" w:hAnsi="Times New Roman"/>
      <w:color w:val="999999"/>
    </w:rPr>
  </w:style>
  <w:style w:type="paragraph" w:customStyle="1" w:styleId="Spacer">
    <w:name w:val="Spacer"/>
    <w:basedOn w:val="Normal"/>
    <w:rsid w:val="00714786"/>
    <w:rPr>
      <w:sz w:val="2"/>
      <w:szCs w:val="2"/>
    </w:rPr>
  </w:style>
  <w:style w:type="character" w:customStyle="1" w:styleId="Small">
    <w:name w:val="Small"/>
    <w:basedOn w:val="DefaultParagraphFont"/>
    <w:rsid w:val="00714786"/>
    <w:rPr>
      <w:sz w:val="16"/>
    </w:rPr>
  </w:style>
  <w:style w:type="paragraph" w:customStyle="1" w:styleId="WideTable">
    <w:name w:val="Wide Table"/>
    <w:basedOn w:val="Normal"/>
    <w:rsid w:val="00714786"/>
    <w:pPr>
      <w:ind w:left="-1418"/>
    </w:pPr>
    <w:rPr>
      <w:sz w:val="2"/>
      <w:szCs w:val="2"/>
    </w:rPr>
  </w:style>
  <w:style w:type="character" w:styleId="PageNumber">
    <w:name w:val="page number"/>
    <w:basedOn w:val="DefaultParagraphFont"/>
    <w:rsid w:val="00714786"/>
  </w:style>
  <w:style w:type="paragraph" w:styleId="Quote">
    <w:name w:val="Quote"/>
    <w:basedOn w:val="Heading1"/>
    <w:link w:val="QuoteChar"/>
    <w:qFormat/>
    <w:rsid w:val="00714786"/>
    <w:rPr>
      <w:b w:val="0"/>
      <w:sz w:val="72"/>
      <w:szCs w:val="72"/>
      <w:lang w:val="en-NZ"/>
    </w:rPr>
  </w:style>
  <w:style w:type="character" w:customStyle="1" w:styleId="QuoteChar">
    <w:name w:val="Quote Char"/>
    <w:basedOn w:val="DefaultParagraphFont"/>
    <w:link w:val="Quote"/>
    <w:rsid w:val="00714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786"/>
    <w:pPr>
      <w:pageBreakBefore/>
    </w:pPr>
  </w:style>
  <w:style w:type="paragraph" w:customStyle="1" w:styleId="Border">
    <w:name w:val="Border"/>
    <w:basedOn w:val="Normal"/>
    <w:qFormat/>
    <w:rsid w:val="00714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786"/>
    <w:rPr>
      <w:b/>
      <w:bCs/>
      <w:i/>
      <w:iCs/>
      <w:color w:val="auto"/>
    </w:rPr>
  </w:style>
  <w:style w:type="paragraph" w:styleId="IntenseQuote">
    <w:name w:val="Intense Quote"/>
    <w:basedOn w:val="Normal"/>
    <w:next w:val="Normal"/>
    <w:link w:val="IntenseQuoteChar"/>
    <w:uiPriority w:val="30"/>
    <w:qFormat/>
    <w:rsid w:val="00714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786"/>
    <w:rPr>
      <w:smallCaps/>
      <w:color w:val="auto"/>
      <w:u w:val="single"/>
    </w:rPr>
  </w:style>
  <w:style w:type="character" w:styleId="IntenseReference">
    <w:name w:val="Intense Reference"/>
    <w:basedOn w:val="DefaultParagraphFont"/>
    <w:uiPriority w:val="32"/>
    <w:qFormat/>
    <w:rsid w:val="00714786"/>
    <w:rPr>
      <w:b/>
      <w:bCs/>
      <w:smallCaps/>
      <w:color w:val="auto"/>
      <w:spacing w:val="5"/>
      <w:u w:val="single"/>
    </w:rPr>
  </w:style>
  <w:style w:type="paragraph" w:customStyle="1" w:styleId="2ColumnHeading">
    <w:name w:val="2Column Heading"/>
    <w:basedOn w:val="BodyText"/>
    <w:qFormat/>
    <w:rsid w:val="00714786"/>
    <w:pPr>
      <w:spacing w:after="60"/>
      <w:ind w:left="-2268"/>
    </w:pPr>
    <w:rPr>
      <w:b/>
    </w:rPr>
  </w:style>
  <w:style w:type="paragraph" w:customStyle="1" w:styleId="Heading1TOC">
    <w:name w:val="Heading1 TOC"/>
    <w:basedOn w:val="Normal"/>
    <w:qFormat/>
    <w:rsid w:val="00714786"/>
    <w:pPr>
      <w:spacing w:before="240" w:after="120"/>
    </w:pPr>
    <w:rPr>
      <w:rFonts w:ascii="Times New Roman" w:hAnsi="Times New Roman"/>
      <w:b/>
      <w:sz w:val="32"/>
    </w:rPr>
  </w:style>
  <w:style w:type="paragraph" w:customStyle="1" w:styleId="Heading2TOC">
    <w:name w:val="Heading2 TOC"/>
    <w:basedOn w:val="Normal"/>
    <w:qFormat/>
    <w:rsid w:val="00714786"/>
    <w:pPr>
      <w:spacing w:before="240" w:after="60"/>
    </w:pPr>
    <w:rPr>
      <w:rFonts w:ascii="Times New Roman" w:hAnsi="Times New Roman"/>
      <w:b/>
      <w:sz w:val="28"/>
    </w:rPr>
  </w:style>
  <w:style w:type="character" w:customStyle="1" w:styleId="Underline">
    <w:name w:val="Underline"/>
    <w:basedOn w:val="DefaultParagraphFont"/>
    <w:qFormat/>
    <w:rsid w:val="00714786"/>
    <w:rPr>
      <w:u w:val="single"/>
    </w:rPr>
  </w:style>
  <w:style w:type="paragraph" w:styleId="BalloonText">
    <w:name w:val="Balloon Text"/>
    <w:basedOn w:val="Normal"/>
    <w:link w:val="BalloonTextChar"/>
    <w:rsid w:val="00714786"/>
    <w:rPr>
      <w:rFonts w:ascii="Tahoma" w:hAnsi="Tahoma" w:cs="Tahoma"/>
      <w:sz w:val="16"/>
      <w:szCs w:val="16"/>
    </w:rPr>
  </w:style>
  <w:style w:type="character" w:customStyle="1" w:styleId="BalloonTextChar">
    <w:name w:val="Balloon Text Char"/>
    <w:basedOn w:val="DefaultParagraphFont"/>
    <w:link w:val="BalloonText"/>
    <w:rsid w:val="00714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7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786"/>
    <w:rPr>
      <w:b/>
      <w:color w:val="660033"/>
      <w:spacing w:val="0"/>
    </w:rPr>
  </w:style>
  <w:style w:type="paragraph" w:customStyle="1" w:styleId="Nameditemlist">
    <w:name w:val="Named item list"/>
    <w:basedOn w:val="BodyText"/>
    <w:qFormat/>
    <w:rsid w:val="007147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1378</Words>
  <Characters>8758</Characters>
  <Application>Microsoft Office Word</Application>
  <DocSecurity>0</DocSecurity>
  <Lines>296</Lines>
  <Paragraphs>192</Paragraphs>
  <ScaleCrop>false</ScaleCrop>
  <Company>Author-it Software Corporation Ltd.</Company>
  <LinksUpToDate>false</LinksUpToDate>
  <CharactersWithSpaces>10059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PSPREV401A Identify and apply statute law</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2012-11-01T17:46:00Z</dcterms:created>
  <dcterms:modified xsi:type="dcterms:W3CDTF">2012-11-01T17:46:00Z</dcterms:modified>
</cp:coreProperties>
</file>