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6278" w:rsidP="002D6278">
      <w:pPr>
        <w:pStyle w:val="Title"/>
      </w:pPr>
      <w:bookmarkStart w:id="0" w:name="_GoBack"/>
      <w:bookmarkEnd w:id="0"/>
      <w:r>
        <w:fldChar w:fldCharType="begin"/>
      </w:r>
      <w:r>
        <w:instrText xml:space="preserve"> TITLE   \* MERGEFORMAT </w:instrText>
      </w:r>
      <w:r>
        <w:fldChar w:fldCharType="separate"/>
      </w:r>
      <w:r>
        <w:t>PSPREG701A Manage investigations program</w:t>
      </w:r>
      <w:r>
        <w:fldChar w:fldCharType="end"/>
      </w:r>
    </w:p>
    <w:p w:rsidR="002D6278" w:rsidP="002D6278">
      <w:pPr>
        <w:pStyle w:val="Version"/>
        <w:sectPr w:rsidSect="00145E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145EE5" w:rsidP="00145EE5">
      <w:pPr>
        <w:pStyle w:val="SuperHeading"/>
      </w:pPr>
      <w:r w:rsidRPr="00145EE5">
        <w:t>PSPREG701A Manage investigations program</w:t>
      </w:r>
    </w:p>
    <w:p w:rsidR="00000000" w:rsidRPr="00145EE5" w:rsidP="00145EE5">
      <w:pPr>
        <w:pStyle w:val="SuperHeading"/>
      </w:pPr>
    </w:p>
    <w:p w:rsidR="00000000" w:rsidRPr="00145EE5" w:rsidP="00145EE5">
      <w:pPr>
        <w:pStyle w:val="Heading1"/>
      </w:pPr>
      <w:bookmarkStart w:id="1" w:name="O_499052"/>
      <w:bookmarkEnd w:id="1"/>
      <w:r w:rsidRPr="00145EE5">
        <w:t>Modification History</w:t>
      </w:r>
    </w:p>
    <w:tbl>
      <w:tblPr>
        <w:tblW w:w="0" w:type="auto"/>
        <w:tblLayout w:type="fixed"/>
        <w:tblCellMar>
          <w:left w:w="62" w:type="dxa"/>
          <w:right w:w="62" w:type="dxa"/>
        </w:tblCellMar>
        <w:tblLook w:val="0000"/>
      </w:tblPr>
      <w:tblGrid>
        <w:gridCol w:w="3052"/>
        <w:gridCol w:w="3052"/>
        <w:gridCol w:w="3052"/>
      </w:tblGrid>
      <w:tr w:rsidTr="002D627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EE5" w:rsidP="00145EE5">
            <w:pPr>
              <w:pStyle w:val="BodyText"/>
            </w:pPr>
            <w:r w:rsidRPr="00145EE5">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EE5" w:rsidP="00145EE5">
            <w:pPr>
              <w:pStyle w:val="BodyText"/>
            </w:pPr>
            <w:r w:rsidRPr="00145EE5">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EE5">
            <w:pPr>
              <w:pStyle w:val="BodyText"/>
              <w:rPr>
                <w:lang w:val="en-NZ"/>
              </w:rPr>
            </w:pPr>
            <w:r w:rsidRPr="00145EE5">
              <w:rPr>
                <w:rStyle w:val="SpecialBold"/>
              </w:rPr>
              <w:t>Comments</w:t>
            </w:r>
          </w:p>
        </w:tc>
      </w:tr>
      <w:tr w:rsidTr="002D627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EE5">
            <w:pPr>
              <w:pStyle w:val="BodyText"/>
              <w:rPr>
                <w:lang w:val="en-NZ"/>
              </w:rPr>
            </w:pPr>
            <w:r w:rsidRPr="00145EE5">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EE5">
            <w:pPr>
              <w:pStyle w:val="BodyText"/>
              <w:rPr>
                <w:lang w:val="en-NZ"/>
              </w:rPr>
            </w:pPr>
            <w:r w:rsidRPr="00145EE5">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EE5">
            <w:pPr>
              <w:pStyle w:val="BodyText"/>
              <w:rPr>
                <w:lang w:val="en-NZ"/>
              </w:rPr>
            </w:pPr>
            <w:r w:rsidRPr="00145EE5">
              <w:t xml:space="preserve">Unit descriptor edited. </w:t>
            </w:r>
          </w:p>
        </w:tc>
      </w:tr>
      <w:tr w:rsidTr="002D627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EE5">
            <w:pPr>
              <w:pStyle w:val="BodyText"/>
              <w:rPr>
                <w:lang w:val="en-NZ"/>
              </w:rPr>
            </w:pPr>
            <w:r w:rsidRPr="00145EE5">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EE5">
            <w:pPr>
              <w:pStyle w:val="BodyText"/>
              <w:rPr>
                <w:lang w:val="en-NZ"/>
              </w:rPr>
            </w:pPr>
            <w:r w:rsidRPr="00145EE5">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EE5">
            <w:pPr>
              <w:pStyle w:val="BodyText"/>
              <w:rPr>
                <w:lang w:val="en-NZ"/>
              </w:rPr>
            </w:pPr>
            <w:r w:rsidRPr="00145EE5">
              <w:t>Layout adjusted. No changes to content.</w:t>
            </w:r>
          </w:p>
        </w:tc>
      </w:tr>
      <w:tr w:rsidTr="002D627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EE5">
            <w:pPr>
              <w:pStyle w:val="BodyText"/>
              <w:rPr>
                <w:lang w:val="en-NZ"/>
              </w:rPr>
            </w:pPr>
            <w:r w:rsidRPr="00145EE5">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EE5">
            <w:pPr>
              <w:pStyle w:val="BodyText"/>
              <w:rPr>
                <w:lang w:val="en-NZ"/>
              </w:rPr>
            </w:pPr>
            <w:r w:rsidRPr="00145EE5">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EE5" w:rsidP="00145EE5">
            <w:pPr>
              <w:pStyle w:val="BodyText"/>
            </w:pPr>
            <w:r w:rsidRPr="00145EE5">
              <w:t>Primary release.</w:t>
            </w:r>
          </w:p>
        </w:tc>
      </w:tr>
    </w:tbl>
    <w:p w:rsidR="002D6278" w:rsidP="00145EE5">
      <w:pPr>
        <w:pStyle w:val="BodyText"/>
      </w:pPr>
    </w:p>
    <w:p w:rsidR="002D6278" w:rsidP="00145EE5">
      <w:pPr>
        <w:pStyle w:val="BodyText"/>
      </w:pPr>
    </w:p>
    <w:p w:rsidR="00000000" w:rsidRPr="00145EE5" w:rsidP="00145EE5">
      <w:pPr>
        <w:pStyle w:val="Heading1"/>
      </w:pPr>
      <w:bookmarkStart w:id="2" w:name="O_499050"/>
      <w:bookmarkEnd w:id="2"/>
      <w:r w:rsidRPr="00145EE5">
        <w:t>Unit Descriptor</w:t>
      </w:r>
    </w:p>
    <w:p w:rsidR="00000000" w:rsidRPr="00145EE5" w:rsidP="00145EE5">
      <w:pPr>
        <w:pStyle w:val="BodyText"/>
      </w:pPr>
      <w:r w:rsidRPr="00145EE5">
        <w:t>This unit covers management of an organisation's investi</w:t>
      </w:r>
      <w:r w:rsidRPr="00145EE5">
        <w:t>gations program where investigations may be conducted internally, externally or referred to other law enforcement agencies. It includes articulating and authorising an investigations strategy, evaluating investigation processes and the outcomes of investig</w:t>
      </w:r>
      <w:r w:rsidRPr="00145EE5">
        <w:t>ations, handling complaints, authorising investigations, changing the strategic direction of investigations, and building links at policy level with other organisations and policy makers.</w:t>
      </w:r>
    </w:p>
    <w:p w:rsidR="00000000" w:rsidRPr="00145EE5" w:rsidP="00145EE5">
      <w:pPr>
        <w:pStyle w:val="BodyText"/>
      </w:pPr>
      <w:r w:rsidRPr="00145EE5">
        <w:t>In practice, managing investigations may overlap with other generali</w:t>
      </w:r>
      <w:r w:rsidRPr="00145EE5">
        <w:t>st or specialist public sector workplace activities such as managing compliance with legislation, managing diversity, managing risk, networking, implementing policy, managing client service, directing project activities, managing resources.</w:t>
      </w:r>
    </w:p>
    <w:p w:rsidR="002D6278" w:rsidP="00145EE5">
      <w:pPr>
        <w:pStyle w:val="BodyText"/>
      </w:pPr>
      <w:r w:rsidRPr="00145EE5">
        <w:t>No licensing, l</w:t>
      </w:r>
      <w:r w:rsidRPr="00145EE5">
        <w:t>egislative, regulatory or certification requirements apply to this unit at the time of endorsement.</w:t>
      </w:r>
    </w:p>
    <w:p w:rsidR="002D6278" w:rsidP="00145EE5">
      <w:pPr>
        <w:pStyle w:val="BodyText"/>
      </w:pPr>
    </w:p>
    <w:p w:rsidR="00000000" w:rsidRPr="00145EE5" w:rsidP="00145EE5">
      <w:pPr>
        <w:pStyle w:val="Heading1"/>
      </w:pPr>
      <w:bookmarkStart w:id="3" w:name="O_499060"/>
      <w:bookmarkEnd w:id="3"/>
      <w:r w:rsidRPr="00145EE5">
        <w:t>Application of the Unit</w:t>
      </w:r>
    </w:p>
    <w:p w:rsidR="00000000" w:rsidRPr="00145EE5" w:rsidP="00145EE5">
      <w:pPr>
        <w:pStyle w:val="BodyText"/>
      </w:pPr>
      <w:r w:rsidRPr="00145EE5">
        <w:t>Not applicable.</w:t>
      </w:r>
    </w:p>
    <w:p w:rsidR="00000000" w:rsidRPr="00145EE5" w:rsidP="00145EE5">
      <w:pPr>
        <w:pStyle w:val="AllowPageBreak"/>
      </w:pPr>
    </w:p>
    <w:p w:rsidR="00000000" w:rsidRPr="00145EE5" w:rsidP="00145EE5">
      <w:pPr>
        <w:pStyle w:val="Heading1"/>
      </w:pPr>
      <w:bookmarkStart w:id="4" w:name="O_499051"/>
      <w:bookmarkEnd w:id="4"/>
      <w:r w:rsidRPr="00145EE5">
        <w:t>Licensing/Regulatory Information</w:t>
      </w:r>
    </w:p>
    <w:p w:rsidR="00000000" w:rsidRPr="00145EE5" w:rsidP="00145EE5">
      <w:pPr>
        <w:pStyle w:val="BodyText"/>
      </w:pPr>
      <w:r w:rsidRPr="00145EE5">
        <w:t>Not applicable.</w:t>
      </w:r>
    </w:p>
    <w:p w:rsidR="00000000" w:rsidRPr="00145EE5" w:rsidP="00145EE5">
      <w:pPr>
        <w:pStyle w:val="AllowPageBreak"/>
      </w:pPr>
    </w:p>
    <w:p w:rsidR="00000000" w:rsidRPr="00145EE5" w:rsidP="00145EE5">
      <w:pPr>
        <w:pStyle w:val="Heading1"/>
      </w:pPr>
      <w:bookmarkStart w:id="5" w:name="O_499049"/>
      <w:bookmarkEnd w:id="5"/>
      <w:r w:rsidRPr="00145EE5">
        <w:t>Pre-Requisites</w:t>
      </w:r>
    </w:p>
    <w:p w:rsidR="00000000" w:rsidRPr="00145EE5" w:rsidP="00145EE5">
      <w:pPr>
        <w:pStyle w:val="BodyText"/>
      </w:pPr>
      <w:r w:rsidRPr="00145EE5">
        <w:t>Not applicable.</w:t>
      </w:r>
    </w:p>
    <w:p w:rsidR="00000000" w:rsidRPr="00145EE5" w:rsidP="00145EE5">
      <w:pPr>
        <w:pStyle w:val="AllowPageBreak"/>
      </w:pPr>
    </w:p>
    <w:p w:rsidR="00000000" w:rsidRPr="00145EE5" w:rsidP="00145EE5">
      <w:pPr>
        <w:pStyle w:val="Heading1"/>
      </w:pPr>
      <w:bookmarkStart w:id="6" w:name="O_499056"/>
      <w:bookmarkEnd w:id="6"/>
      <w:r w:rsidRPr="00145EE5">
        <w:t>Employability Skills Information</w:t>
      </w:r>
    </w:p>
    <w:p w:rsidR="00000000" w:rsidRPr="00145EE5" w:rsidP="00145EE5">
      <w:pPr>
        <w:pStyle w:val="BodyText"/>
      </w:pPr>
      <w:r w:rsidRPr="00145EE5">
        <w:t>This unit contains employability skills.</w:t>
      </w:r>
    </w:p>
    <w:p w:rsidR="00000000" w:rsidRPr="00145EE5" w:rsidP="00145EE5">
      <w:pPr>
        <w:pStyle w:val="AllowPageBreak"/>
      </w:pPr>
    </w:p>
    <w:p w:rsidR="00000000" w:rsidRPr="00145EE5" w:rsidP="00145EE5">
      <w:pPr>
        <w:pStyle w:val="Heading1"/>
      </w:pPr>
      <w:bookmarkStart w:id="7" w:name="O_499057"/>
      <w:bookmarkEnd w:id="7"/>
      <w:r w:rsidRPr="00145EE5">
        <w:t>Elements and Performance Criteria Pre-Content</w:t>
      </w:r>
    </w:p>
    <w:tbl>
      <w:tblPr>
        <w:tblW w:w="9322" w:type="dxa"/>
        <w:tblLayout w:type="fixed"/>
        <w:tblCellMar>
          <w:left w:w="62" w:type="dxa"/>
          <w:right w:w="62" w:type="dxa"/>
        </w:tblCellMar>
        <w:tblLook w:val="0000"/>
      </w:tblPr>
      <w:tblGrid>
        <w:gridCol w:w="2660"/>
        <w:gridCol w:w="6662"/>
      </w:tblGrid>
      <w:tr w:rsidTr="002D62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45EE5">
            <w:pPr>
              <w:pStyle w:val="BodyText"/>
              <w:rPr>
                <w:lang w:val="en-NZ"/>
              </w:rPr>
            </w:pPr>
            <w:r w:rsidRPr="00145EE5">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145EE5" w:rsidP="00145EE5">
            <w:pPr>
              <w:pStyle w:val="BodyText"/>
            </w:pPr>
            <w:r w:rsidRPr="00145EE5">
              <w:t>Together, performance c</w:t>
            </w:r>
            <w:r w:rsidRPr="00145EE5">
              <w:t>riteria specify the requirements for competent performance. Text in</w:t>
            </w:r>
            <w:r w:rsidRPr="00145EE5">
              <w:rPr>
                <w:rStyle w:val="BoldandItalics"/>
              </w:rPr>
              <w:t xml:space="preserve"> bold italics </w:t>
            </w:r>
            <w:r w:rsidRPr="00145EE5">
              <w:t xml:space="preserve"> is explained in the Range Statement following.</w:t>
            </w:r>
          </w:p>
        </w:tc>
      </w:tr>
    </w:tbl>
    <w:p w:rsidR="00000000" w:rsidRPr="00145EE5" w:rsidP="00145EE5">
      <w:pPr>
        <w:pStyle w:val="BodyText"/>
      </w:pPr>
    </w:p>
    <w:p w:rsidR="00000000" w:rsidRPr="00145EE5" w:rsidP="00145EE5">
      <w:pPr>
        <w:pStyle w:val="AllowPageBreak"/>
      </w:pPr>
    </w:p>
    <w:p w:rsidR="00000000" w:rsidRPr="00145EE5" w:rsidP="00145EE5">
      <w:pPr>
        <w:pStyle w:val="Heading1"/>
      </w:pPr>
      <w:bookmarkStart w:id="8" w:name="O_499058"/>
      <w:bookmarkEnd w:id="8"/>
      <w:r w:rsidRPr="00145EE5">
        <w:t>Elements and Performance Criteria</w:t>
      </w:r>
    </w:p>
    <w:tbl>
      <w:tblPr>
        <w:tblW w:w="9322" w:type="dxa"/>
        <w:tblLayout w:type="fixed"/>
        <w:tblCellMar>
          <w:left w:w="62" w:type="dxa"/>
          <w:right w:w="62" w:type="dxa"/>
        </w:tblCellMar>
        <w:tblLook w:val="0000"/>
      </w:tblPr>
      <w:tblGrid>
        <w:gridCol w:w="2660"/>
        <w:gridCol w:w="6662"/>
      </w:tblGrid>
      <w:tr w:rsidTr="002D6278">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145EE5" w:rsidP="00145EE5">
            <w:pPr>
              <w:pStyle w:val="BodyText"/>
            </w:pPr>
            <w:r w:rsidRPr="00145EE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45EE5">
            <w:pPr>
              <w:pStyle w:val="BodyText"/>
              <w:rPr>
                <w:lang w:val="en-NZ"/>
              </w:rPr>
            </w:pPr>
            <w:r w:rsidRPr="00145EE5">
              <w:rPr>
                <w:rStyle w:val="SpecialBold"/>
              </w:rPr>
              <w:t>PERFORMANCE CRITERIA</w:t>
            </w:r>
          </w:p>
        </w:tc>
      </w:tr>
      <w:tr w:rsidTr="002D62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45EE5">
            <w:pPr>
              <w:pStyle w:val="List"/>
              <w:rPr>
                <w:lang w:val="en-NZ"/>
              </w:rPr>
            </w:pPr>
            <w:r w:rsidRPr="00145EE5">
              <w:rPr>
                <w:rStyle w:val="SpecialBold"/>
              </w:rPr>
              <w:t>1</w:t>
            </w:r>
            <w:r w:rsidRPr="00145EE5">
              <w:t>.</w:t>
            </w:r>
            <w:r w:rsidRPr="00145EE5">
              <w:tab/>
            </w:r>
            <w:r w:rsidRPr="00145EE5">
              <w:rPr>
                <w:rStyle w:val="SpecialBold"/>
              </w:rPr>
              <w:t xml:space="preserve">Articulate </w:t>
            </w:r>
            <w:r w:rsidRPr="00145EE5">
              <w:rPr>
                <w:rStyle w:val="SpecialBold"/>
              </w:rPr>
              <w:t>and authorise investigations strategy</w:t>
            </w:r>
          </w:p>
        </w:tc>
        <w:tc>
          <w:tcPr>
            <w:tcW w:w="6662" w:type="dxa"/>
            <w:tcBorders>
              <w:top w:val="nil"/>
              <w:left w:val="nil"/>
              <w:bottom w:val="nil"/>
              <w:right w:val="nil"/>
            </w:tcBorders>
            <w:tcMar>
              <w:top w:w="0" w:type="dxa"/>
              <w:left w:w="62" w:type="dxa"/>
              <w:bottom w:w="0" w:type="dxa"/>
              <w:right w:w="62" w:type="dxa"/>
            </w:tcMar>
          </w:tcPr>
          <w:p w:rsidR="00000000" w:rsidRPr="00145EE5" w:rsidP="00145EE5">
            <w:pPr>
              <w:pStyle w:val="List"/>
            </w:pPr>
            <w:r w:rsidRPr="00145EE5">
              <w:t>1.1</w:t>
            </w:r>
            <w:r w:rsidRPr="00145EE5">
              <w:tab/>
              <w:t>Investigations strategy is linked to objectives of the organisation's overall compliance strategy.</w:t>
            </w:r>
          </w:p>
          <w:p w:rsidR="00000000" w:rsidRPr="00145EE5" w:rsidP="00145EE5">
            <w:pPr>
              <w:pStyle w:val="List"/>
            </w:pPr>
            <w:r w:rsidRPr="00145EE5">
              <w:t>1.2</w:t>
            </w:r>
            <w:r w:rsidRPr="00145EE5">
              <w:tab/>
              <w:t>Strategy is used to communicate the roles of staff in investigations including their functions, responsibilitie</w:t>
            </w:r>
            <w:r w:rsidRPr="00145EE5">
              <w:t>s and rights.</w:t>
            </w:r>
          </w:p>
          <w:p w:rsidR="00000000" w:rsidRPr="00145EE5" w:rsidP="00145EE5">
            <w:pPr>
              <w:pStyle w:val="List"/>
            </w:pPr>
            <w:r w:rsidRPr="00145EE5">
              <w:t>1.3</w:t>
            </w:r>
            <w:r w:rsidRPr="00145EE5">
              <w:tab/>
              <w:t>Policy and procedures are developed to enable staff to conduct successful investigations and meet organisational objectives.</w:t>
            </w:r>
          </w:p>
          <w:p w:rsidR="00000000" w:rsidRPr="00145EE5" w:rsidP="00145EE5">
            <w:pPr>
              <w:pStyle w:val="List"/>
            </w:pPr>
            <w:r w:rsidRPr="00145EE5">
              <w:t>1.4</w:t>
            </w:r>
            <w:r w:rsidRPr="00145EE5">
              <w:tab/>
              <w:t>Guidelines are developed to assist decision making on whether particular investigations should be conducted i</w:t>
            </w:r>
            <w:r w:rsidRPr="00145EE5">
              <w:t xml:space="preserve">n-house or </w:t>
            </w:r>
            <w:r w:rsidRPr="00145EE5">
              <w:rPr>
                <w:rStyle w:val="BoldandItalics"/>
              </w:rPr>
              <w:t>through other avenues</w:t>
            </w:r>
            <w:r w:rsidRPr="00145EE5">
              <w:rPr>
                <w:rStyle w:val="Emphasis"/>
              </w:rPr>
              <w:t>.</w:t>
            </w:r>
          </w:p>
          <w:p w:rsidR="00000000" w:rsidRPr="00145EE5" w:rsidP="00145EE5">
            <w:pPr>
              <w:pStyle w:val="List"/>
            </w:pPr>
            <w:r w:rsidRPr="00145EE5">
              <w:t>1.5</w:t>
            </w:r>
            <w:r w:rsidRPr="00145EE5">
              <w:tab/>
              <w:t>Documented organisational procedures for handling investigations are included in guidelines.</w:t>
            </w:r>
          </w:p>
          <w:p w:rsidR="00000000" w:rsidP="00145EE5">
            <w:pPr>
              <w:pStyle w:val="List"/>
              <w:rPr>
                <w:lang w:val="en-NZ"/>
              </w:rPr>
            </w:pPr>
            <w:r w:rsidRPr="00145EE5">
              <w:t>1.6</w:t>
            </w:r>
            <w:r w:rsidRPr="00145EE5">
              <w:tab/>
              <w:t>Staff training and maintenance of standards are addressed in the development of the guidelines.</w:t>
            </w:r>
          </w:p>
        </w:tc>
      </w:tr>
      <w:tr w:rsidTr="002D62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45EE5">
            <w:pPr>
              <w:pStyle w:val="List"/>
              <w:rPr>
                <w:lang w:val="en-NZ"/>
              </w:rPr>
            </w:pPr>
            <w:r w:rsidRPr="00145EE5">
              <w:rPr>
                <w:rStyle w:val="SpecialBold"/>
              </w:rPr>
              <w:t>2</w:t>
            </w:r>
            <w:r w:rsidRPr="00145EE5">
              <w:t>.</w:t>
            </w:r>
            <w:r w:rsidRPr="00145EE5">
              <w:tab/>
            </w:r>
            <w:r w:rsidRPr="00145EE5">
              <w:rPr>
                <w:rStyle w:val="SpecialBold"/>
              </w:rPr>
              <w:t>Evaluate process of investigations</w:t>
            </w:r>
          </w:p>
        </w:tc>
        <w:tc>
          <w:tcPr>
            <w:tcW w:w="6662" w:type="dxa"/>
            <w:tcBorders>
              <w:top w:val="nil"/>
              <w:left w:val="nil"/>
              <w:bottom w:val="nil"/>
              <w:right w:val="nil"/>
            </w:tcBorders>
            <w:tcMar>
              <w:top w:w="0" w:type="dxa"/>
              <w:left w:w="62" w:type="dxa"/>
              <w:bottom w:w="0" w:type="dxa"/>
              <w:right w:w="62" w:type="dxa"/>
            </w:tcMar>
          </w:tcPr>
          <w:p w:rsidR="00000000" w:rsidRPr="00145EE5" w:rsidP="00145EE5">
            <w:pPr>
              <w:pStyle w:val="List"/>
            </w:pPr>
            <w:r w:rsidRPr="00145EE5">
              <w:t>2.1</w:t>
            </w:r>
            <w:r w:rsidRPr="00145EE5">
              <w:tab/>
              <w:t>Scheduled times for evaluation and review are established in accordance with organisational policy and procedures.</w:t>
            </w:r>
          </w:p>
          <w:p w:rsidR="00000000" w:rsidRPr="00145EE5" w:rsidP="00145EE5">
            <w:pPr>
              <w:pStyle w:val="List"/>
            </w:pPr>
            <w:r w:rsidRPr="00145EE5">
              <w:t>2.2</w:t>
            </w:r>
            <w:r w:rsidRPr="00145EE5">
              <w:tab/>
              <w:t>Consultation, review and development processes are developed and communicated in accordance with o</w:t>
            </w:r>
            <w:r w:rsidRPr="00145EE5">
              <w:t>rganisational policy and procedures.</w:t>
            </w:r>
          </w:p>
          <w:p w:rsidR="00000000" w:rsidRPr="00145EE5" w:rsidP="00145EE5">
            <w:pPr>
              <w:pStyle w:val="List"/>
            </w:pPr>
            <w:r w:rsidRPr="00145EE5">
              <w:t>2.3</w:t>
            </w:r>
            <w:r w:rsidRPr="00145EE5">
              <w:tab/>
              <w:t>Quality assurance review programs are established to ensure the integrity of policy and procedures is maintained or enhanced.</w:t>
            </w:r>
          </w:p>
          <w:p w:rsidR="00000000" w:rsidRPr="00145EE5" w:rsidP="00145EE5">
            <w:pPr>
              <w:pStyle w:val="List"/>
            </w:pPr>
            <w:r w:rsidRPr="00145EE5">
              <w:t>2.4</w:t>
            </w:r>
            <w:r w:rsidRPr="00145EE5">
              <w:tab/>
              <w:t>Data from performance measures is used to validate investigation processes against be</w:t>
            </w:r>
            <w:r w:rsidRPr="00145EE5">
              <w:t>st practice, noting areas where improvements are needed as part of quality implementation.</w:t>
            </w:r>
          </w:p>
          <w:p w:rsidR="00000000" w:rsidRPr="00145EE5" w:rsidP="00145EE5">
            <w:pPr>
              <w:pStyle w:val="List"/>
            </w:pPr>
            <w:r w:rsidRPr="00145EE5">
              <w:t>2.5</w:t>
            </w:r>
            <w:r w:rsidRPr="00145EE5">
              <w:tab/>
              <w:t xml:space="preserve">Recommendations to improve organisational </w:t>
            </w:r>
            <w:r w:rsidRPr="00145EE5">
              <w:rPr>
                <w:rStyle w:val="BoldandItalics"/>
              </w:rPr>
              <w:t xml:space="preserve">guidelines </w:t>
            </w:r>
            <w:r w:rsidRPr="00145EE5">
              <w:t>are compared with legislative and judicial standards, to improve consistency with external benchmarks.</w:t>
            </w:r>
          </w:p>
          <w:p w:rsidR="00000000" w:rsidP="00145EE5">
            <w:pPr>
              <w:pStyle w:val="List"/>
              <w:rPr>
                <w:lang w:val="en-NZ"/>
              </w:rPr>
            </w:pPr>
            <w:r w:rsidRPr="00145EE5">
              <w:t>2.6</w:t>
            </w:r>
            <w:r w:rsidRPr="00145EE5">
              <w:tab/>
              <w:t>S</w:t>
            </w:r>
            <w:r w:rsidRPr="00145EE5">
              <w:t>tatutory reporting obligations are managed in accordance with organisational policy and procedures.</w:t>
            </w:r>
          </w:p>
        </w:tc>
      </w:tr>
      <w:tr w:rsidTr="002D62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45EE5">
            <w:pPr>
              <w:pStyle w:val="List"/>
              <w:rPr>
                <w:lang w:val="en-NZ"/>
              </w:rPr>
            </w:pPr>
            <w:r w:rsidRPr="00145EE5">
              <w:rPr>
                <w:rStyle w:val="SpecialBold"/>
              </w:rPr>
              <w:t>3</w:t>
            </w:r>
            <w:r w:rsidRPr="00145EE5">
              <w:t>.</w:t>
            </w:r>
            <w:r w:rsidRPr="00145EE5">
              <w:tab/>
            </w:r>
            <w:r w:rsidRPr="00145EE5">
              <w:rPr>
                <w:rStyle w:val="SpecialBold"/>
              </w:rPr>
              <w:t>Evaluate outcomes of investigations</w:t>
            </w:r>
          </w:p>
        </w:tc>
        <w:tc>
          <w:tcPr>
            <w:tcW w:w="6662" w:type="dxa"/>
            <w:tcBorders>
              <w:top w:val="nil"/>
              <w:left w:val="nil"/>
              <w:bottom w:val="nil"/>
              <w:right w:val="nil"/>
            </w:tcBorders>
            <w:tcMar>
              <w:top w:w="0" w:type="dxa"/>
              <w:left w:w="62" w:type="dxa"/>
              <w:bottom w:w="0" w:type="dxa"/>
              <w:right w:w="62" w:type="dxa"/>
            </w:tcMar>
          </w:tcPr>
          <w:p w:rsidR="00000000" w:rsidRPr="00145EE5" w:rsidP="00145EE5">
            <w:pPr>
              <w:pStyle w:val="List"/>
            </w:pPr>
            <w:r w:rsidRPr="00145EE5">
              <w:t>3.1</w:t>
            </w:r>
            <w:r w:rsidRPr="00145EE5">
              <w:tab/>
              <w:t xml:space="preserve">Resolution rate of investigations, reasons for lack of resolution and time taken to complete investigations are </w:t>
            </w:r>
            <w:r w:rsidRPr="00145EE5">
              <w:t>reported on and analysed for improvement.</w:t>
            </w:r>
          </w:p>
          <w:p w:rsidR="00000000" w:rsidP="00145EE5">
            <w:pPr>
              <w:pStyle w:val="List"/>
              <w:rPr>
                <w:lang w:val="en-NZ"/>
              </w:rPr>
            </w:pPr>
            <w:r w:rsidRPr="00145EE5">
              <w:t>3.2</w:t>
            </w:r>
            <w:r w:rsidRPr="00145EE5">
              <w:tab/>
              <w:t>Strategic directions are amended where necessary to improve the rate of investigation resolution and the time taken for investigations to be completed.</w:t>
            </w:r>
          </w:p>
        </w:tc>
      </w:tr>
      <w:tr w:rsidTr="002D62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45EE5">
            <w:pPr>
              <w:pStyle w:val="List"/>
              <w:rPr>
                <w:lang w:val="en-NZ"/>
              </w:rPr>
            </w:pPr>
            <w:r w:rsidRPr="00145EE5">
              <w:rPr>
                <w:rStyle w:val="SpecialBold"/>
              </w:rPr>
              <w:t>4</w:t>
            </w:r>
            <w:r w:rsidRPr="00145EE5">
              <w:t>.</w:t>
            </w:r>
            <w:r w:rsidRPr="00145EE5">
              <w:tab/>
            </w:r>
            <w:r w:rsidRPr="00145EE5">
              <w:rPr>
                <w:rStyle w:val="SpecialBold"/>
              </w:rPr>
              <w:t>Handle complaints</w:t>
            </w:r>
          </w:p>
        </w:tc>
        <w:tc>
          <w:tcPr>
            <w:tcW w:w="6662" w:type="dxa"/>
            <w:tcBorders>
              <w:top w:val="nil"/>
              <w:left w:val="nil"/>
              <w:bottom w:val="nil"/>
              <w:right w:val="nil"/>
            </w:tcBorders>
            <w:tcMar>
              <w:top w:w="0" w:type="dxa"/>
              <w:left w:w="62" w:type="dxa"/>
              <w:bottom w:w="0" w:type="dxa"/>
              <w:right w:w="62" w:type="dxa"/>
            </w:tcMar>
          </w:tcPr>
          <w:p w:rsidR="00000000" w:rsidRPr="00145EE5" w:rsidP="00145EE5">
            <w:pPr>
              <w:pStyle w:val="List"/>
            </w:pPr>
            <w:r w:rsidRPr="00145EE5">
              <w:t>4.1</w:t>
            </w:r>
            <w:r w:rsidRPr="00145EE5">
              <w:tab/>
              <w:t>Strategies are established to ha</w:t>
            </w:r>
            <w:r w:rsidRPr="00145EE5">
              <w:t>ndle a range of situations that may impact on the reputation of the organisation.</w:t>
            </w:r>
          </w:p>
          <w:p w:rsidR="00000000" w:rsidP="00145EE5">
            <w:pPr>
              <w:pStyle w:val="List"/>
              <w:rPr>
                <w:lang w:val="en-NZ"/>
              </w:rPr>
            </w:pPr>
            <w:r w:rsidRPr="00145EE5">
              <w:t>4.2</w:t>
            </w:r>
            <w:r w:rsidRPr="00145EE5">
              <w:tab/>
              <w:t>Policy and procedures are implemented to facilitate the timely reporting to senior management of potentially serious situations.</w:t>
            </w:r>
          </w:p>
        </w:tc>
      </w:tr>
      <w:tr w:rsidTr="002D62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45EE5">
            <w:pPr>
              <w:pStyle w:val="List"/>
              <w:rPr>
                <w:lang w:val="en-NZ"/>
              </w:rPr>
            </w:pPr>
            <w:r w:rsidRPr="00145EE5">
              <w:rPr>
                <w:rStyle w:val="SpecialBold"/>
              </w:rPr>
              <w:t>5</w:t>
            </w:r>
            <w:r w:rsidRPr="00145EE5">
              <w:t>.</w:t>
            </w:r>
            <w:r w:rsidRPr="00145EE5">
              <w:tab/>
            </w:r>
            <w:r w:rsidRPr="00145EE5">
              <w:rPr>
                <w:rStyle w:val="SpecialBold"/>
              </w:rPr>
              <w:t>Authorise investigations</w:t>
            </w:r>
          </w:p>
        </w:tc>
        <w:tc>
          <w:tcPr>
            <w:tcW w:w="6662" w:type="dxa"/>
            <w:tcBorders>
              <w:top w:val="nil"/>
              <w:left w:val="nil"/>
              <w:bottom w:val="nil"/>
              <w:right w:val="nil"/>
            </w:tcBorders>
            <w:tcMar>
              <w:top w:w="0" w:type="dxa"/>
              <w:left w:w="62" w:type="dxa"/>
              <w:bottom w:w="0" w:type="dxa"/>
              <w:right w:w="62" w:type="dxa"/>
            </w:tcMar>
          </w:tcPr>
          <w:p w:rsidR="00000000" w:rsidRPr="00145EE5" w:rsidP="00145EE5">
            <w:pPr>
              <w:pStyle w:val="List"/>
            </w:pPr>
            <w:r w:rsidRPr="00145EE5">
              <w:t>5.1</w:t>
            </w:r>
            <w:r w:rsidRPr="00145EE5">
              <w:tab/>
              <w:t>Authorit</w:t>
            </w:r>
            <w:r w:rsidRPr="00145EE5">
              <w:t>y levels are determined to reflect structure and reporting lines within the organisation, jurisdictional and legislative requirements.</w:t>
            </w:r>
          </w:p>
          <w:p w:rsidR="00000000" w:rsidRPr="00145EE5" w:rsidP="00145EE5">
            <w:pPr>
              <w:pStyle w:val="List"/>
            </w:pPr>
            <w:r w:rsidRPr="00145EE5">
              <w:t>5.2</w:t>
            </w:r>
            <w:r w:rsidRPr="00145EE5">
              <w:tab/>
              <w:t>Decisions regarding the allocation of investigative tasks to internal or external investigation personnel are based o</w:t>
            </w:r>
            <w:r w:rsidRPr="00145EE5">
              <w:t xml:space="preserve">n organisational guidelines. </w:t>
            </w:r>
          </w:p>
          <w:p w:rsidR="00000000" w:rsidP="00145EE5">
            <w:pPr>
              <w:pStyle w:val="List"/>
              <w:rPr>
                <w:lang w:val="en-NZ"/>
              </w:rPr>
            </w:pPr>
            <w:r w:rsidRPr="00145EE5">
              <w:t>5.3</w:t>
            </w:r>
            <w:r w:rsidRPr="00145EE5">
              <w:tab/>
              <w:t>Any request for authorisation by senior management is accompanied by sufficient information to facilitate effective and timely decision making.</w:t>
            </w:r>
          </w:p>
        </w:tc>
      </w:tr>
      <w:tr w:rsidTr="002D62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45EE5">
            <w:pPr>
              <w:pStyle w:val="List"/>
              <w:rPr>
                <w:lang w:val="en-NZ"/>
              </w:rPr>
            </w:pPr>
            <w:r w:rsidRPr="00145EE5">
              <w:rPr>
                <w:rStyle w:val="SpecialBold"/>
              </w:rPr>
              <w:t>6</w:t>
            </w:r>
            <w:r w:rsidRPr="00145EE5">
              <w:t>.</w:t>
            </w:r>
            <w:r w:rsidRPr="00145EE5">
              <w:tab/>
            </w:r>
            <w:r w:rsidRPr="00145EE5">
              <w:rPr>
                <w:rStyle w:val="SpecialBold"/>
              </w:rPr>
              <w:t>Change strategic direction of investigations</w:t>
            </w:r>
          </w:p>
        </w:tc>
        <w:tc>
          <w:tcPr>
            <w:tcW w:w="6662" w:type="dxa"/>
            <w:tcBorders>
              <w:top w:val="nil"/>
              <w:left w:val="nil"/>
              <w:bottom w:val="nil"/>
              <w:right w:val="nil"/>
            </w:tcBorders>
            <w:tcMar>
              <w:top w:w="0" w:type="dxa"/>
              <w:left w:w="62" w:type="dxa"/>
              <w:bottom w:w="0" w:type="dxa"/>
              <w:right w:w="62" w:type="dxa"/>
            </w:tcMar>
          </w:tcPr>
          <w:p w:rsidR="00000000" w:rsidRPr="00145EE5" w:rsidP="00145EE5">
            <w:pPr>
              <w:pStyle w:val="List"/>
            </w:pPr>
            <w:r w:rsidRPr="00145EE5">
              <w:t>6.1</w:t>
            </w:r>
            <w:r w:rsidRPr="00145EE5">
              <w:tab/>
            </w:r>
            <w:r w:rsidRPr="00145EE5">
              <w:t>Broader policy directives are balanced with needs and demands within the organisation.</w:t>
            </w:r>
          </w:p>
          <w:p w:rsidR="00000000" w:rsidP="00145EE5">
            <w:pPr>
              <w:pStyle w:val="List"/>
              <w:rPr>
                <w:lang w:val="en-NZ"/>
              </w:rPr>
            </w:pPr>
            <w:r w:rsidRPr="00145EE5">
              <w:t>6.2</w:t>
            </w:r>
            <w:r w:rsidRPr="00145EE5">
              <w:tab/>
              <w:t>Any exemptions to established policy are authorised after full consideration of impact on the organisation, legal ramifications and reasons for exemption.</w:t>
            </w:r>
          </w:p>
        </w:tc>
      </w:tr>
      <w:tr w:rsidTr="002D62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45EE5">
            <w:pPr>
              <w:pStyle w:val="List"/>
              <w:rPr>
                <w:lang w:val="en-NZ"/>
              </w:rPr>
            </w:pPr>
            <w:r w:rsidRPr="00145EE5">
              <w:rPr>
                <w:rStyle w:val="SpecialBold"/>
              </w:rPr>
              <w:t>7</w:t>
            </w:r>
            <w:r w:rsidRPr="00145EE5">
              <w:t>.</w:t>
            </w:r>
            <w:r w:rsidRPr="00145EE5">
              <w:tab/>
            </w:r>
            <w:r w:rsidRPr="00145EE5">
              <w:rPr>
                <w:rStyle w:val="SpecialBold"/>
              </w:rPr>
              <w:t xml:space="preserve">Build </w:t>
            </w:r>
            <w:r w:rsidRPr="00145EE5">
              <w:rPr>
                <w:rStyle w:val="SpecialBold"/>
              </w:rPr>
              <w:t>links at policy level with other organisations and policy makers</w:t>
            </w:r>
          </w:p>
        </w:tc>
        <w:tc>
          <w:tcPr>
            <w:tcW w:w="6662" w:type="dxa"/>
            <w:tcBorders>
              <w:top w:val="nil"/>
              <w:left w:val="nil"/>
              <w:bottom w:val="nil"/>
              <w:right w:val="nil"/>
            </w:tcBorders>
            <w:tcMar>
              <w:top w:w="0" w:type="dxa"/>
              <w:left w:w="62" w:type="dxa"/>
              <w:bottom w:w="0" w:type="dxa"/>
              <w:right w:w="62" w:type="dxa"/>
            </w:tcMar>
          </w:tcPr>
          <w:p w:rsidR="00000000" w:rsidRPr="00145EE5" w:rsidP="00145EE5">
            <w:pPr>
              <w:pStyle w:val="List"/>
            </w:pPr>
            <w:r w:rsidRPr="00145EE5">
              <w:t>7.1</w:t>
            </w:r>
            <w:r w:rsidRPr="00145EE5">
              <w:tab/>
              <w:t>Opportunities for liaison with other investigations managers are used to extend knowledge and improve links within the profession.</w:t>
            </w:r>
          </w:p>
          <w:p w:rsidR="00000000" w:rsidRPr="00145EE5" w:rsidP="00145EE5">
            <w:pPr>
              <w:pStyle w:val="List"/>
            </w:pPr>
            <w:r w:rsidRPr="00145EE5">
              <w:t>7.2</w:t>
            </w:r>
            <w:r w:rsidRPr="00145EE5">
              <w:tab/>
              <w:t>Staff are encouraged to build relationships with pee</w:t>
            </w:r>
            <w:r w:rsidRPr="00145EE5">
              <w:t>rs in other organisations.</w:t>
            </w:r>
          </w:p>
          <w:p w:rsidR="00000000" w:rsidRPr="00145EE5" w:rsidP="00145EE5">
            <w:pPr>
              <w:pStyle w:val="List"/>
            </w:pPr>
            <w:r w:rsidRPr="00145EE5">
              <w:t>7.3</w:t>
            </w:r>
            <w:r w:rsidRPr="00145EE5">
              <w:tab/>
              <w:t>Opportunities are taken to promote the organisation and the investigations profession with policy makers and the public.</w:t>
            </w:r>
          </w:p>
          <w:p w:rsidR="00000000" w:rsidRPr="00145EE5" w:rsidP="00145EE5">
            <w:pPr>
              <w:pStyle w:val="List"/>
            </w:pPr>
            <w:r w:rsidRPr="00145EE5">
              <w:t>7.4</w:t>
            </w:r>
            <w:r w:rsidRPr="00145EE5">
              <w:tab/>
              <w:t>Relationships with other key law enforcement agencies and standards setting organisations are establ</w:t>
            </w:r>
            <w:r w:rsidRPr="00145EE5">
              <w:t>ished and maintained.</w:t>
            </w:r>
          </w:p>
          <w:p w:rsidR="00000000" w:rsidRPr="00145EE5" w:rsidP="00145EE5">
            <w:pPr>
              <w:pStyle w:val="List"/>
            </w:pPr>
            <w:r w:rsidRPr="00145EE5">
              <w:t>7.5</w:t>
            </w:r>
            <w:r w:rsidRPr="00145EE5">
              <w:tab/>
              <w:t>Relationships with other relevant stakeholders are established and maintained.</w:t>
            </w:r>
          </w:p>
        </w:tc>
      </w:tr>
    </w:tbl>
    <w:p w:rsidR="00000000" w:rsidRPr="00145EE5" w:rsidP="00145EE5">
      <w:pPr>
        <w:pStyle w:val="BodyText"/>
      </w:pPr>
    </w:p>
    <w:p w:rsidR="00000000" w:rsidRPr="00145EE5" w:rsidP="00145EE5">
      <w:pPr>
        <w:pStyle w:val="AllowPageBreak"/>
      </w:pPr>
    </w:p>
    <w:p w:rsidR="00000000" w:rsidRPr="00145EE5" w:rsidP="00145EE5">
      <w:pPr>
        <w:pStyle w:val="Heading1"/>
      </w:pPr>
      <w:bookmarkStart w:id="9" w:name="O_499053"/>
      <w:bookmarkEnd w:id="9"/>
      <w:r w:rsidRPr="00145EE5">
        <w:t>Required Skills and Knowledge</w:t>
      </w:r>
    </w:p>
    <w:tbl>
      <w:tblPr>
        <w:tblW w:w="0" w:type="auto"/>
        <w:tblLayout w:type="fixed"/>
        <w:tblCellMar>
          <w:left w:w="62" w:type="dxa"/>
          <w:right w:w="62" w:type="dxa"/>
        </w:tblCellMar>
        <w:tblLook w:val="0000"/>
      </w:tblPr>
      <w:tblGrid>
        <w:gridCol w:w="8553"/>
      </w:tblGrid>
      <w:tr w:rsidTr="002D6278">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145EE5">
            <w:pPr>
              <w:pStyle w:val="BodyText"/>
              <w:rPr>
                <w:lang w:val="en-NZ"/>
              </w:rPr>
            </w:pPr>
            <w:r w:rsidRPr="00145EE5">
              <w:t>This section describes the essential skills and knowledge and their level, required for this unit.</w:t>
            </w:r>
          </w:p>
        </w:tc>
      </w:tr>
      <w:tr w:rsidTr="002D6278">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145EE5" w:rsidP="00145EE5">
            <w:pPr>
              <w:pStyle w:val="BodyText"/>
            </w:pPr>
            <w:r w:rsidRPr="00145EE5">
              <w:rPr>
                <w:rStyle w:val="SpecialBold"/>
              </w:rPr>
              <w:t>Skill requirements</w:t>
            </w:r>
          </w:p>
          <w:p w:rsidR="00000000" w:rsidRPr="00145EE5" w:rsidP="00145EE5">
            <w:pPr>
              <w:pStyle w:val="BodyText"/>
            </w:pPr>
            <w:r w:rsidRPr="00145EE5">
              <w:t>Look for evidence that confirms skills in:</w:t>
            </w:r>
          </w:p>
          <w:p w:rsidR="00000000" w:rsidRPr="00145EE5" w:rsidP="00145EE5">
            <w:pPr>
              <w:pStyle w:val="ListBullet2"/>
            </w:pPr>
            <w:r w:rsidRPr="00145EE5">
              <w:t>managing projects</w:t>
            </w:r>
          </w:p>
          <w:p w:rsidR="00000000" w:rsidRPr="00145EE5" w:rsidP="00145EE5">
            <w:pPr>
              <w:pStyle w:val="ListBullet2"/>
            </w:pPr>
            <w:r w:rsidRPr="00145EE5">
              <w:t>managing systems and processes for effective investigation processes and outcomes</w:t>
            </w:r>
          </w:p>
          <w:p w:rsidR="00000000" w:rsidRPr="00145EE5" w:rsidP="00145EE5">
            <w:pPr>
              <w:pStyle w:val="ListBullet2"/>
            </w:pPr>
            <w:r w:rsidRPr="00145EE5">
              <w:t>liaising and managing investigations with outside agencies where, for example, investigations</w:t>
            </w:r>
            <w:r w:rsidRPr="00145EE5">
              <w:t xml:space="preserve"> are conducted jointly or referred to a police service or contracted to an outside body</w:t>
            </w:r>
          </w:p>
          <w:p w:rsidR="00000000" w:rsidRPr="00145EE5" w:rsidP="00145EE5">
            <w:pPr>
              <w:pStyle w:val="ListBullet2"/>
            </w:pPr>
            <w:r w:rsidRPr="00145EE5">
              <w:t>undertaking analysis and problem solving, especially when dealing with complaints</w:t>
            </w:r>
          </w:p>
          <w:p w:rsidR="00000000" w:rsidRPr="00145EE5" w:rsidP="00145EE5">
            <w:pPr>
              <w:pStyle w:val="ListBullet2"/>
            </w:pPr>
            <w:r w:rsidRPr="00145EE5">
              <w:t>using a range of communication styles to suit different audiences and purposes</w:t>
            </w:r>
          </w:p>
          <w:p w:rsidR="00000000" w:rsidRPr="00145EE5" w:rsidP="00145EE5">
            <w:pPr>
              <w:pStyle w:val="ListBullet2"/>
            </w:pPr>
            <w:r w:rsidRPr="00145EE5">
              <w:t>respond</w:t>
            </w:r>
            <w:r w:rsidRPr="00145EE5">
              <w:t>ing to diversity, including gender and disability</w:t>
            </w:r>
          </w:p>
          <w:p w:rsidR="00000000" w:rsidP="00145EE5">
            <w:pPr>
              <w:pStyle w:val="ListBullet2"/>
              <w:rPr>
                <w:lang w:val="en-NZ"/>
              </w:rPr>
            </w:pPr>
            <w:r w:rsidRPr="00145EE5">
              <w:t>applying occupational health and safety and environmental procedures in the context of investigation management</w:t>
            </w:r>
          </w:p>
        </w:tc>
      </w:tr>
      <w:tr w:rsidTr="002D6278">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145EE5" w:rsidP="00145EE5">
            <w:pPr>
              <w:pStyle w:val="BodyText"/>
            </w:pPr>
            <w:r w:rsidRPr="00145EE5">
              <w:rPr>
                <w:rStyle w:val="SpecialBold"/>
              </w:rPr>
              <w:t>Knowledge requirements</w:t>
            </w:r>
          </w:p>
          <w:p w:rsidR="00000000" w:rsidRPr="00145EE5" w:rsidP="00145EE5">
            <w:pPr>
              <w:pStyle w:val="BodyText"/>
            </w:pPr>
            <w:r w:rsidRPr="00145EE5">
              <w:t>Look for evidence that confirms knowledge and understanding of:</w:t>
            </w:r>
          </w:p>
          <w:p w:rsidR="00000000" w:rsidRPr="00145EE5" w:rsidP="00145EE5">
            <w:pPr>
              <w:pStyle w:val="ListBullet2"/>
            </w:pPr>
            <w:r w:rsidRPr="00145EE5">
              <w:t>agenc</w:t>
            </w:r>
            <w:r w:rsidRPr="00145EE5">
              <w:t>y investigation/compliance strategy</w:t>
            </w:r>
          </w:p>
          <w:p w:rsidR="00000000" w:rsidRPr="00145EE5" w:rsidP="00145EE5">
            <w:pPr>
              <w:pStyle w:val="ListBullet2"/>
            </w:pPr>
            <w:r w:rsidRPr="00145EE5">
              <w:t>agency structure and core business</w:t>
            </w:r>
          </w:p>
          <w:p w:rsidR="00000000" w:rsidRPr="00145EE5" w:rsidP="00145EE5">
            <w:pPr>
              <w:pStyle w:val="ListBullet2"/>
            </w:pPr>
            <w:r w:rsidRPr="00145EE5">
              <w:t xml:space="preserve">investigation techniques </w:t>
            </w:r>
          </w:p>
          <w:p w:rsidR="00000000" w:rsidRPr="00145EE5" w:rsidP="00145EE5">
            <w:pPr>
              <w:pStyle w:val="ListBullet2"/>
            </w:pPr>
            <w:r w:rsidRPr="00145EE5">
              <w:t>an understanding of the relationship of the investigation strategy to the agency's overall strategy and jurisdictional policy and legislative requirements</w:t>
            </w:r>
          </w:p>
          <w:p w:rsidR="00000000" w:rsidRPr="00145EE5" w:rsidP="00145EE5">
            <w:pPr>
              <w:pStyle w:val="ListBullet2"/>
            </w:pPr>
            <w:r w:rsidRPr="00145EE5">
              <w:t>relevant legislation and policy covering the conduct of investigations, as well as the procedural and offence provisions of specific legislation</w:t>
            </w:r>
          </w:p>
          <w:p w:rsidR="00000000" w:rsidRPr="00145EE5" w:rsidP="00145EE5">
            <w:pPr>
              <w:pStyle w:val="ListBullet2"/>
            </w:pPr>
            <w:r w:rsidRPr="00145EE5">
              <w:t>legislative reporting requirements to standards setting organisations</w:t>
            </w:r>
          </w:p>
          <w:p w:rsidR="00000000" w:rsidRPr="00145EE5" w:rsidP="00145EE5">
            <w:pPr>
              <w:pStyle w:val="ListBullet2"/>
            </w:pPr>
            <w:r w:rsidRPr="00145EE5">
              <w:t>public sector legislation relating to inv</w:t>
            </w:r>
            <w:r w:rsidRPr="00145EE5">
              <w:t>estigations management including anti-discrimination and diversity legislation, occupational health and safety and environment</w:t>
            </w:r>
          </w:p>
        </w:tc>
      </w:tr>
    </w:tbl>
    <w:p w:rsidR="00000000" w:rsidRPr="00145EE5" w:rsidP="00145EE5">
      <w:pPr>
        <w:pStyle w:val="BodyText"/>
      </w:pPr>
    </w:p>
    <w:p w:rsidR="00000000" w:rsidRPr="00145EE5" w:rsidP="00145EE5">
      <w:pPr>
        <w:pStyle w:val="AllowPageBreak"/>
      </w:pPr>
    </w:p>
    <w:p w:rsidR="00000000" w:rsidRPr="00145EE5" w:rsidP="00145EE5">
      <w:pPr>
        <w:pStyle w:val="Heading1"/>
      </w:pPr>
      <w:bookmarkStart w:id="10" w:name="O_499055"/>
      <w:bookmarkEnd w:id="10"/>
      <w:r w:rsidRPr="00145EE5">
        <w:t>Evidence Guide</w:t>
      </w:r>
    </w:p>
    <w:tbl>
      <w:tblPr>
        <w:tblW w:w="9322" w:type="dxa"/>
        <w:tblLayout w:type="fixed"/>
        <w:tblCellMar>
          <w:left w:w="62" w:type="dxa"/>
          <w:right w:w="62" w:type="dxa"/>
        </w:tblCellMar>
        <w:tblLook w:val="0000"/>
      </w:tblPr>
      <w:tblGrid>
        <w:gridCol w:w="2660"/>
        <w:gridCol w:w="6662"/>
      </w:tblGrid>
      <w:tr w:rsidTr="002D6278">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45EE5">
            <w:pPr>
              <w:pStyle w:val="BodyText"/>
              <w:rPr>
                <w:lang w:val="en-NZ"/>
              </w:rPr>
            </w:pPr>
            <w:r w:rsidRPr="00145EE5">
              <w:t>The Evidence Guide specifies the evidence required to demonstrate achievement in the unit of co</w:t>
            </w:r>
            <w:r w:rsidRPr="00145EE5">
              <w:t>mpetency as a whole. It must be read in conjunction with the Unit descriptor, Performance Criteria, the Range Statement and the Assessment Guidelines for the Public Sector Training Package.</w:t>
            </w:r>
          </w:p>
        </w:tc>
      </w:tr>
      <w:tr w:rsidTr="002D62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145EE5" w:rsidP="00145EE5">
            <w:pPr>
              <w:pStyle w:val="BodyText"/>
            </w:pPr>
            <w:r w:rsidRPr="00145EE5">
              <w:rPr>
                <w:rStyle w:val="SpecialBold"/>
              </w:rPr>
              <w:t>Units to be assessed together</w:t>
            </w:r>
            <w:r w:rsidRPr="00145EE5">
              <w:t xml:space="preserve"> </w:t>
            </w:r>
          </w:p>
        </w:tc>
        <w:tc>
          <w:tcPr>
            <w:tcW w:w="6662" w:type="dxa"/>
            <w:tcBorders>
              <w:top w:val="nil"/>
              <w:left w:val="nil"/>
              <w:bottom w:val="nil"/>
              <w:right w:val="nil"/>
            </w:tcBorders>
            <w:tcMar>
              <w:top w:w="0" w:type="dxa"/>
              <w:left w:w="62" w:type="dxa"/>
              <w:bottom w:w="0" w:type="dxa"/>
              <w:right w:w="62" w:type="dxa"/>
            </w:tcMar>
          </w:tcPr>
          <w:p w:rsidR="00000000" w:rsidRPr="00145EE5" w:rsidP="00145EE5">
            <w:pPr>
              <w:pStyle w:val="ListBullet2"/>
            </w:pPr>
            <w:r w:rsidRPr="00145EE5">
              <w:rPr>
                <w:rStyle w:val="Emphasis"/>
              </w:rPr>
              <w:t>Pre</w:t>
            </w:r>
            <w:r w:rsidRPr="00145EE5">
              <w:t>-</w:t>
            </w:r>
            <w:r w:rsidRPr="00145EE5">
              <w:rPr>
                <w:rStyle w:val="Emphasis"/>
              </w:rPr>
              <w:t>requisite</w:t>
            </w:r>
            <w:r w:rsidRPr="00145EE5">
              <w:t xml:space="preserve"> units that </w:t>
            </w:r>
            <w:r w:rsidRPr="00145EE5">
              <w:rPr>
                <w:rStyle w:val="Underline"/>
              </w:rPr>
              <w:t>must</w:t>
            </w:r>
            <w:r w:rsidRPr="00145EE5">
              <w:t xml:space="preserve"> be achieved </w:t>
            </w:r>
            <w:r w:rsidRPr="00145EE5">
              <w:rPr>
                <w:rStyle w:val="Underline"/>
              </w:rPr>
              <w:t>prior</w:t>
            </w:r>
            <w:r w:rsidRPr="00145EE5">
              <w:t xml:space="preserve"> to this unit:</w:t>
            </w:r>
            <w:r w:rsidRPr="00145EE5">
              <w:rPr>
                <w:rStyle w:val="Emphasis"/>
              </w:rPr>
              <w:t>Nil</w:t>
            </w:r>
          </w:p>
          <w:p w:rsidR="00000000" w:rsidRPr="00145EE5" w:rsidP="00145EE5">
            <w:pPr>
              <w:pStyle w:val="ListBullet2"/>
            </w:pPr>
            <w:r w:rsidRPr="00145EE5">
              <w:rPr>
                <w:rStyle w:val="Emphasis"/>
              </w:rPr>
              <w:t>Co</w:t>
            </w:r>
            <w:r w:rsidRPr="00145EE5">
              <w:t>-</w:t>
            </w:r>
            <w:r w:rsidRPr="00145EE5">
              <w:rPr>
                <w:rStyle w:val="Emphasis"/>
              </w:rPr>
              <w:t>requisite</w:t>
            </w:r>
            <w:r w:rsidRPr="00145EE5">
              <w:t xml:space="preserve"> units that </w:t>
            </w:r>
            <w:r w:rsidRPr="00145EE5">
              <w:rPr>
                <w:rStyle w:val="Underline"/>
              </w:rPr>
              <w:t>must</w:t>
            </w:r>
            <w:r w:rsidRPr="00145EE5">
              <w:t xml:space="preserve"> be assessed </w:t>
            </w:r>
            <w:r w:rsidRPr="00145EE5">
              <w:rPr>
                <w:rStyle w:val="Underline"/>
              </w:rPr>
              <w:t>with</w:t>
            </w:r>
            <w:r w:rsidRPr="00145EE5">
              <w:t xml:space="preserve"> this unit:</w:t>
            </w:r>
            <w:r w:rsidRPr="00145EE5">
              <w:rPr>
                <w:rStyle w:val="Emphasis"/>
              </w:rPr>
              <w:t>Nil</w:t>
            </w:r>
          </w:p>
          <w:p w:rsidR="00000000" w:rsidRPr="00145EE5" w:rsidP="00145EE5">
            <w:pPr>
              <w:pStyle w:val="ListBullet2"/>
            </w:pPr>
            <w:r w:rsidRPr="00145EE5">
              <w:rPr>
                <w:rStyle w:val="Emphasis"/>
              </w:rPr>
              <w:t>Co</w:t>
            </w:r>
            <w:r w:rsidRPr="00145EE5">
              <w:t>-</w:t>
            </w:r>
            <w:r w:rsidRPr="00145EE5">
              <w:rPr>
                <w:rStyle w:val="Emphasis"/>
              </w:rPr>
              <w:t>assessed units</w:t>
            </w:r>
            <w:r w:rsidRPr="00145EE5">
              <w:t xml:space="preserve"> that </w:t>
            </w:r>
            <w:r w:rsidRPr="00145EE5">
              <w:rPr>
                <w:rStyle w:val="Underline"/>
              </w:rPr>
              <w:t>may</w:t>
            </w:r>
            <w:r w:rsidRPr="00145EE5">
              <w:t xml:space="preserve"> be assessed with this unit to increase the efficiency and realism of the assessment process include, but are not limited to:</w:t>
            </w:r>
          </w:p>
          <w:p w:rsidR="00000000" w:rsidRPr="00145EE5" w:rsidP="00145EE5">
            <w:pPr>
              <w:pStyle w:val="ListBullet3"/>
            </w:pPr>
            <w:r w:rsidRPr="00145EE5">
              <w:t>PSPETHC</w:t>
            </w:r>
            <w:r w:rsidRPr="00145EE5">
              <w:t>701A Lead and influence ethical practice in the public sector</w:t>
            </w:r>
          </w:p>
          <w:p w:rsidR="00000000" w:rsidRPr="00145EE5" w:rsidP="00145EE5">
            <w:pPr>
              <w:pStyle w:val="ListBullet3"/>
            </w:pPr>
            <w:r w:rsidRPr="00145EE5">
              <w:t>PSPHR703A Provide leadership in strategic human resource management</w:t>
            </w:r>
          </w:p>
          <w:p w:rsidR="00000000" w:rsidRPr="00145EE5" w:rsidP="00145EE5">
            <w:pPr>
              <w:pStyle w:val="ListBullet3"/>
            </w:pPr>
            <w:r w:rsidRPr="00145EE5">
              <w:t>PSPMNGT701B Provide strategic direction</w:t>
            </w:r>
          </w:p>
          <w:p w:rsidR="00000000" w:rsidRPr="00145EE5" w:rsidP="00145EE5">
            <w:pPr>
              <w:pStyle w:val="ListBullet3"/>
            </w:pPr>
            <w:r w:rsidRPr="00145EE5">
              <w:t>PSPMNGT702A Influence and shape diversity management</w:t>
            </w:r>
          </w:p>
          <w:p w:rsidR="00000000" w:rsidRPr="00145EE5" w:rsidP="00145EE5">
            <w:pPr>
              <w:pStyle w:val="ListBullet3"/>
            </w:pPr>
            <w:r w:rsidRPr="00145EE5">
              <w:t>PSPMNGT703A Lead and influence change</w:t>
            </w:r>
          </w:p>
          <w:p w:rsidR="00000000" w:rsidP="00145EE5">
            <w:pPr>
              <w:pStyle w:val="ListBullet3"/>
              <w:rPr>
                <w:lang w:val="en-NZ"/>
              </w:rPr>
            </w:pPr>
            <w:r w:rsidRPr="00145EE5">
              <w:t>PSPMNGT704A Undertake enterprise risk management</w:t>
            </w:r>
          </w:p>
        </w:tc>
      </w:tr>
      <w:tr w:rsidTr="002D62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45EE5">
            <w:pPr>
              <w:pStyle w:val="BodyText"/>
              <w:rPr>
                <w:lang w:val="en-NZ"/>
              </w:rPr>
            </w:pPr>
            <w:r w:rsidRPr="00145EE5">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145EE5" w:rsidP="00145EE5">
            <w:pPr>
              <w:pStyle w:val="BodyText"/>
            </w:pPr>
            <w:r w:rsidRPr="00145EE5">
              <w:t>In addition to integrated demonstration of the elements and their related performance criteria, look for evidence that confirms:</w:t>
            </w:r>
          </w:p>
          <w:p w:rsidR="00000000" w:rsidRPr="00145EE5" w:rsidP="00145EE5">
            <w:pPr>
              <w:pStyle w:val="ListBullet2"/>
            </w:pPr>
            <w:r w:rsidRPr="00145EE5">
              <w:t xml:space="preserve">the </w:t>
            </w:r>
            <w:r w:rsidRPr="00145EE5">
              <w:t xml:space="preserve">knowledge requirements of this unit </w:t>
            </w:r>
          </w:p>
          <w:p w:rsidR="00000000" w:rsidRPr="00145EE5" w:rsidP="00145EE5">
            <w:pPr>
              <w:pStyle w:val="ListBullet2"/>
            </w:pPr>
            <w:r w:rsidRPr="00145EE5">
              <w:t>the skill requirements of this unit</w:t>
            </w:r>
          </w:p>
          <w:p w:rsidR="00000000" w:rsidRPr="00145EE5" w:rsidP="00145EE5">
            <w:pPr>
              <w:pStyle w:val="ListBullet2"/>
            </w:pPr>
            <w:r w:rsidRPr="00145EE5">
              <w:t>application of the Employability Skills as they relate to this unit (see Employability Summaries in Qualifications Framework)</w:t>
            </w:r>
          </w:p>
          <w:p w:rsidR="00000000" w:rsidP="00145EE5">
            <w:pPr>
              <w:pStyle w:val="ListBullet2"/>
              <w:rPr>
                <w:lang w:val="en-NZ"/>
              </w:rPr>
            </w:pPr>
            <w:r w:rsidRPr="00145EE5">
              <w:t>managing investigations programs relating to a range of (3 or more) contexts</w:t>
            </w:r>
          </w:p>
        </w:tc>
      </w:tr>
      <w:tr w:rsidTr="002D62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45EE5">
            <w:pPr>
              <w:pStyle w:val="BodyText"/>
              <w:rPr>
                <w:lang w:val="en-NZ"/>
              </w:rPr>
            </w:pPr>
            <w:r w:rsidRPr="00145EE5">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145EE5" w:rsidP="00145EE5">
            <w:pPr>
              <w:pStyle w:val="BodyText"/>
            </w:pPr>
            <w:r w:rsidRPr="00145EE5">
              <w:t>These resources include:</w:t>
            </w:r>
          </w:p>
          <w:p w:rsidR="00000000" w:rsidRPr="00145EE5" w:rsidP="00145EE5">
            <w:pPr>
              <w:pStyle w:val="ListBullet2"/>
            </w:pPr>
            <w:r w:rsidRPr="00145EE5">
              <w:t>the organisation's enabling legislation, policy and procedures that provide investigation powers</w:t>
            </w:r>
          </w:p>
          <w:p w:rsidR="00000000" w:rsidRPr="00145EE5" w:rsidP="00145EE5">
            <w:pPr>
              <w:pStyle w:val="ListBullet2"/>
            </w:pPr>
            <w:r w:rsidRPr="00145EE5">
              <w:t>investigatio</w:t>
            </w:r>
            <w:r w:rsidRPr="00145EE5">
              <w:t>n guidelines and standards</w:t>
            </w:r>
          </w:p>
          <w:p w:rsidR="00000000" w:rsidRPr="00145EE5" w:rsidP="00145EE5">
            <w:pPr>
              <w:pStyle w:val="ListBullet2"/>
            </w:pPr>
            <w:r w:rsidRPr="00145EE5">
              <w:t>public sector values and codes of conduct</w:t>
            </w:r>
          </w:p>
          <w:p w:rsidR="00000000" w:rsidP="00145EE5">
            <w:pPr>
              <w:pStyle w:val="ListBullet2"/>
              <w:rPr>
                <w:lang w:val="en-NZ"/>
              </w:rPr>
            </w:pPr>
            <w:r w:rsidRPr="00145EE5">
              <w:t>case studies and workplace scenarios to capture the range of situations likely to be encountered when managing investigations programs</w:t>
            </w:r>
          </w:p>
        </w:tc>
      </w:tr>
      <w:tr w:rsidTr="002D62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45EE5">
            <w:pPr>
              <w:pStyle w:val="BodyText"/>
              <w:rPr>
                <w:lang w:val="en-NZ"/>
              </w:rPr>
            </w:pPr>
            <w:r w:rsidRPr="00145EE5">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145EE5" w:rsidP="00145EE5">
            <w:pPr>
              <w:pStyle w:val="BodyText"/>
            </w:pPr>
            <w:r w:rsidRPr="00145EE5">
              <w:t>Valid assessment o</w:t>
            </w:r>
            <w:r w:rsidRPr="00145EE5">
              <w:t xml:space="preserve">f this unit requires: </w:t>
            </w:r>
          </w:p>
          <w:p w:rsidR="00000000" w:rsidRPr="00145EE5" w:rsidP="00145EE5">
            <w:pPr>
              <w:pStyle w:val="ListBullet2"/>
            </w:pPr>
            <w:r w:rsidRPr="00145EE5">
              <w:t>a workplace environment or one that closely resembles normal work practice and replicates the range of conditions likely to be encountered when managing investigations programs, including coping with difficulties, irregularities and</w:t>
            </w:r>
            <w:r w:rsidRPr="00145EE5">
              <w:t xml:space="preserve"> breakdowns in routine</w:t>
            </w:r>
          </w:p>
          <w:p w:rsidR="00000000" w:rsidRPr="00145EE5" w:rsidP="00145EE5">
            <w:pPr>
              <w:pStyle w:val="ListBullet2"/>
            </w:pPr>
            <w:r w:rsidRPr="00145EE5">
              <w:t>managing investigations programs relating to a range of (3 or more) contexts</w:t>
            </w:r>
          </w:p>
          <w:p w:rsidR="00000000" w:rsidRPr="00145EE5" w:rsidP="00145EE5">
            <w:pPr>
              <w:pStyle w:val="BodyText"/>
            </w:pPr>
            <w:r w:rsidRPr="00145EE5">
              <w:t>Assessment methods should reflect workplace demands, such as literacy, and the needs of particular groups, such as:</w:t>
            </w:r>
          </w:p>
          <w:p w:rsidR="00000000" w:rsidRPr="00145EE5" w:rsidP="00145EE5">
            <w:pPr>
              <w:pStyle w:val="ListBullet2"/>
            </w:pPr>
            <w:r w:rsidRPr="00145EE5">
              <w:t>people with disabilities</w:t>
            </w:r>
          </w:p>
          <w:p w:rsidR="00000000" w:rsidRPr="00145EE5" w:rsidP="00145EE5">
            <w:pPr>
              <w:pStyle w:val="ListBullet2"/>
            </w:pPr>
            <w:r w:rsidRPr="00145EE5">
              <w:t>people from culturally and linguistically diverse backgrounds</w:t>
            </w:r>
          </w:p>
          <w:p w:rsidR="00000000" w:rsidRPr="00145EE5" w:rsidP="00145EE5">
            <w:pPr>
              <w:pStyle w:val="ListBullet2"/>
            </w:pPr>
            <w:r w:rsidRPr="00145EE5">
              <w:t>Aboriginal and Torres Strait Islander people</w:t>
            </w:r>
          </w:p>
          <w:p w:rsidR="00000000" w:rsidRPr="00145EE5" w:rsidP="00145EE5">
            <w:pPr>
              <w:pStyle w:val="ListBullet2"/>
            </w:pPr>
            <w:r w:rsidRPr="00145EE5">
              <w:t>women</w:t>
            </w:r>
          </w:p>
          <w:p w:rsidR="00000000" w:rsidRPr="00145EE5" w:rsidP="00145EE5">
            <w:pPr>
              <w:pStyle w:val="ListBullet2"/>
            </w:pPr>
            <w:r w:rsidRPr="00145EE5">
              <w:t>young people</w:t>
            </w:r>
          </w:p>
          <w:p w:rsidR="00000000" w:rsidRPr="00145EE5" w:rsidP="00145EE5">
            <w:pPr>
              <w:pStyle w:val="ListBullet2"/>
            </w:pPr>
            <w:r w:rsidRPr="00145EE5">
              <w:t>older people</w:t>
            </w:r>
          </w:p>
          <w:p w:rsidR="00000000" w:rsidRPr="00145EE5" w:rsidP="00145EE5">
            <w:pPr>
              <w:pStyle w:val="ListBullet2"/>
            </w:pPr>
            <w:r w:rsidRPr="00145EE5">
              <w:t>people in rural and remote locations</w:t>
            </w:r>
          </w:p>
          <w:p w:rsidR="00000000" w:rsidRPr="00145EE5" w:rsidP="00145EE5">
            <w:pPr>
              <w:pStyle w:val="BodyText"/>
            </w:pPr>
            <w:r w:rsidRPr="00145EE5">
              <w:t>Assessment methods suitable for valid and reliable assessment of this competency</w:t>
            </w:r>
            <w:r w:rsidRPr="00145EE5">
              <w:t xml:space="preserve"> may include, but are not limited to, a combination of 2 or more of: </w:t>
            </w:r>
          </w:p>
          <w:p w:rsidR="00000000" w:rsidRPr="00145EE5" w:rsidP="00145EE5">
            <w:pPr>
              <w:pStyle w:val="ListBullet2"/>
            </w:pPr>
            <w:r w:rsidRPr="00145EE5">
              <w:t>case studies</w:t>
            </w:r>
          </w:p>
          <w:p w:rsidR="00000000" w:rsidRPr="00145EE5" w:rsidP="00145EE5">
            <w:pPr>
              <w:pStyle w:val="ListBullet2"/>
            </w:pPr>
            <w:r w:rsidRPr="00145EE5">
              <w:t xml:space="preserve">portfolios </w:t>
            </w:r>
          </w:p>
          <w:p w:rsidR="00000000" w:rsidRPr="00145EE5" w:rsidP="00145EE5">
            <w:pPr>
              <w:pStyle w:val="ListBullet2"/>
            </w:pPr>
            <w:r w:rsidRPr="00145EE5">
              <w:t>questioning</w:t>
            </w:r>
          </w:p>
          <w:p w:rsidR="00000000" w:rsidRPr="00145EE5" w:rsidP="00145EE5">
            <w:pPr>
              <w:pStyle w:val="ListBullet2"/>
            </w:pPr>
            <w:r w:rsidRPr="00145EE5">
              <w:t>scenarios</w:t>
            </w:r>
          </w:p>
          <w:p w:rsidR="00000000" w:rsidP="00145EE5">
            <w:pPr>
              <w:pStyle w:val="ListBullet2"/>
              <w:rPr>
                <w:lang w:val="en-NZ"/>
              </w:rPr>
            </w:pPr>
            <w:r w:rsidRPr="00145EE5">
              <w:t xml:space="preserve">authenticated evidence from the workplace and/or training courses   </w:t>
            </w:r>
          </w:p>
        </w:tc>
      </w:tr>
      <w:tr w:rsidTr="002D62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45EE5">
            <w:pPr>
              <w:pStyle w:val="BodyText"/>
              <w:rPr>
                <w:lang w:val="en-NZ"/>
              </w:rPr>
            </w:pPr>
            <w:r w:rsidRPr="00145EE5">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145EE5" w:rsidP="00145EE5">
            <w:pPr>
              <w:pStyle w:val="BodyText"/>
            </w:pPr>
            <w:r w:rsidRPr="00145EE5">
              <w:t>Evidence must be gathered over time in a range of contexts to ensure the person can achieve the unit outcome and apply the competency in different situations or environments</w:t>
            </w:r>
          </w:p>
        </w:tc>
      </w:tr>
    </w:tbl>
    <w:p w:rsidR="00000000" w:rsidRPr="00145EE5" w:rsidP="00145EE5">
      <w:pPr>
        <w:pStyle w:val="BodyText"/>
      </w:pPr>
    </w:p>
    <w:p w:rsidR="00000000" w:rsidRPr="00145EE5" w:rsidP="00145EE5">
      <w:pPr>
        <w:pStyle w:val="AllowPageBreak"/>
      </w:pPr>
    </w:p>
    <w:p w:rsidR="00000000" w:rsidRPr="00145EE5" w:rsidP="00145EE5">
      <w:pPr>
        <w:pStyle w:val="Heading1"/>
      </w:pPr>
      <w:bookmarkStart w:id="11" w:name="O_499048"/>
      <w:bookmarkEnd w:id="11"/>
      <w:r w:rsidRPr="00145EE5">
        <w:t>Range Statement</w:t>
      </w:r>
    </w:p>
    <w:tbl>
      <w:tblPr>
        <w:tblW w:w="9322" w:type="dxa"/>
        <w:tblLayout w:type="fixed"/>
        <w:tblCellMar>
          <w:left w:w="62" w:type="dxa"/>
          <w:right w:w="62" w:type="dxa"/>
        </w:tblCellMar>
        <w:tblLook w:val="0000"/>
      </w:tblPr>
      <w:tblGrid>
        <w:gridCol w:w="2660"/>
        <w:gridCol w:w="6662"/>
      </w:tblGrid>
      <w:tr w:rsidTr="002D6278">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45EE5">
            <w:pPr>
              <w:pStyle w:val="BodyText"/>
              <w:rPr>
                <w:lang w:val="en-NZ"/>
              </w:rPr>
            </w:pPr>
            <w:r w:rsidRPr="00145EE5">
              <w:t xml:space="preserve">The Range Statement provides information about </w:t>
            </w:r>
            <w:r w:rsidRPr="00145EE5">
              <w:t>the context in which the unit of competency is carried out. The variables cater for differences between States and Territories and the Commonwealth, and between organisations and workplaces. They allow for different work requirements, work practices and kn</w:t>
            </w:r>
            <w:r w:rsidRPr="00145EE5">
              <w:t xml:space="preserve">owledge. The Range Statement also provides a focus for assessment. It relates to the unit as a whole. Text in </w:t>
            </w:r>
            <w:r w:rsidRPr="00145EE5">
              <w:rPr>
                <w:rStyle w:val="BoldandItalics"/>
              </w:rPr>
              <w:t xml:space="preserve">bold italics </w:t>
            </w:r>
            <w:r w:rsidRPr="00145EE5">
              <w:t>in the Performance Criteria is explained here.</w:t>
            </w:r>
          </w:p>
        </w:tc>
      </w:tr>
      <w:tr w:rsidTr="002D62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45EE5">
            <w:pPr>
              <w:pStyle w:val="BodyText"/>
              <w:rPr>
                <w:lang w:val="en-NZ"/>
              </w:rPr>
            </w:pPr>
            <w:r w:rsidRPr="00145EE5">
              <w:rPr>
                <w:rStyle w:val="BoldandItalics"/>
              </w:rPr>
              <w:t>Other avenues for conducting investigations</w:t>
            </w:r>
            <w:r w:rsidRPr="00145EE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45EE5" w:rsidP="00145EE5">
            <w:pPr>
              <w:pStyle w:val="ListBullet2"/>
            </w:pPr>
            <w:r w:rsidRPr="00145EE5">
              <w:t>joint operations</w:t>
            </w:r>
          </w:p>
          <w:p w:rsidR="00000000" w:rsidRPr="00145EE5" w:rsidP="00145EE5">
            <w:pPr>
              <w:pStyle w:val="ListBullet2"/>
            </w:pPr>
            <w:r w:rsidRPr="00145EE5">
              <w:t>referral to other agencies</w:t>
            </w:r>
          </w:p>
          <w:p w:rsidR="00000000" w:rsidP="00145EE5">
            <w:pPr>
              <w:pStyle w:val="ListBullet2"/>
              <w:rPr>
                <w:lang w:val="en-NZ"/>
              </w:rPr>
            </w:pPr>
            <w:r w:rsidRPr="00145EE5">
              <w:t>private investigators</w:t>
            </w:r>
          </w:p>
        </w:tc>
      </w:tr>
      <w:tr w:rsidTr="002D62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45EE5">
            <w:pPr>
              <w:pStyle w:val="BodyText"/>
              <w:rPr>
                <w:lang w:val="en-NZ"/>
              </w:rPr>
            </w:pPr>
            <w:r w:rsidRPr="00145EE5">
              <w:rPr>
                <w:rStyle w:val="BoldandItalics"/>
              </w:rPr>
              <w:t xml:space="preserve">Guidelines </w:t>
            </w:r>
            <w:r w:rsidRPr="00145EE5">
              <w:t>may include:</w:t>
            </w:r>
          </w:p>
        </w:tc>
        <w:tc>
          <w:tcPr>
            <w:tcW w:w="6662" w:type="dxa"/>
            <w:tcBorders>
              <w:top w:val="nil"/>
              <w:left w:val="nil"/>
              <w:bottom w:val="nil"/>
              <w:right w:val="nil"/>
            </w:tcBorders>
            <w:tcMar>
              <w:top w:w="0" w:type="dxa"/>
              <w:left w:w="62" w:type="dxa"/>
              <w:bottom w:w="0" w:type="dxa"/>
              <w:right w:w="62" w:type="dxa"/>
            </w:tcMar>
          </w:tcPr>
          <w:p w:rsidR="00000000" w:rsidRPr="00145EE5" w:rsidP="00145EE5">
            <w:pPr>
              <w:pStyle w:val="ListBullet2"/>
            </w:pPr>
            <w:r w:rsidRPr="00145EE5">
              <w:t>those produced by standards setting organisations relevant to the jurisdiction</w:t>
            </w:r>
          </w:p>
        </w:tc>
      </w:tr>
    </w:tbl>
    <w:p w:rsidR="002D6278" w:rsidP="00145EE5">
      <w:pPr>
        <w:pStyle w:val="BodyText"/>
      </w:pPr>
    </w:p>
    <w:p w:rsidR="002D6278" w:rsidP="00145EE5">
      <w:pPr>
        <w:pStyle w:val="BodyText"/>
      </w:pPr>
    </w:p>
    <w:p w:rsidR="00000000" w:rsidRPr="00145EE5" w:rsidP="00145EE5">
      <w:pPr>
        <w:pStyle w:val="Heading1"/>
      </w:pPr>
      <w:bookmarkStart w:id="12" w:name="O_499054"/>
      <w:bookmarkEnd w:id="12"/>
      <w:r w:rsidRPr="00145EE5">
        <w:t>Unit Sector(s)</w:t>
      </w:r>
    </w:p>
    <w:p w:rsidR="00000000" w:rsidRPr="00145EE5" w:rsidP="00145EE5">
      <w:pPr>
        <w:pStyle w:val="BodyText"/>
      </w:pPr>
      <w:r w:rsidRPr="00145EE5">
        <w:t>Not applicable.</w:t>
      </w:r>
    </w:p>
    <w:p w:rsidR="00000000" w:rsidRPr="00145EE5" w:rsidP="00145EE5">
      <w:pPr>
        <w:pStyle w:val="AllowPageBreak"/>
      </w:pPr>
    </w:p>
    <w:p w:rsidR="00000000" w:rsidRPr="00145EE5" w:rsidP="00145EE5">
      <w:pPr>
        <w:pStyle w:val="Heading1"/>
      </w:pPr>
      <w:bookmarkStart w:id="13" w:name="O_499059"/>
      <w:bookmarkEnd w:id="13"/>
      <w:r w:rsidRPr="00145EE5">
        <w:t>Competency field</w:t>
      </w:r>
    </w:p>
    <w:p w:rsidR="00000000" w:rsidRPr="00145EE5" w:rsidP="00145EE5">
      <w:pPr>
        <w:pStyle w:val="BodyText"/>
      </w:pPr>
      <w:r w:rsidRPr="00145EE5">
        <w:t>Regulatory.</w:t>
      </w:r>
    </w:p>
    <w:p w:rsidR="00000000" w:rsidRPr="00145EE5" w:rsidP="00145EE5"/>
    <w:sectPr w:rsidSect="00145E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E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6278" w:rsidP="002D627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E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278" w:rsidP="00145EE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D6278" w:rsidP="00145E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D6278" w:rsidP="00145E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E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EE5" w:rsidRPr="002D6278" w:rsidP="002D62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E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278" w:rsidRPr="002D2AF8" w:rsidP="00145EE5">
    <w:pPr>
      <w:pStyle w:val="Header"/>
      <w:framePr w:wrap="around"/>
    </w:pPr>
    <w:r>
      <w:fldChar w:fldCharType="begin"/>
    </w:r>
    <w:r>
      <w:instrText xml:space="preserve"> TITLE   \* MERGEFORMAT </w:instrText>
    </w:r>
    <w:r>
      <w:fldChar w:fldCharType="separate"/>
    </w:r>
    <w:r>
      <w:t>PSPREG701A Manage investigations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2D6278" w:rsidP="00145E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4E43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84A4E6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E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5EE5"/>
    <w:pPr>
      <w:spacing w:before="360" w:after="60"/>
      <w:outlineLvl w:val="0"/>
    </w:pPr>
    <w:rPr>
      <w:sz w:val="32"/>
    </w:rPr>
  </w:style>
  <w:style w:type="paragraph" w:styleId="Heading2">
    <w:name w:val="heading 2"/>
    <w:basedOn w:val="HeadingBase"/>
    <w:next w:val="BodyText"/>
    <w:link w:val="Heading2Char"/>
    <w:qFormat/>
    <w:rsid w:val="00145EE5"/>
    <w:pPr>
      <w:keepLines/>
      <w:spacing w:before="240" w:after="120"/>
      <w:outlineLvl w:val="1"/>
    </w:pPr>
    <w:rPr>
      <w:sz w:val="28"/>
      <w:szCs w:val="40"/>
    </w:rPr>
  </w:style>
  <w:style w:type="paragraph" w:styleId="Heading3">
    <w:name w:val="heading 3"/>
    <w:basedOn w:val="HeadingBase"/>
    <w:next w:val="BodyText"/>
    <w:link w:val="Heading3Char"/>
    <w:qFormat/>
    <w:rsid w:val="00145EE5"/>
    <w:pPr>
      <w:spacing w:before="180" w:after="120"/>
      <w:outlineLvl w:val="2"/>
    </w:pPr>
    <w:rPr>
      <w:spacing w:val="-10"/>
      <w:kern w:val="32"/>
    </w:rPr>
  </w:style>
  <w:style w:type="paragraph" w:styleId="Heading4">
    <w:name w:val="heading 4"/>
    <w:basedOn w:val="HeadingBase"/>
    <w:next w:val="BodyText"/>
    <w:link w:val="Heading4Char"/>
    <w:qFormat/>
    <w:rsid w:val="00145EE5"/>
    <w:pPr>
      <w:spacing w:before="160" w:after="120"/>
      <w:outlineLvl w:val="3"/>
    </w:pPr>
    <w:rPr>
      <w:sz w:val="22"/>
    </w:rPr>
  </w:style>
  <w:style w:type="paragraph" w:styleId="Heading5">
    <w:name w:val="heading 5"/>
    <w:basedOn w:val="HeadingBase"/>
    <w:next w:val="Normal"/>
    <w:link w:val="Heading5Char"/>
    <w:qFormat/>
    <w:rsid w:val="00145EE5"/>
    <w:pPr>
      <w:spacing w:before="80"/>
      <w:outlineLvl w:val="4"/>
    </w:pPr>
    <w:rPr>
      <w:color w:val="918585"/>
      <w:sz w:val="20"/>
    </w:rPr>
  </w:style>
  <w:style w:type="paragraph" w:styleId="Heading6">
    <w:name w:val="heading 6"/>
    <w:basedOn w:val="HeadingBase"/>
    <w:next w:val="Normal"/>
    <w:link w:val="Heading6Char"/>
    <w:qFormat/>
    <w:rsid w:val="00145EE5"/>
    <w:pPr>
      <w:spacing w:before="60"/>
      <w:outlineLvl w:val="5"/>
    </w:pPr>
    <w:rPr>
      <w:color w:val="918585"/>
      <w:sz w:val="20"/>
    </w:rPr>
  </w:style>
  <w:style w:type="paragraph" w:styleId="Heading7">
    <w:name w:val="heading 7"/>
    <w:basedOn w:val="Normal"/>
    <w:next w:val="Normal"/>
    <w:link w:val="Heading7Char"/>
    <w:qFormat/>
    <w:rsid w:val="00145EE5"/>
    <w:pPr>
      <w:ind w:left="720"/>
      <w:outlineLvl w:val="6"/>
    </w:pPr>
    <w:rPr>
      <w:i/>
    </w:rPr>
  </w:style>
  <w:style w:type="paragraph" w:styleId="Heading8">
    <w:name w:val="heading 8"/>
    <w:basedOn w:val="Normal"/>
    <w:next w:val="Normal"/>
    <w:link w:val="Heading8Char"/>
    <w:qFormat/>
    <w:rsid w:val="00145EE5"/>
    <w:pPr>
      <w:ind w:left="720"/>
      <w:outlineLvl w:val="7"/>
    </w:pPr>
    <w:rPr>
      <w:i/>
    </w:rPr>
  </w:style>
  <w:style w:type="paragraph" w:styleId="Heading9">
    <w:name w:val="heading 9"/>
    <w:basedOn w:val="Normal"/>
    <w:next w:val="Normal"/>
    <w:link w:val="Heading9Char"/>
    <w:qFormat/>
    <w:rsid w:val="00145EE5"/>
    <w:pPr>
      <w:ind w:left="720"/>
      <w:outlineLvl w:val="8"/>
    </w:pPr>
    <w:rPr>
      <w:i/>
    </w:rPr>
  </w:style>
  <w:style w:type="character" w:default="1" w:styleId="DefaultParagraphFont">
    <w:name w:val="Default Paragraph Font"/>
    <w:uiPriority w:val="1"/>
    <w:unhideWhenUsed/>
    <w:rsid w:val="00145E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5EE5"/>
  </w:style>
  <w:style w:type="character" w:customStyle="1" w:styleId="Heading1Char">
    <w:name w:val="Heading 1 Char"/>
    <w:basedOn w:val="DefaultParagraphFont"/>
    <w:link w:val="Heading1"/>
    <w:rsid w:val="00145EE5"/>
    <w:rPr>
      <w:rFonts w:ascii="Times New Roman" w:eastAsia="Times New Roman" w:hAnsi="Times New Roman" w:cs="Times New Roman"/>
      <w:b/>
      <w:sz w:val="32"/>
      <w:szCs w:val="20"/>
      <w:lang w:eastAsia="en-US"/>
    </w:rPr>
  </w:style>
  <w:style w:type="paragraph" w:styleId="BodyText">
    <w:name w:val="Body Text"/>
    <w:basedOn w:val="Normal"/>
    <w:link w:val="BodyTextChar"/>
    <w:rsid w:val="00145E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5EE5"/>
    <w:rPr>
      <w:rFonts w:ascii="Times New Roman" w:eastAsia="Times New Roman" w:hAnsi="Times New Roman" w:cs="Times New Roman"/>
      <w:sz w:val="24"/>
      <w:lang w:eastAsia="en-US"/>
    </w:rPr>
  </w:style>
  <w:style w:type="paragraph" w:styleId="Footer">
    <w:name w:val="footer"/>
    <w:basedOn w:val="Normal"/>
    <w:link w:val="FooterChar"/>
    <w:rsid w:val="00145E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5EE5"/>
    <w:rPr>
      <w:rFonts w:ascii="Times New Roman" w:eastAsia="Times New Roman" w:hAnsi="Times New Roman" w:cs="Times New Roman"/>
      <w:sz w:val="16"/>
      <w:lang w:eastAsia="en-US"/>
    </w:rPr>
  </w:style>
  <w:style w:type="paragraph" w:styleId="List">
    <w:name w:val="List"/>
    <w:basedOn w:val="BodyText"/>
    <w:next w:val="BodyText"/>
    <w:rsid w:val="00145EE5"/>
    <w:pPr>
      <w:tabs>
        <w:tab w:val="left" w:pos="340"/>
      </w:tabs>
      <w:spacing w:before="60" w:after="60"/>
      <w:ind w:left="340" w:hanging="340"/>
    </w:pPr>
  </w:style>
  <w:style w:type="character" w:customStyle="1" w:styleId="SpecialBold">
    <w:name w:val="Special Bold"/>
    <w:basedOn w:val="DefaultParagraphFont"/>
    <w:rsid w:val="00145EE5"/>
    <w:rPr>
      <w:b/>
      <w:spacing w:val="0"/>
    </w:rPr>
  </w:style>
  <w:style w:type="paragraph" w:styleId="ListBullet2">
    <w:name w:val="List Bullet 2"/>
    <w:basedOn w:val="List2"/>
    <w:rsid w:val="00145EE5"/>
    <w:pPr>
      <w:numPr>
        <w:numId w:val="14"/>
      </w:numPr>
      <w:tabs>
        <w:tab w:val="clear" w:pos="680"/>
      </w:tabs>
    </w:pPr>
  </w:style>
  <w:style w:type="character" w:styleId="Emphasis">
    <w:name w:val="Emphasis"/>
    <w:basedOn w:val="DefaultParagraphFont"/>
    <w:qFormat/>
    <w:rsid w:val="00145EE5"/>
    <w:rPr>
      <w:i/>
    </w:rPr>
  </w:style>
  <w:style w:type="paragraph" w:customStyle="1" w:styleId="SuperHeading">
    <w:name w:val="SuperHeading"/>
    <w:basedOn w:val="Normal"/>
    <w:rsid w:val="00145EE5"/>
    <w:pPr>
      <w:spacing w:before="240" w:after="120"/>
      <w:outlineLvl w:val="0"/>
    </w:pPr>
    <w:rPr>
      <w:rFonts w:ascii="Times New Roman" w:hAnsi="Times New Roman"/>
      <w:b/>
      <w:sz w:val="28"/>
    </w:rPr>
  </w:style>
  <w:style w:type="paragraph" w:customStyle="1" w:styleId="AllowPageBreak">
    <w:name w:val="AllowPageBreak"/>
    <w:rsid w:val="00145EE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45EE5"/>
    <w:pPr>
      <w:numPr>
        <w:numId w:val="2"/>
      </w:numPr>
      <w:tabs>
        <w:tab w:val="clear" w:pos="1021"/>
      </w:tabs>
      <w:ind w:left="1037" w:hanging="357"/>
    </w:pPr>
  </w:style>
  <w:style w:type="character" w:customStyle="1" w:styleId="Underline">
    <w:name w:val="Underline"/>
    <w:basedOn w:val="DefaultParagraphFont"/>
    <w:qFormat/>
    <w:rsid w:val="00145EE5"/>
    <w:rPr>
      <w:u w:val="single"/>
    </w:rPr>
  </w:style>
  <w:style w:type="character" w:customStyle="1" w:styleId="BoldandItalics">
    <w:name w:val="Bold and Italics"/>
    <w:qFormat/>
    <w:rsid w:val="00145EE5"/>
    <w:rPr>
      <w:b/>
      <w:i/>
      <w:u w:val="none"/>
    </w:rPr>
  </w:style>
  <w:style w:type="character" w:customStyle="1" w:styleId="Heading2Char">
    <w:name w:val="Heading 2 Char"/>
    <w:basedOn w:val="DefaultParagraphFont"/>
    <w:link w:val="Heading2"/>
    <w:rsid w:val="00145E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5E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5E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5E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5E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5E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5E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5EE5"/>
    <w:rPr>
      <w:rFonts w:ascii="Courier New" w:eastAsia="Times New Roman" w:hAnsi="Courier New" w:cs="Times New Roman"/>
      <w:i/>
      <w:szCs w:val="20"/>
      <w:lang w:eastAsia="en-US"/>
    </w:rPr>
  </w:style>
  <w:style w:type="paragraph" w:customStyle="1" w:styleId="HeadingBase">
    <w:name w:val="Heading Base"/>
    <w:rsid w:val="00145E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5EE5"/>
    <w:pPr>
      <w:tabs>
        <w:tab w:val="right" w:leader="dot" w:pos="9072"/>
      </w:tabs>
      <w:ind w:left="567"/>
    </w:pPr>
    <w:rPr>
      <w:szCs w:val="22"/>
    </w:rPr>
  </w:style>
  <w:style w:type="paragraph" w:customStyle="1" w:styleId="TOCBase">
    <w:name w:val="TOC Base"/>
    <w:rsid w:val="00145E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5EE5"/>
    <w:pPr>
      <w:tabs>
        <w:tab w:val="right" w:leader="dot" w:pos="9072"/>
      </w:tabs>
      <w:spacing w:before="40" w:after="40"/>
      <w:ind w:left="284"/>
    </w:pPr>
    <w:rPr>
      <w:rFonts w:ascii="Times New Roman" w:hAnsi="Times New Roman"/>
    </w:rPr>
  </w:style>
  <w:style w:type="paragraph" w:styleId="TOC1">
    <w:name w:val="toc 1"/>
    <w:basedOn w:val="TOCBase"/>
    <w:next w:val="Normal"/>
    <w:rsid w:val="00145E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5EE5"/>
    <w:pPr>
      <w:spacing w:before="5040"/>
      <w:jc w:val="center"/>
    </w:pPr>
    <w:rPr>
      <w:sz w:val="48"/>
      <w:szCs w:val="72"/>
      <w:lang w:val="en-US"/>
    </w:rPr>
  </w:style>
  <w:style w:type="character" w:customStyle="1" w:styleId="TitleChar">
    <w:name w:val="Title Char"/>
    <w:basedOn w:val="DefaultParagraphFont"/>
    <w:link w:val="Title"/>
    <w:rsid w:val="00145E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5EE5"/>
    <w:pPr>
      <w:tabs>
        <w:tab w:val="left" w:pos="3600"/>
        <w:tab w:val="left" w:pos="3958"/>
      </w:tabs>
    </w:pPr>
  </w:style>
  <w:style w:type="paragraph" w:styleId="ListBullet">
    <w:name w:val="List Bullet"/>
    <w:basedOn w:val="List"/>
    <w:rsid w:val="00145EE5"/>
    <w:pPr>
      <w:numPr>
        <w:numId w:val="13"/>
      </w:numPr>
      <w:tabs>
        <w:tab w:val="clear" w:pos="340"/>
      </w:tabs>
      <w:spacing w:before="40" w:after="40"/>
    </w:pPr>
  </w:style>
  <w:style w:type="paragraph" w:customStyle="1" w:styleId="Note">
    <w:name w:val="Note"/>
    <w:basedOn w:val="BodyText"/>
    <w:rsid w:val="00145E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5EE5"/>
    <w:pPr>
      <w:framePr w:wrap="auto" w:hAnchor="text" w:y="6049"/>
    </w:pPr>
    <w:rPr>
      <w:color w:val="000000"/>
      <w:sz w:val="40"/>
    </w:rPr>
  </w:style>
  <w:style w:type="paragraph" w:customStyle="1" w:styleId="TOCTitle">
    <w:name w:val="TOCTitle"/>
    <w:basedOn w:val="Heading1"/>
    <w:rsid w:val="00145EE5"/>
    <w:pPr>
      <w:spacing w:after="240"/>
      <w:jc w:val="center"/>
      <w:outlineLvl w:val="9"/>
    </w:pPr>
    <w:rPr>
      <w:caps/>
    </w:rPr>
  </w:style>
  <w:style w:type="paragraph" w:customStyle="1" w:styleId="Version">
    <w:name w:val="Version"/>
    <w:rsid w:val="00145E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5EE5"/>
    <w:pPr>
      <w:keepNext w:val="0"/>
      <w:tabs>
        <w:tab w:val="right" w:pos="4176"/>
      </w:tabs>
      <w:ind w:left="198" w:hanging="198"/>
    </w:pPr>
    <w:rPr>
      <w:rFonts w:ascii="Garamond" w:hAnsi="Garamond"/>
    </w:rPr>
  </w:style>
  <w:style w:type="paragraph" w:styleId="IndexHeading">
    <w:name w:val="index heading"/>
    <w:basedOn w:val="Normal"/>
    <w:next w:val="Index1"/>
    <w:semiHidden/>
    <w:rsid w:val="00145EE5"/>
    <w:pPr>
      <w:spacing w:before="120" w:after="120"/>
    </w:pPr>
    <w:rPr>
      <w:rFonts w:ascii="Arial" w:hAnsi="Arial"/>
      <w:b/>
      <w:color w:val="918585"/>
      <w:sz w:val="24"/>
    </w:rPr>
  </w:style>
  <w:style w:type="paragraph" w:styleId="Header">
    <w:name w:val="header"/>
    <w:basedOn w:val="Normal"/>
    <w:link w:val="HeaderChar"/>
    <w:rsid w:val="00145E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5EE5"/>
    <w:rPr>
      <w:rFonts w:ascii="Times New Roman" w:eastAsia="Times New Roman" w:hAnsi="Times New Roman" w:cs="Times New Roman"/>
      <w:sz w:val="16"/>
      <w:szCs w:val="20"/>
      <w:lang w:val="en-GB" w:eastAsia="en-US"/>
    </w:rPr>
  </w:style>
  <w:style w:type="paragraph" w:customStyle="1" w:styleId="Chapter">
    <w:name w:val="Chapter"/>
    <w:basedOn w:val="Normal"/>
    <w:rsid w:val="00145EE5"/>
    <w:pPr>
      <w:spacing w:before="240"/>
    </w:pPr>
    <w:rPr>
      <w:rFonts w:ascii="Times New Roman" w:hAnsi="Times New Roman"/>
      <w:smallCaps/>
      <w:spacing w:val="80"/>
      <w:sz w:val="28"/>
    </w:rPr>
  </w:style>
  <w:style w:type="paragraph" w:customStyle="1" w:styleId="InChapter">
    <w:name w:val="InChapter"/>
    <w:basedOn w:val="Heading3"/>
    <w:rsid w:val="00145EE5"/>
    <w:pPr>
      <w:spacing w:after="240"/>
      <w:outlineLvl w:val="9"/>
    </w:pPr>
    <w:rPr>
      <w:noProof/>
    </w:rPr>
  </w:style>
  <w:style w:type="paragraph" w:styleId="Index2">
    <w:name w:val="index 2"/>
    <w:basedOn w:val="Normal"/>
    <w:next w:val="Normal"/>
    <w:semiHidden/>
    <w:rsid w:val="00145EE5"/>
    <w:pPr>
      <w:tabs>
        <w:tab w:val="right" w:pos="4176"/>
      </w:tabs>
      <w:ind w:left="568" w:hanging="284"/>
    </w:pPr>
    <w:rPr>
      <w:rFonts w:ascii="Garamond" w:hAnsi="Garamond"/>
    </w:rPr>
  </w:style>
  <w:style w:type="paragraph" w:customStyle="1" w:styleId="Byline">
    <w:name w:val="Byline"/>
    <w:rsid w:val="00145E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5EE5"/>
    <w:pPr>
      <w:tabs>
        <w:tab w:val="clear" w:pos="3600"/>
        <w:tab w:val="clear" w:pos="3958"/>
      </w:tabs>
      <w:jc w:val="right"/>
    </w:pPr>
  </w:style>
  <w:style w:type="paragraph" w:styleId="Caption">
    <w:name w:val="caption"/>
    <w:basedOn w:val="BodyText"/>
    <w:next w:val="Normal"/>
    <w:qFormat/>
    <w:rsid w:val="00145EE5"/>
    <w:pPr>
      <w:framePr w:w="2268" w:hSpace="181" w:vSpace="181" w:wrap="around" w:vAnchor="text" w:hAnchor="page" w:x="1135" w:y="285" w:anchorLock="1"/>
    </w:pPr>
    <w:rPr>
      <w:i/>
    </w:rPr>
  </w:style>
  <w:style w:type="paragraph" w:customStyle="1" w:styleId="MiniTOCTitle">
    <w:name w:val="MiniTOCTitle"/>
    <w:basedOn w:val="Heading4"/>
    <w:rsid w:val="00145EE5"/>
    <w:pPr>
      <w:spacing w:before="240"/>
      <w:outlineLvl w:val="9"/>
    </w:pPr>
    <w:rPr>
      <w:noProof/>
      <w:sz w:val="24"/>
    </w:rPr>
  </w:style>
  <w:style w:type="paragraph" w:customStyle="1" w:styleId="MiniTOCItem">
    <w:name w:val="MiniTOCItem"/>
    <w:basedOn w:val="ListBullet"/>
    <w:rsid w:val="00145EE5"/>
    <w:pPr>
      <w:numPr>
        <w:numId w:val="0"/>
      </w:numPr>
      <w:tabs>
        <w:tab w:val="right" w:leader="dot" w:pos="6521"/>
      </w:tabs>
      <w:spacing w:before="0" w:after="0"/>
    </w:pPr>
  </w:style>
  <w:style w:type="paragraph" w:customStyle="1" w:styleId="TOFTitle">
    <w:name w:val="TOFTitle"/>
    <w:basedOn w:val="TOCTitle"/>
    <w:rsid w:val="00145EE5"/>
  </w:style>
  <w:style w:type="paragraph" w:styleId="TableofFigures">
    <w:name w:val="table of figures"/>
    <w:basedOn w:val="Normal"/>
    <w:next w:val="Normal"/>
    <w:semiHidden/>
    <w:rsid w:val="00145EE5"/>
    <w:pPr>
      <w:tabs>
        <w:tab w:val="right" w:leader="dot" w:pos="9072"/>
      </w:tabs>
      <w:ind w:left="970" w:hanging="403"/>
    </w:pPr>
    <w:rPr>
      <w:rFonts w:ascii="Times New Roman" w:hAnsi="Times New Roman"/>
      <w:b/>
    </w:rPr>
  </w:style>
  <w:style w:type="paragraph" w:styleId="ListNumber">
    <w:name w:val="List Number"/>
    <w:basedOn w:val="List"/>
    <w:rsid w:val="00145EE5"/>
    <w:pPr>
      <w:numPr>
        <w:numId w:val="11"/>
      </w:numPr>
    </w:pPr>
  </w:style>
  <w:style w:type="character" w:customStyle="1" w:styleId="WingdingSymbols">
    <w:name w:val="Wingding Symbols"/>
    <w:rsid w:val="00145EE5"/>
    <w:rPr>
      <w:rFonts w:ascii="Wingdings" w:hAnsi="Wingdings"/>
    </w:rPr>
  </w:style>
  <w:style w:type="paragraph" w:customStyle="1" w:styleId="TableHeading">
    <w:name w:val="Table Heading"/>
    <w:basedOn w:val="HeadingBase"/>
    <w:rsid w:val="00145EE5"/>
    <w:pPr>
      <w:keepLines/>
      <w:pBdr>
        <w:bottom w:val="single" w:sz="6" w:space="1" w:color="918585"/>
      </w:pBdr>
      <w:spacing w:before="240"/>
    </w:pPr>
  </w:style>
  <w:style w:type="character" w:customStyle="1" w:styleId="HotSpot">
    <w:name w:val="HotSpot"/>
    <w:rsid w:val="00145EE5"/>
    <w:rPr>
      <w:color w:val="0033CC"/>
      <w:u w:val="none"/>
    </w:rPr>
  </w:style>
  <w:style w:type="paragraph" w:customStyle="1" w:styleId="BodyTextRight">
    <w:name w:val="Body Text Right"/>
    <w:basedOn w:val="BodyText"/>
    <w:rsid w:val="00145EE5"/>
    <w:pPr>
      <w:spacing w:before="0" w:after="0"/>
      <w:jc w:val="right"/>
    </w:pPr>
  </w:style>
  <w:style w:type="paragraph" w:styleId="Index3">
    <w:name w:val="index 3"/>
    <w:basedOn w:val="ListNumber2"/>
    <w:next w:val="Normal"/>
    <w:semiHidden/>
    <w:rsid w:val="00145EE5"/>
    <w:pPr>
      <w:numPr>
        <w:numId w:val="0"/>
      </w:numPr>
      <w:tabs>
        <w:tab w:val="right" w:leader="dot" w:pos="4176"/>
      </w:tabs>
    </w:pPr>
  </w:style>
  <w:style w:type="paragraph" w:styleId="ListNumber2">
    <w:name w:val="List Number 2"/>
    <w:basedOn w:val="List2"/>
    <w:rsid w:val="00145EE5"/>
    <w:pPr>
      <w:numPr>
        <w:numId w:val="10"/>
      </w:numPr>
      <w:tabs>
        <w:tab w:val="clear" w:pos="1060"/>
      </w:tabs>
    </w:pPr>
  </w:style>
  <w:style w:type="paragraph" w:customStyle="1" w:styleId="MarginNote">
    <w:name w:val="Margin Note"/>
    <w:basedOn w:val="BodyText"/>
    <w:rsid w:val="00145E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5E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5E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5EE5"/>
    <w:rPr>
      <w:sz w:val="32"/>
    </w:rPr>
  </w:style>
  <w:style w:type="paragraph" w:customStyle="1" w:styleId="HeadingProcedure">
    <w:name w:val="Heading Procedure"/>
    <w:basedOn w:val="HeadingBase"/>
    <w:next w:val="Normal"/>
    <w:rsid w:val="00145EE5"/>
    <w:pPr>
      <w:tabs>
        <w:tab w:val="left" w:pos="0"/>
      </w:tabs>
      <w:spacing w:before="120" w:after="60"/>
    </w:pPr>
    <w:rPr>
      <w:i/>
      <w:color w:val="918585"/>
      <w:sz w:val="22"/>
    </w:rPr>
  </w:style>
  <w:style w:type="paragraph" w:customStyle="1" w:styleId="TableBodyText">
    <w:name w:val="Table Body Text"/>
    <w:basedOn w:val="BodyText"/>
    <w:rsid w:val="00145EE5"/>
    <w:pPr>
      <w:spacing w:before="60" w:after="60"/>
    </w:pPr>
  </w:style>
  <w:style w:type="paragraph" w:styleId="ListContinue">
    <w:name w:val="List Continue"/>
    <w:basedOn w:val="List"/>
    <w:rsid w:val="00145EE5"/>
    <w:pPr>
      <w:ind w:firstLine="0"/>
    </w:pPr>
  </w:style>
  <w:style w:type="paragraph" w:customStyle="1" w:styleId="ListNote">
    <w:name w:val="List Note"/>
    <w:basedOn w:val="List"/>
    <w:rsid w:val="00145EE5"/>
    <w:pPr>
      <w:pBdr>
        <w:top w:val="single" w:sz="6" w:space="2" w:color="918585"/>
        <w:bottom w:val="single" w:sz="6" w:space="2" w:color="918585"/>
      </w:pBdr>
      <w:tabs>
        <w:tab w:val="left" w:pos="1021"/>
      </w:tabs>
      <w:ind w:firstLine="0"/>
    </w:pPr>
  </w:style>
  <w:style w:type="paragraph" w:customStyle="1" w:styleId="Warning">
    <w:name w:val="Warning"/>
    <w:basedOn w:val="BodyText"/>
    <w:rsid w:val="00145EE5"/>
    <w:pPr>
      <w:shd w:val="clear" w:color="auto" w:fill="D9D9D9"/>
      <w:tabs>
        <w:tab w:val="left" w:pos="992"/>
      </w:tabs>
      <w:ind w:left="119" w:right="119"/>
    </w:pPr>
    <w:rPr>
      <w:sz w:val="20"/>
    </w:rPr>
  </w:style>
  <w:style w:type="paragraph" w:customStyle="1" w:styleId="MarginIcons">
    <w:name w:val="Margin Icons"/>
    <w:basedOn w:val="BodyText"/>
    <w:rsid w:val="00145E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5EE5"/>
    <w:rPr>
      <w:rFonts w:ascii="Courier New" w:hAnsi="Courier New"/>
    </w:rPr>
  </w:style>
  <w:style w:type="paragraph" w:customStyle="1" w:styleId="NoteBullet">
    <w:name w:val="Note Bullet"/>
    <w:basedOn w:val="Note"/>
    <w:rsid w:val="00145EE5"/>
    <w:pPr>
      <w:tabs>
        <w:tab w:val="clear" w:pos="680"/>
      </w:tabs>
      <w:spacing w:before="60" w:after="60"/>
    </w:pPr>
  </w:style>
  <w:style w:type="paragraph" w:customStyle="1" w:styleId="SubHeading2">
    <w:name w:val="SubHeading2"/>
    <w:basedOn w:val="HeadingBase"/>
    <w:rsid w:val="00145EE5"/>
    <w:pPr>
      <w:spacing w:before="240" w:after="60"/>
    </w:pPr>
    <w:rPr>
      <w:sz w:val="20"/>
    </w:rPr>
  </w:style>
  <w:style w:type="paragraph" w:customStyle="1" w:styleId="SubHeading1">
    <w:name w:val="SubHeading1"/>
    <w:basedOn w:val="HeadingBase"/>
    <w:rsid w:val="00145EE5"/>
    <w:pPr>
      <w:spacing w:before="240" w:after="60"/>
    </w:pPr>
    <w:rPr>
      <w:color w:val="918585"/>
      <w:sz w:val="22"/>
    </w:rPr>
  </w:style>
  <w:style w:type="paragraph" w:customStyle="1" w:styleId="SideHeading">
    <w:name w:val="Side Heading"/>
    <w:basedOn w:val="HeadingBase"/>
    <w:rsid w:val="00145E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5EE5"/>
    <w:pPr>
      <w:numPr>
        <w:numId w:val="12"/>
      </w:numPr>
    </w:pPr>
  </w:style>
  <w:style w:type="paragraph" w:styleId="PlainText">
    <w:name w:val="Plain Text"/>
    <w:basedOn w:val="Normal"/>
    <w:link w:val="PlainTextChar"/>
    <w:rsid w:val="00145EE5"/>
    <w:rPr>
      <w:sz w:val="20"/>
    </w:rPr>
  </w:style>
  <w:style w:type="character" w:customStyle="1" w:styleId="PlainTextChar">
    <w:name w:val="Plain Text Char"/>
    <w:basedOn w:val="DefaultParagraphFont"/>
    <w:link w:val="PlainText"/>
    <w:rsid w:val="00145EE5"/>
    <w:rPr>
      <w:rFonts w:ascii="Courier New" w:eastAsia="Times New Roman" w:hAnsi="Courier New" w:cs="Times New Roman"/>
      <w:sz w:val="20"/>
      <w:szCs w:val="20"/>
      <w:lang w:eastAsia="en-US"/>
    </w:rPr>
  </w:style>
  <w:style w:type="character" w:customStyle="1" w:styleId="MenuOption">
    <w:name w:val="Menu Option"/>
    <w:basedOn w:val="DefaultParagraphFont"/>
    <w:rsid w:val="00145EE5"/>
    <w:rPr>
      <w:b/>
      <w:smallCaps/>
    </w:rPr>
  </w:style>
  <w:style w:type="paragraph" w:customStyle="1" w:styleId="TableListNumber">
    <w:name w:val="Table List Number"/>
    <w:basedOn w:val="ListNumber"/>
    <w:rsid w:val="00145EE5"/>
    <w:pPr>
      <w:numPr>
        <w:numId w:val="0"/>
      </w:numPr>
    </w:pPr>
  </w:style>
  <w:style w:type="paragraph" w:styleId="TOC4">
    <w:name w:val="toc 4"/>
    <w:basedOn w:val="TOCBase"/>
    <w:next w:val="Normal"/>
    <w:semiHidden/>
    <w:rsid w:val="00145EE5"/>
    <w:pPr>
      <w:tabs>
        <w:tab w:val="right" w:leader="dot" w:pos="9071"/>
      </w:tabs>
      <w:ind w:left="1701"/>
    </w:pPr>
  </w:style>
  <w:style w:type="paragraph" w:customStyle="1" w:styleId="ListAlpha">
    <w:name w:val="List Alpha"/>
    <w:basedOn w:val="List"/>
    <w:rsid w:val="00145EE5"/>
    <w:pPr>
      <w:numPr>
        <w:numId w:val="9"/>
      </w:numPr>
    </w:pPr>
  </w:style>
  <w:style w:type="paragraph" w:customStyle="1" w:styleId="ListAlpha2">
    <w:name w:val="List Alpha 2"/>
    <w:basedOn w:val="List2"/>
    <w:rsid w:val="00145EE5"/>
    <w:pPr>
      <w:numPr>
        <w:numId w:val="8"/>
      </w:numPr>
    </w:pPr>
  </w:style>
  <w:style w:type="paragraph" w:styleId="List2">
    <w:name w:val="List 2"/>
    <w:basedOn w:val="BodyText"/>
    <w:rsid w:val="00145EE5"/>
    <w:pPr>
      <w:tabs>
        <w:tab w:val="left" w:pos="680"/>
      </w:tabs>
      <w:spacing w:before="60" w:after="60"/>
      <w:ind w:left="680" w:hanging="340"/>
    </w:pPr>
  </w:style>
  <w:style w:type="paragraph" w:styleId="List3">
    <w:name w:val="List 3"/>
    <w:basedOn w:val="BodyText"/>
    <w:rsid w:val="00145EE5"/>
    <w:pPr>
      <w:tabs>
        <w:tab w:val="left" w:pos="1021"/>
      </w:tabs>
      <w:spacing w:before="60" w:after="60"/>
      <w:ind w:left="1020" w:hanging="340"/>
    </w:pPr>
  </w:style>
  <w:style w:type="paragraph" w:styleId="List4">
    <w:name w:val="List 4"/>
    <w:basedOn w:val="BodyText"/>
    <w:rsid w:val="00145EE5"/>
    <w:pPr>
      <w:tabs>
        <w:tab w:val="left" w:pos="1361"/>
      </w:tabs>
      <w:spacing w:before="60" w:after="60"/>
      <w:ind w:left="1361" w:hanging="340"/>
    </w:pPr>
  </w:style>
  <w:style w:type="paragraph" w:styleId="List5">
    <w:name w:val="List 5"/>
    <w:basedOn w:val="BodyText"/>
    <w:rsid w:val="00145EE5"/>
    <w:pPr>
      <w:tabs>
        <w:tab w:val="left" w:pos="1701"/>
      </w:tabs>
      <w:spacing w:before="60" w:after="60"/>
      <w:ind w:left="1701" w:hanging="340"/>
    </w:pPr>
  </w:style>
  <w:style w:type="paragraph" w:styleId="ListBullet4">
    <w:name w:val="List Bullet 4"/>
    <w:basedOn w:val="List4"/>
    <w:rsid w:val="00145EE5"/>
    <w:pPr>
      <w:numPr>
        <w:numId w:val="3"/>
      </w:numPr>
    </w:pPr>
  </w:style>
  <w:style w:type="paragraph" w:styleId="ListBullet5">
    <w:name w:val="List Bullet 5"/>
    <w:basedOn w:val="List5"/>
    <w:rsid w:val="00145EE5"/>
    <w:pPr>
      <w:numPr>
        <w:numId w:val="4"/>
      </w:numPr>
    </w:pPr>
  </w:style>
  <w:style w:type="paragraph" w:styleId="ListContinue2">
    <w:name w:val="List Continue 2"/>
    <w:basedOn w:val="List2"/>
    <w:rsid w:val="00145EE5"/>
    <w:pPr>
      <w:ind w:firstLine="0"/>
    </w:pPr>
  </w:style>
  <w:style w:type="paragraph" w:styleId="ListContinue3">
    <w:name w:val="List Continue 3"/>
    <w:basedOn w:val="List3"/>
    <w:rsid w:val="00145EE5"/>
    <w:pPr>
      <w:ind w:left="1021" w:firstLine="0"/>
    </w:pPr>
  </w:style>
  <w:style w:type="paragraph" w:styleId="ListContinue4">
    <w:name w:val="List Continue 4"/>
    <w:basedOn w:val="List4"/>
    <w:rsid w:val="00145EE5"/>
    <w:pPr>
      <w:ind w:firstLine="0"/>
    </w:pPr>
  </w:style>
  <w:style w:type="paragraph" w:styleId="ListContinue5">
    <w:name w:val="List Continue 5"/>
    <w:basedOn w:val="List5"/>
    <w:rsid w:val="00145EE5"/>
    <w:pPr>
      <w:ind w:firstLine="0"/>
    </w:pPr>
  </w:style>
  <w:style w:type="paragraph" w:styleId="ListNumber3">
    <w:name w:val="List Number 3"/>
    <w:basedOn w:val="List3"/>
    <w:rsid w:val="00145EE5"/>
    <w:pPr>
      <w:numPr>
        <w:numId w:val="5"/>
      </w:numPr>
    </w:pPr>
  </w:style>
  <w:style w:type="paragraph" w:styleId="ListNumber4">
    <w:name w:val="List Number 4"/>
    <w:basedOn w:val="List4"/>
    <w:rsid w:val="00145EE5"/>
    <w:pPr>
      <w:numPr>
        <w:numId w:val="6"/>
      </w:numPr>
    </w:pPr>
  </w:style>
  <w:style w:type="paragraph" w:styleId="ListNumber5">
    <w:name w:val="List Number 5"/>
    <w:basedOn w:val="List5"/>
    <w:rsid w:val="00145EE5"/>
    <w:pPr>
      <w:numPr>
        <w:numId w:val="7"/>
      </w:numPr>
    </w:pPr>
  </w:style>
  <w:style w:type="paragraph" w:styleId="BlockText">
    <w:name w:val="Block Text"/>
    <w:basedOn w:val="Normal"/>
    <w:rsid w:val="00145EE5"/>
    <w:pPr>
      <w:spacing w:after="120"/>
      <w:ind w:left="1440" w:right="1440"/>
    </w:pPr>
  </w:style>
  <w:style w:type="character" w:customStyle="1" w:styleId="Subscript">
    <w:name w:val="Subscript"/>
    <w:basedOn w:val="DefaultParagraphFont"/>
    <w:rsid w:val="00145EE5"/>
    <w:rPr>
      <w:sz w:val="16"/>
      <w:vertAlign w:val="subscript"/>
    </w:rPr>
  </w:style>
  <w:style w:type="character" w:customStyle="1" w:styleId="Superscript">
    <w:name w:val="Superscript"/>
    <w:basedOn w:val="DefaultParagraphFont"/>
    <w:rsid w:val="00145EE5"/>
    <w:rPr>
      <w:sz w:val="16"/>
      <w:vertAlign w:val="superscript"/>
    </w:rPr>
  </w:style>
  <w:style w:type="character" w:customStyle="1" w:styleId="Symbols">
    <w:name w:val="Symbols"/>
    <w:basedOn w:val="DefaultParagraphFont"/>
    <w:rsid w:val="00145EE5"/>
    <w:rPr>
      <w:rFonts w:ascii="Symbol" w:hAnsi="Symbol"/>
    </w:rPr>
  </w:style>
  <w:style w:type="character" w:customStyle="1" w:styleId="MenuOptions">
    <w:name w:val="Menu Options"/>
    <w:basedOn w:val="DefaultParagraphFont"/>
    <w:rsid w:val="00145EE5"/>
    <w:rPr>
      <w:rFonts w:ascii="Arial Narrow" w:hAnsi="Arial Narrow"/>
      <w:smallCaps/>
    </w:rPr>
  </w:style>
  <w:style w:type="character" w:customStyle="1" w:styleId="Buttons">
    <w:name w:val="Buttons"/>
    <w:basedOn w:val="DefaultParagraphFont"/>
    <w:rsid w:val="00145EE5"/>
    <w:rPr>
      <w:b/>
    </w:rPr>
  </w:style>
  <w:style w:type="character" w:customStyle="1" w:styleId="Underlined">
    <w:name w:val="Underlined"/>
    <w:basedOn w:val="DefaultParagraphFont"/>
    <w:rsid w:val="00145EE5"/>
    <w:rPr>
      <w:u w:val="single"/>
    </w:rPr>
  </w:style>
  <w:style w:type="paragraph" w:customStyle="1" w:styleId="TableBodyTextRight">
    <w:name w:val="Table Body Text Right"/>
    <w:basedOn w:val="TableBodyText"/>
    <w:rsid w:val="00145EE5"/>
    <w:pPr>
      <w:widowControl w:val="0"/>
      <w:autoSpaceDE w:val="0"/>
      <w:autoSpaceDN w:val="0"/>
      <w:adjustRightInd w:val="0"/>
      <w:jc w:val="right"/>
    </w:pPr>
    <w:rPr>
      <w:rFonts w:cs="Arial"/>
      <w:szCs w:val="18"/>
    </w:rPr>
  </w:style>
  <w:style w:type="paragraph" w:customStyle="1" w:styleId="CopyrightText">
    <w:name w:val="Copyright Text"/>
    <w:basedOn w:val="BodyText"/>
    <w:rsid w:val="00145EE5"/>
    <w:rPr>
      <w:sz w:val="18"/>
    </w:rPr>
  </w:style>
  <w:style w:type="paragraph" w:customStyle="1" w:styleId="BodySmallRight">
    <w:name w:val="Body Small Right"/>
    <w:basedOn w:val="BodyTextRight"/>
    <w:rsid w:val="00145EE5"/>
    <w:rPr>
      <w:sz w:val="18"/>
      <w:szCs w:val="18"/>
    </w:rPr>
  </w:style>
  <w:style w:type="paragraph" w:customStyle="1" w:styleId="MarginEdition">
    <w:name w:val="Margin Edition"/>
    <w:basedOn w:val="MarginNote"/>
    <w:rsid w:val="00145EE5"/>
    <w:pPr>
      <w:spacing w:before="0" w:after="0"/>
    </w:pPr>
    <w:rPr>
      <w:rFonts w:ascii="Times New Roman" w:hAnsi="Times New Roman"/>
      <w:color w:val="999999"/>
    </w:rPr>
  </w:style>
  <w:style w:type="paragraph" w:customStyle="1" w:styleId="Spacer">
    <w:name w:val="Spacer"/>
    <w:basedOn w:val="Normal"/>
    <w:rsid w:val="00145EE5"/>
    <w:rPr>
      <w:sz w:val="2"/>
      <w:szCs w:val="2"/>
    </w:rPr>
  </w:style>
  <w:style w:type="character" w:customStyle="1" w:styleId="Small">
    <w:name w:val="Small"/>
    <w:basedOn w:val="DefaultParagraphFont"/>
    <w:rsid w:val="00145EE5"/>
    <w:rPr>
      <w:sz w:val="16"/>
    </w:rPr>
  </w:style>
  <w:style w:type="paragraph" w:customStyle="1" w:styleId="WideTable">
    <w:name w:val="Wide Table"/>
    <w:basedOn w:val="Normal"/>
    <w:rsid w:val="00145EE5"/>
    <w:pPr>
      <w:ind w:left="-1418"/>
    </w:pPr>
    <w:rPr>
      <w:sz w:val="2"/>
      <w:szCs w:val="2"/>
    </w:rPr>
  </w:style>
  <w:style w:type="character" w:styleId="PageNumber">
    <w:name w:val="page number"/>
    <w:basedOn w:val="DefaultParagraphFont"/>
    <w:rsid w:val="00145EE5"/>
  </w:style>
  <w:style w:type="paragraph" w:styleId="Quote">
    <w:name w:val="Quote"/>
    <w:basedOn w:val="Heading1"/>
    <w:link w:val="QuoteChar"/>
    <w:qFormat/>
    <w:rsid w:val="00145EE5"/>
    <w:rPr>
      <w:b w:val="0"/>
      <w:sz w:val="72"/>
      <w:szCs w:val="72"/>
      <w:lang w:val="en-NZ"/>
    </w:rPr>
  </w:style>
  <w:style w:type="character" w:customStyle="1" w:styleId="QuoteChar">
    <w:name w:val="Quote Char"/>
    <w:basedOn w:val="DefaultParagraphFont"/>
    <w:link w:val="Quote"/>
    <w:rsid w:val="00145E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5EE5"/>
    <w:pPr>
      <w:pageBreakBefore/>
    </w:pPr>
  </w:style>
  <w:style w:type="paragraph" w:customStyle="1" w:styleId="Border">
    <w:name w:val="Border"/>
    <w:basedOn w:val="Normal"/>
    <w:qFormat/>
    <w:rsid w:val="00145E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5EE5"/>
    <w:rPr>
      <w:b/>
      <w:bCs/>
      <w:i/>
      <w:iCs/>
      <w:color w:val="auto"/>
    </w:rPr>
  </w:style>
  <w:style w:type="paragraph" w:styleId="IntenseQuote">
    <w:name w:val="Intense Quote"/>
    <w:basedOn w:val="Normal"/>
    <w:next w:val="Normal"/>
    <w:link w:val="IntenseQuoteChar"/>
    <w:uiPriority w:val="30"/>
    <w:qFormat/>
    <w:rsid w:val="00145E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5E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5EE5"/>
    <w:rPr>
      <w:smallCaps/>
      <w:color w:val="auto"/>
      <w:u w:val="single"/>
    </w:rPr>
  </w:style>
  <w:style w:type="character" w:styleId="IntenseReference">
    <w:name w:val="Intense Reference"/>
    <w:basedOn w:val="DefaultParagraphFont"/>
    <w:uiPriority w:val="32"/>
    <w:qFormat/>
    <w:rsid w:val="00145EE5"/>
    <w:rPr>
      <w:b/>
      <w:bCs/>
      <w:smallCaps/>
      <w:color w:val="auto"/>
      <w:spacing w:val="5"/>
      <w:u w:val="single"/>
    </w:rPr>
  </w:style>
  <w:style w:type="paragraph" w:customStyle="1" w:styleId="2ColumnHeading">
    <w:name w:val="2Column Heading"/>
    <w:basedOn w:val="BodyText"/>
    <w:qFormat/>
    <w:rsid w:val="00145EE5"/>
    <w:pPr>
      <w:spacing w:after="60"/>
      <w:ind w:left="-2268"/>
    </w:pPr>
    <w:rPr>
      <w:b/>
    </w:rPr>
  </w:style>
  <w:style w:type="paragraph" w:customStyle="1" w:styleId="Heading1TOC">
    <w:name w:val="Heading1 TOC"/>
    <w:basedOn w:val="Normal"/>
    <w:qFormat/>
    <w:rsid w:val="00145EE5"/>
    <w:pPr>
      <w:spacing w:before="240" w:after="120"/>
    </w:pPr>
    <w:rPr>
      <w:rFonts w:ascii="Times New Roman" w:hAnsi="Times New Roman"/>
      <w:b/>
      <w:sz w:val="32"/>
    </w:rPr>
  </w:style>
  <w:style w:type="paragraph" w:customStyle="1" w:styleId="Heading2TOC">
    <w:name w:val="Heading2 TOC"/>
    <w:basedOn w:val="Normal"/>
    <w:qFormat/>
    <w:rsid w:val="00145EE5"/>
    <w:pPr>
      <w:spacing w:before="240" w:after="60"/>
    </w:pPr>
    <w:rPr>
      <w:rFonts w:ascii="Times New Roman" w:hAnsi="Times New Roman"/>
      <w:b/>
      <w:sz w:val="28"/>
    </w:rPr>
  </w:style>
  <w:style w:type="paragraph" w:styleId="BalloonText">
    <w:name w:val="Balloon Text"/>
    <w:basedOn w:val="Normal"/>
    <w:link w:val="BalloonTextChar"/>
    <w:rsid w:val="00145EE5"/>
    <w:rPr>
      <w:rFonts w:ascii="Tahoma" w:hAnsi="Tahoma" w:cs="Tahoma"/>
      <w:sz w:val="16"/>
      <w:szCs w:val="16"/>
    </w:rPr>
  </w:style>
  <w:style w:type="character" w:customStyle="1" w:styleId="BalloonTextChar">
    <w:name w:val="Balloon Text Char"/>
    <w:basedOn w:val="DefaultParagraphFont"/>
    <w:link w:val="BalloonText"/>
    <w:rsid w:val="00145E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5E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5E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5EE5"/>
    <w:rPr>
      <w:b/>
      <w:color w:val="660033"/>
      <w:spacing w:val="0"/>
    </w:rPr>
  </w:style>
  <w:style w:type="paragraph" w:customStyle="1" w:styleId="Nameditemlist">
    <w:name w:val="Named item list"/>
    <w:basedOn w:val="BodyText"/>
    <w:qFormat/>
    <w:rsid w:val="00145E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1427</Words>
  <Characters>9232</Characters>
  <Application>Microsoft Office Word</Application>
  <DocSecurity>0</DocSecurity>
  <Lines>278</Lines>
  <Paragraphs>143</Paragraphs>
  <ScaleCrop>false</ScaleCrop>
  <Company>Author-it Software Corporation Ltd.</Company>
  <LinksUpToDate>false</LinksUpToDate>
  <CharactersWithSpaces>10576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PSPREG701A Manage investigations program</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2012-11-01T18:40:00Z</dcterms:created>
  <dcterms:modified xsi:type="dcterms:W3CDTF">2012-11-01T18:40:00Z</dcterms:modified>
</cp:coreProperties>
</file>