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B06A2" w:rsidP="003B06A2">
      <w:pPr>
        <w:pStyle w:val="Title"/>
      </w:pPr>
      <w:r>
        <w:fldChar w:fldCharType="begin"/>
      </w:r>
      <w:r>
        <w:instrText xml:space="preserve"> TITLE   \* MERGEFORMAT </w:instrText>
      </w:r>
      <w:r>
        <w:fldChar w:fldCharType="separate"/>
      </w:r>
      <w:r>
        <w:t>PSPREG603A Manage and lead inspection and monitoring programs</w:t>
      </w:r>
      <w:r>
        <w:fldChar w:fldCharType="end"/>
      </w:r>
    </w:p>
    <w:p w:rsidR="003B06A2" w:rsidP="003B06A2">
      <w:pPr>
        <w:pStyle w:val="Version"/>
        <w:sectPr w:rsidSect="00B8290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B8290E" w:rsidP="00B8290E">
      <w:pPr>
        <w:pStyle w:val="SuperHeading"/>
      </w:pPr>
      <w:r w:rsidRPr="00B8290E">
        <w:t>PSPREG603A Manage and lead inspection and monitoring programs</w:t>
      </w:r>
    </w:p>
    <w:p w:rsidR="00000000" w:rsidRPr="00B8290E" w:rsidP="00B8290E">
      <w:pPr>
        <w:pStyle w:val="SuperHeading"/>
      </w:pPr>
    </w:p>
    <w:p w:rsidR="00000000" w:rsidRPr="00B8290E" w:rsidP="00B8290E">
      <w:pPr>
        <w:pStyle w:val="Heading1"/>
      </w:pPr>
      <w:bookmarkStart w:id="1" w:name="O_499035"/>
      <w:bookmarkEnd w:id="1"/>
      <w:r w:rsidRPr="00B8290E">
        <w:t>Modification History</w:t>
      </w:r>
    </w:p>
    <w:tbl>
      <w:tblPr>
        <w:tblW w:w="0" w:type="auto"/>
        <w:tblLayout w:type="fixed"/>
        <w:tblCellMar>
          <w:left w:w="62" w:type="dxa"/>
          <w:right w:w="62" w:type="dxa"/>
        </w:tblCellMar>
        <w:tblLook w:val="0000"/>
      </w:tblPr>
      <w:tblGrid>
        <w:gridCol w:w="3052"/>
        <w:gridCol w:w="3052"/>
        <w:gridCol w:w="3052"/>
      </w:tblGrid>
      <w:tr w:rsidTr="003B06A2">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290E" w:rsidP="00B8290E">
            <w:pPr>
              <w:pStyle w:val="BodyText"/>
            </w:pPr>
            <w:r w:rsidRPr="00B8290E">
              <w:rPr>
                <w:rStyle w:val="SpecialBold"/>
              </w:rPr>
              <w:t>Release</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290E" w:rsidP="00B8290E">
            <w:pPr>
              <w:pStyle w:val="BodyText"/>
            </w:pPr>
            <w:r w:rsidRPr="00B8290E">
              <w:rPr>
                <w:rStyle w:val="SpecialBold"/>
              </w:rPr>
              <w:t>TP Version</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290E">
            <w:pPr>
              <w:pStyle w:val="BodyText"/>
              <w:rPr>
                <w:lang w:val="en-NZ"/>
              </w:rPr>
            </w:pPr>
            <w:r w:rsidRPr="00B8290E">
              <w:rPr>
                <w:rStyle w:val="SpecialBold"/>
              </w:rPr>
              <w:t>Comments</w:t>
            </w:r>
          </w:p>
        </w:tc>
      </w:tr>
      <w:tr w:rsidTr="003B06A2">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290E">
            <w:pPr>
              <w:pStyle w:val="BodyText"/>
              <w:rPr>
                <w:lang w:val="en-NZ"/>
              </w:rPr>
            </w:pPr>
            <w:r w:rsidRPr="00B8290E">
              <w:t>3</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290E">
            <w:pPr>
              <w:pStyle w:val="BodyText"/>
              <w:rPr>
                <w:lang w:val="en-NZ"/>
              </w:rPr>
            </w:pPr>
            <w:r w:rsidRPr="00B8290E">
              <w:t>PSP12V1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290E">
            <w:pPr>
              <w:pStyle w:val="BodyText"/>
              <w:rPr>
                <w:lang w:val="en-NZ"/>
              </w:rPr>
            </w:pPr>
            <w:r w:rsidRPr="00B8290E">
              <w:t xml:space="preserve">Unit descriptor edited. </w:t>
            </w:r>
          </w:p>
        </w:tc>
      </w:tr>
      <w:tr w:rsidTr="003B06A2">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290E">
            <w:pPr>
              <w:pStyle w:val="BodyText"/>
              <w:rPr>
                <w:lang w:val="en-NZ"/>
              </w:rPr>
            </w:pPr>
            <w:r w:rsidRPr="00B8290E">
              <w:t>2</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290E">
            <w:pPr>
              <w:pStyle w:val="BodyText"/>
              <w:rPr>
                <w:lang w:val="en-NZ"/>
              </w:rPr>
            </w:pPr>
            <w:r w:rsidRPr="00B8290E">
              <w:t>PSP04V4.2.</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290E">
            <w:pPr>
              <w:pStyle w:val="BodyText"/>
              <w:rPr>
                <w:lang w:val="en-NZ"/>
              </w:rPr>
            </w:pPr>
            <w:r w:rsidRPr="00B8290E">
              <w:t>Layout adjusted. No changes to content.</w:t>
            </w:r>
          </w:p>
        </w:tc>
      </w:tr>
      <w:tr w:rsidTr="003B06A2">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290E">
            <w:pPr>
              <w:pStyle w:val="BodyText"/>
              <w:rPr>
                <w:lang w:val="en-NZ"/>
              </w:rPr>
            </w:pPr>
            <w:r w:rsidRPr="00B8290E">
              <w:t>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290E">
            <w:pPr>
              <w:pStyle w:val="BodyText"/>
              <w:rPr>
                <w:lang w:val="en-NZ"/>
              </w:rPr>
            </w:pPr>
            <w:r w:rsidRPr="00B8290E">
              <w:t>PSP04V4.1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290E" w:rsidP="00B8290E">
            <w:pPr>
              <w:pStyle w:val="BodyText"/>
            </w:pPr>
            <w:r w:rsidRPr="00B8290E">
              <w:t>Primary release.</w:t>
            </w:r>
          </w:p>
        </w:tc>
      </w:tr>
    </w:tbl>
    <w:p w:rsidR="003B06A2" w:rsidP="00B8290E">
      <w:pPr>
        <w:pStyle w:val="BodyText"/>
      </w:pPr>
    </w:p>
    <w:p w:rsidR="003B06A2" w:rsidP="00B8290E">
      <w:pPr>
        <w:pStyle w:val="BodyText"/>
      </w:pPr>
    </w:p>
    <w:p w:rsidR="00000000" w:rsidRPr="00B8290E" w:rsidP="00B8290E">
      <w:pPr>
        <w:pStyle w:val="Heading1"/>
      </w:pPr>
      <w:bookmarkStart w:id="2" w:name="O_499039"/>
      <w:bookmarkEnd w:id="2"/>
      <w:r w:rsidRPr="00B8290E">
        <w:t>Unit Descriptor</w:t>
      </w:r>
    </w:p>
    <w:p w:rsidR="00000000" w:rsidRPr="00B8290E" w:rsidP="00B8290E">
      <w:pPr>
        <w:pStyle w:val="BodyText"/>
      </w:pPr>
      <w:r w:rsidRPr="00B8290E">
        <w:t>This unit covers the requirements to mana</w:t>
      </w:r>
      <w:r w:rsidRPr="00B8290E">
        <w:t xml:space="preserve">ge and lead inspection and monitoring activities in accordance with relevant Acts and regulations. </w:t>
      </w:r>
    </w:p>
    <w:p w:rsidR="00000000" w:rsidRPr="00B8290E" w:rsidP="00B8290E">
      <w:pPr>
        <w:pStyle w:val="BodyText"/>
      </w:pPr>
      <w:r w:rsidRPr="00B8290E">
        <w:t>Typically work is at an experienced, self-directed level with responsibility for outputs and quality improvement. It includes determining inspection and mon</w:t>
      </w:r>
      <w:r w:rsidRPr="00B8290E">
        <w:t>itoring program requirements, managing and leading inspection and monitoring programs, and managing reporting systems, information and training.</w:t>
      </w:r>
    </w:p>
    <w:p w:rsidR="00000000" w:rsidRPr="00B8290E" w:rsidP="00B8290E">
      <w:pPr>
        <w:pStyle w:val="BodyText"/>
      </w:pPr>
      <w:r w:rsidRPr="00B8290E">
        <w:t>In practice, managing and leading inspection and monitoring programs may overlap with other generalist or speci</w:t>
      </w:r>
      <w:r w:rsidRPr="00B8290E">
        <w:t>alist public sector workplace activities such as managing compliance with legislation, managing diversity, managing risk, networking, implementing policy, managing client service, managing resources, etc.</w:t>
      </w:r>
    </w:p>
    <w:p w:rsidR="00000000" w:rsidRPr="00B8290E" w:rsidP="00B8290E">
      <w:pPr>
        <w:pStyle w:val="BodyText"/>
      </w:pPr>
      <w:r w:rsidRPr="00B8290E">
        <w:t xml:space="preserve">This unit is one of five units in the </w:t>
      </w:r>
      <w:r w:rsidRPr="00B8290E">
        <w:rPr>
          <w:rStyle w:val="Emphasis"/>
        </w:rPr>
        <w:t>Regulatory</w:t>
      </w:r>
      <w:r w:rsidRPr="00B8290E">
        <w:t xml:space="preserve"> Co</w:t>
      </w:r>
      <w:r w:rsidRPr="00B8290E">
        <w:t>mpetency field that deal with inspection and monitoring. Related units are:</w:t>
      </w:r>
    </w:p>
    <w:p w:rsidR="00000000" w:rsidRPr="00B8290E" w:rsidP="00B8290E">
      <w:pPr>
        <w:pStyle w:val="BodyText"/>
      </w:pPr>
      <w:r w:rsidRPr="00B8290E">
        <w:t>PSPREG201A Carry out inspections and monitoring under guidance</w:t>
      </w:r>
    </w:p>
    <w:p w:rsidR="00000000" w:rsidRPr="00B8290E" w:rsidP="00B8290E">
      <w:pPr>
        <w:pStyle w:val="BodyText"/>
      </w:pPr>
      <w:r w:rsidRPr="00B8290E">
        <w:t>PSPREG301A Undertake routine inspections and monitoring</w:t>
      </w:r>
    </w:p>
    <w:p w:rsidR="00000000" w:rsidRPr="00B8290E" w:rsidP="00B8290E">
      <w:pPr>
        <w:pStyle w:val="BodyText"/>
      </w:pPr>
      <w:r w:rsidRPr="00B8290E">
        <w:t>PSPREG413A Undertake inspections and monitoring</w:t>
      </w:r>
    </w:p>
    <w:p w:rsidR="00000000" w:rsidRPr="00B8290E" w:rsidP="00B8290E">
      <w:pPr>
        <w:pStyle w:val="BodyText"/>
      </w:pPr>
      <w:r w:rsidRPr="00B8290E">
        <w:t>PSPREG503A Su</w:t>
      </w:r>
      <w:r w:rsidRPr="00B8290E">
        <w:t>pervise and carry out complex inspection</w:t>
      </w:r>
    </w:p>
    <w:p w:rsidR="003B06A2" w:rsidP="00B8290E">
      <w:pPr>
        <w:pStyle w:val="BodyText"/>
      </w:pPr>
      <w:r w:rsidRPr="00B8290E">
        <w:t>No licensing, legislative, regulatory or certification requirements apply to this unit at the time of endorsement.</w:t>
      </w:r>
    </w:p>
    <w:p w:rsidR="003B06A2" w:rsidP="00B8290E">
      <w:pPr>
        <w:pStyle w:val="BodyText"/>
      </w:pPr>
    </w:p>
    <w:p w:rsidR="00000000" w:rsidRPr="00B8290E" w:rsidP="00B8290E">
      <w:pPr>
        <w:pStyle w:val="Heading1"/>
      </w:pPr>
      <w:bookmarkStart w:id="3" w:name="O_499045"/>
      <w:bookmarkEnd w:id="3"/>
      <w:r w:rsidRPr="00B8290E">
        <w:t>Application of the Unit</w:t>
      </w:r>
    </w:p>
    <w:p w:rsidR="00000000" w:rsidRPr="00B8290E" w:rsidP="00B8290E">
      <w:pPr>
        <w:pStyle w:val="BodyText"/>
      </w:pPr>
      <w:r w:rsidRPr="00B8290E">
        <w:t>Not applicable.</w:t>
      </w:r>
    </w:p>
    <w:p w:rsidR="00000000" w:rsidRPr="00B8290E" w:rsidP="00B8290E">
      <w:pPr>
        <w:pStyle w:val="AllowPageBreak"/>
      </w:pPr>
    </w:p>
    <w:p w:rsidR="00000000" w:rsidRPr="00B8290E" w:rsidP="00B8290E">
      <w:pPr>
        <w:pStyle w:val="Heading1"/>
      </w:pPr>
      <w:bookmarkStart w:id="4" w:name="O_499040"/>
      <w:bookmarkEnd w:id="4"/>
      <w:r w:rsidRPr="00B8290E">
        <w:t>Licensing/Regulatory Info</w:t>
      </w:r>
      <w:r w:rsidRPr="00B8290E">
        <w:t>rmation</w:t>
      </w:r>
    </w:p>
    <w:p w:rsidR="00000000" w:rsidRPr="00B8290E" w:rsidP="00B8290E">
      <w:pPr>
        <w:pStyle w:val="BodyText"/>
      </w:pPr>
      <w:r w:rsidRPr="00B8290E">
        <w:t>Not applicable.</w:t>
      </w:r>
    </w:p>
    <w:p w:rsidR="00000000" w:rsidRPr="00B8290E" w:rsidP="00B8290E">
      <w:pPr>
        <w:pStyle w:val="AllowPageBreak"/>
      </w:pPr>
    </w:p>
    <w:p w:rsidR="00000000" w:rsidRPr="00B8290E" w:rsidP="00B8290E">
      <w:pPr>
        <w:pStyle w:val="Heading1"/>
      </w:pPr>
      <w:bookmarkStart w:id="5" w:name="O_499036"/>
      <w:bookmarkEnd w:id="5"/>
      <w:r w:rsidRPr="00B8290E">
        <w:t>Pre-Requisites</w:t>
      </w:r>
    </w:p>
    <w:p w:rsidR="00000000" w:rsidRPr="00B8290E" w:rsidP="00B8290E">
      <w:pPr>
        <w:pStyle w:val="BodyText"/>
      </w:pPr>
      <w:r w:rsidRPr="00B8290E">
        <w:t>Not applicable.</w:t>
      </w:r>
    </w:p>
    <w:p w:rsidR="00000000" w:rsidRPr="00B8290E" w:rsidP="00B8290E">
      <w:pPr>
        <w:pStyle w:val="AllowPageBreak"/>
      </w:pPr>
    </w:p>
    <w:p w:rsidR="00000000" w:rsidRPr="00B8290E" w:rsidP="00B8290E">
      <w:pPr>
        <w:pStyle w:val="Heading1"/>
      </w:pPr>
      <w:bookmarkStart w:id="6" w:name="O_499041"/>
      <w:bookmarkEnd w:id="6"/>
      <w:r w:rsidRPr="00B8290E">
        <w:t>Employability Skills Information</w:t>
      </w:r>
    </w:p>
    <w:p w:rsidR="00000000" w:rsidRPr="00B8290E" w:rsidP="00B8290E">
      <w:pPr>
        <w:pStyle w:val="BodyText"/>
      </w:pPr>
      <w:r w:rsidRPr="00B8290E">
        <w:t>This unit contains employability skills.</w:t>
      </w:r>
    </w:p>
    <w:p w:rsidR="00000000" w:rsidRPr="00B8290E" w:rsidP="00B8290E">
      <w:pPr>
        <w:pStyle w:val="AllowPageBreak"/>
      </w:pPr>
    </w:p>
    <w:p w:rsidR="00000000" w:rsidRPr="00B8290E" w:rsidP="00B8290E">
      <w:pPr>
        <w:pStyle w:val="Heading1"/>
      </w:pPr>
      <w:bookmarkStart w:id="7" w:name="O_499042"/>
      <w:bookmarkEnd w:id="7"/>
      <w:r w:rsidRPr="00B8290E">
        <w:t>Elements and Performance Criteria Pre-Content</w:t>
      </w:r>
    </w:p>
    <w:tbl>
      <w:tblPr>
        <w:tblW w:w="9322" w:type="dxa"/>
        <w:tblLayout w:type="fixed"/>
        <w:tblCellMar>
          <w:left w:w="62" w:type="dxa"/>
          <w:right w:w="62" w:type="dxa"/>
        </w:tblCellMar>
        <w:tblLook w:val="0000"/>
      </w:tblPr>
      <w:tblGrid>
        <w:gridCol w:w="2660"/>
        <w:gridCol w:w="6662"/>
      </w:tblGrid>
      <w:tr w:rsidTr="003B06A2">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B8290E">
            <w:pPr>
              <w:pStyle w:val="BodyText"/>
              <w:rPr>
                <w:lang w:val="en-NZ"/>
              </w:rPr>
            </w:pPr>
            <w:r w:rsidRPr="00B8290E">
              <w:t>Elements are the essential outcomes of the unit of competency.</w:t>
            </w:r>
          </w:p>
        </w:tc>
        <w:tc>
          <w:tcPr>
            <w:tcW w:w="6662" w:type="dxa"/>
            <w:tcBorders>
              <w:top w:val="nil"/>
              <w:left w:val="nil"/>
              <w:bottom w:val="nil"/>
              <w:right w:val="nil"/>
            </w:tcBorders>
            <w:tcMar>
              <w:top w:w="0" w:type="dxa"/>
              <w:left w:w="62" w:type="dxa"/>
              <w:bottom w:w="0" w:type="dxa"/>
              <w:right w:w="62" w:type="dxa"/>
            </w:tcMar>
          </w:tcPr>
          <w:p w:rsidR="00000000" w:rsidRPr="00B8290E" w:rsidP="00B8290E">
            <w:pPr>
              <w:pStyle w:val="BodyText"/>
            </w:pPr>
            <w:r w:rsidRPr="00B8290E">
              <w:t xml:space="preserve">Together, performance criteria specify the requirements for competent performance. Text in </w:t>
            </w:r>
            <w:r w:rsidRPr="00B8290E">
              <w:rPr>
                <w:rStyle w:val="BoldandItalics"/>
              </w:rPr>
              <w:t xml:space="preserve">bold italics </w:t>
            </w:r>
            <w:r w:rsidRPr="00B8290E">
              <w:t xml:space="preserve"> is explained in the Range Statement following.</w:t>
            </w:r>
          </w:p>
        </w:tc>
      </w:tr>
    </w:tbl>
    <w:p w:rsidR="00000000" w:rsidRPr="00B8290E" w:rsidP="00B8290E">
      <w:pPr>
        <w:pStyle w:val="BodyText"/>
      </w:pPr>
    </w:p>
    <w:p w:rsidR="00000000" w:rsidRPr="00B8290E" w:rsidP="00B8290E">
      <w:pPr>
        <w:pStyle w:val="AllowPageBreak"/>
      </w:pPr>
    </w:p>
    <w:p w:rsidR="00000000" w:rsidRPr="00B8290E" w:rsidP="00B8290E">
      <w:pPr>
        <w:pStyle w:val="Heading1"/>
      </w:pPr>
      <w:bookmarkStart w:id="8" w:name="O_499043"/>
      <w:bookmarkEnd w:id="8"/>
      <w:r w:rsidRPr="00B8290E">
        <w:t>Elements and Performance Criteria</w:t>
      </w:r>
    </w:p>
    <w:tbl>
      <w:tblPr>
        <w:tblW w:w="9322" w:type="dxa"/>
        <w:tblLayout w:type="fixed"/>
        <w:tblCellMar>
          <w:left w:w="62" w:type="dxa"/>
          <w:right w:w="62" w:type="dxa"/>
        </w:tblCellMar>
        <w:tblLook w:val="0000"/>
      </w:tblPr>
      <w:tblGrid>
        <w:gridCol w:w="2660"/>
        <w:gridCol w:w="6662"/>
      </w:tblGrid>
      <w:tr w:rsidTr="003B06A2">
        <w:tblPrEx>
          <w:tblW w:w="9322" w:type="dxa"/>
          <w:tblLayout w:type="fixed"/>
          <w:tblCellMar>
            <w:left w:w="62" w:type="dxa"/>
            <w:right w:w="62" w:type="dxa"/>
          </w:tblCellMar>
          <w:tblLook w:val="0000"/>
        </w:tblPrEx>
        <w:trPr>
          <w:tblHeader/>
        </w:trPr>
        <w:tc>
          <w:tcPr>
            <w:tcW w:w="2660" w:type="dxa"/>
            <w:tcBorders>
              <w:top w:val="nil"/>
              <w:left w:val="nil"/>
              <w:bottom w:val="nil"/>
              <w:right w:val="nil"/>
            </w:tcBorders>
            <w:tcMar>
              <w:top w:w="0" w:type="dxa"/>
              <w:left w:w="62" w:type="dxa"/>
              <w:bottom w:w="0" w:type="dxa"/>
              <w:right w:w="62" w:type="dxa"/>
            </w:tcMar>
          </w:tcPr>
          <w:p w:rsidR="00000000" w:rsidRPr="00B8290E" w:rsidP="00B8290E">
            <w:pPr>
              <w:pStyle w:val="BodyText"/>
            </w:pPr>
            <w:r w:rsidRPr="00B8290E">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B8290E">
            <w:pPr>
              <w:pStyle w:val="BodyText"/>
              <w:rPr>
                <w:lang w:val="en-NZ"/>
              </w:rPr>
            </w:pPr>
            <w:r w:rsidRPr="00B8290E">
              <w:rPr>
                <w:rStyle w:val="SpecialBold"/>
              </w:rPr>
              <w:t>PERFORMANCE CRITERIA</w:t>
            </w:r>
          </w:p>
        </w:tc>
      </w:tr>
      <w:tr w:rsidTr="003B06A2">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B8290E">
            <w:pPr>
              <w:pStyle w:val="List"/>
              <w:rPr>
                <w:lang w:val="en-NZ"/>
              </w:rPr>
            </w:pPr>
            <w:r w:rsidRPr="00B8290E">
              <w:rPr>
                <w:rStyle w:val="SpecialBold"/>
              </w:rPr>
              <w:t>1</w:t>
            </w:r>
            <w:r w:rsidRPr="00B8290E">
              <w:t>.</w:t>
            </w:r>
            <w:r w:rsidRPr="00B8290E">
              <w:tab/>
            </w:r>
            <w:r w:rsidRPr="00B8290E">
              <w:rPr>
                <w:rStyle w:val="SpecialBold"/>
              </w:rPr>
              <w:t>Determine inspection and monitoring program requirements</w:t>
            </w:r>
          </w:p>
        </w:tc>
        <w:tc>
          <w:tcPr>
            <w:tcW w:w="6662" w:type="dxa"/>
            <w:tcBorders>
              <w:top w:val="nil"/>
              <w:left w:val="nil"/>
              <w:bottom w:val="nil"/>
              <w:right w:val="nil"/>
            </w:tcBorders>
            <w:tcMar>
              <w:top w:w="0" w:type="dxa"/>
              <w:left w:w="62" w:type="dxa"/>
              <w:bottom w:w="0" w:type="dxa"/>
              <w:right w:w="62" w:type="dxa"/>
            </w:tcMar>
          </w:tcPr>
          <w:p w:rsidR="00000000" w:rsidRPr="00B8290E" w:rsidP="00B8290E">
            <w:pPr>
              <w:pStyle w:val="List"/>
            </w:pPr>
            <w:r w:rsidRPr="00B8290E">
              <w:t>1.1</w:t>
            </w:r>
            <w:r w:rsidRPr="00B8290E">
              <w:tab/>
              <w:t xml:space="preserve">Outputs and performance indicators for programs, and </w:t>
            </w:r>
            <w:r w:rsidRPr="00B8290E">
              <w:rPr>
                <w:rStyle w:val="BoldandItalics"/>
              </w:rPr>
              <w:t xml:space="preserve">inspection and monitoring </w:t>
            </w:r>
            <w:r w:rsidRPr="00B8290E">
              <w:t>responsibilities are determined in accordance wit</w:t>
            </w:r>
            <w:r w:rsidRPr="00B8290E">
              <w:t>h organisational requirements.</w:t>
            </w:r>
          </w:p>
          <w:p w:rsidR="00000000" w:rsidRPr="00B8290E" w:rsidP="00B8290E">
            <w:pPr>
              <w:pStyle w:val="List"/>
            </w:pPr>
            <w:r w:rsidRPr="00B8290E">
              <w:t>1.2</w:t>
            </w:r>
            <w:r w:rsidRPr="00B8290E">
              <w:tab/>
              <w:t>Strategic, operational, technical, financial and administrative requirements are determined in accordance with organisational and task requirements.</w:t>
            </w:r>
          </w:p>
          <w:p w:rsidR="00000000" w:rsidRPr="00B8290E" w:rsidP="00B8290E">
            <w:pPr>
              <w:pStyle w:val="List"/>
            </w:pPr>
            <w:r w:rsidRPr="00B8290E">
              <w:t>1.3</w:t>
            </w:r>
            <w:r w:rsidRPr="00B8290E">
              <w:tab/>
              <w:t xml:space="preserve">Operational and procedural assessments are undertaken in accordance </w:t>
            </w:r>
            <w:r w:rsidRPr="00B8290E">
              <w:t>with organisational policy and procedures and recommendations are made for quality improvement.</w:t>
            </w:r>
          </w:p>
          <w:p w:rsidR="00000000" w:rsidRPr="00B8290E" w:rsidP="00B8290E">
            <w:pPr>
              <w:pStyle w:val="List"/>
            </w:pPr>
            <w:r w:rsidRPr="00B8290E">
              <w:t>1.4</w:t>
            </w:r>
            <w:r w:rsidRPr="00B8290E">
              <w:tab/>
            </w:r>
            <w:r w:rsidRPr="00B8290E">
              <w:rPr>
                <w:rStyle w:val="BoldandItalics"/>
              </w:rPr>
              <w:t xml:space="preserve">Legislation </w:t>
            </w:r>
            <w:r w:rsidRPr="00B8290E">
              <w:t>and regulations are interpreted and recommendations are made on related policies and procedures.</w:t>
            </w:r>
          </w:p>
          <w:p w:rsidR="00000000" w:rsidP="00B8290E">
            <w:pPr>
              <w:pStyle w:val="List"/>
              <w:rPr>
                <w:lang w:val="en-NZ"/>
              </w:rPr>
            </w:pPr>
            <w:r w:rsidRPr="00B8290E">
              <w:t>1.5</w:t>
            </w:r>
            <w:r w:rsidRPr="00B8290E">
              <w:tab/>
              <w:t>Risk management practices, occupational hea</w:t>
            </w:r>
            <w:r w:rsidRPr="00B8290E">
              <w:t>lth and safety and environmental requirements are interpreted and explained to staff in accordance with their needs.</w:t>
            </w:r>
          </w:p>
        </w:tc>
      </w:tr>
      <w:tr w:rsidTr="003B06A2">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B8290E">
            <w:pPr>
              <w:pStyle w:val="List"/>
              <w:rPr>
                <w:lang w:val="en-NZ"/>
              </w:rPr>
            </w:pPr>
            <w:r w:rsidRPr="00B8290E">
              <w:rPr>
                <w:rStyle w:val="SpecialBold"/>
              </w:rPr>
              <w:t>2</w:t>
            </w:r>
            <w:r w:rsidRPr="00B8290E">
              <w:t>.</w:t>
            </w:r>
            <w:r w:rsidRPr="00B8290E">
              <w:tab/>
            </w:r>
            <w:r w:rsidRPr="00B8290E">
              <w:rPr>
                <w:rStyle w:val="SpecialBold"/>
              </w:rPr>
              <w:t>Manage and lead inspection and monitoring programs</w:t>
            </w:r>
          </w:p>
        </w:tc>
        <w:tc>
          <w:tcPr>
            <w:tcW w:w="6662" w:type="dxa"/>
            <w:tcBorders>
              <w:top w:val="nil"/>
              <w:left w:val="nil"/>
              <w:bottom w:val="nil"/>
              <w:right w:val="nil"/>
            </w:tcBorders>
            <w:tcMar>
              <w:top w:w="0" w:type="dxa"/>
              <w:left w:w="62" w:type="dxa"/>
              <w:bottom w:w="0" w:type="dxa"/>
              <w:right w:w="62" w:type="dxa"/>
            </w:tcMar>
          </w:tcPr>
          <w:p w:rsidR="00000000" w:rsidRPr="00B8290E" w:rsidP="00B8290E">
            <w:pPr>
              <w:pStyle w:val="List"/>
            </w:pPr>
            <w:r w:rsidRPr="00B8290E">
              <w:t>2.1</w:t>
            </w:r>
            <w:r w:rsidRPr="00B8290E">
              <w:tab/>
              <w:t xml:space="preserve">Leadership is provided and </w:t>
            </w:r>
            <w:r w:rsidRPr="00B8290E">
              <w:rPr>
                <w:rStyle w:val="BoldandItalics"/>
              </w:rPr>
              <w:t xml:space="preserve">individuals </w:t>
            </w:r>
            <w:r w:rsidRPr="00B8290E">
              <w:t xml:space="preserve">are </w:t>
            </w:r>
            <w:r w:rsidRPr="00B8290E">
              <w:t>assisted to deliver agreed outputs in accordance with the organisation's business requirements.</w:t>
            </w:r>
          </w:p>
          <w:p w:rsidR="00000000" w:rsidRPr="00B8290E" w:rsidP="00B8290E">
            <w:pPr>
              <w:pStyle w:val="List"/>
            </w:pPr>
            <w:r w:rsidRPr="00B8290E">
              <w:t>2.2</w:t>
            </w:r>
            <w:r w:rsidRPr="00B8290E">
              <w:tab/>
            </w:r>
            <w:r w:rsidRPr="00B8290E">
              <w:rPr>
                <w:rStyle w:val="BoldandItalics"/>
              </w:rPr>
              <w:t xml:space="preserve">Inspection and monitoring </w:t>
            </w:r>
            <w:r w:rsidRPr="00B8290E">
              <w:t>programs are managed and program performance, resources and expenditure are supervised in accordance with organisational requireme</w:t>
            </w:r>
            <w:r w:rsidRPr="00B8290E">
              <w:t>nts.</w:t>
            </w:r>
          </w:p>
          <w:p w:rsidR="00000000" w:rsidRPr="00B8290E" w:rsidP="00B8290E">
            <w:pPr>
              <w:pStyle w:val="List"/>
            </w:pPr>
            <w:r w:rsidRPr="00B8290E">
              <w:t>2.3</w:t>
            </w:r>
            <w:r w:rsidRPr="00B8290E">
              <w:tab/>
              <w:t>Policy and procedures are developed for dealing with non-compliance through information, development/extension activities and prosecution in accordance with organisational requirements.</w:t>
            </w:r>
          </w:p>
          <w:p w:rsidR="00000000" w:rsidRPr="00B8290E" w:rsidP="00B8290E">
            <w:pPr>
              <w:pStyle w:val="List"/>
            </w:pPr>
            <w:r w:rsidRPr="00B8290E">
              <w:t>2.4</w:t>
            </w:r>
            <w:r w:rsidRPr="00B8290E">
              <w:rPr>
                <w:rStyle w:val="BoldandItalics"/>
              </w:rPr>
              <w:tab/>
              <w:t>Compliance programs</w:t>
            </w:r>
            <w:r w:rsidRPr="00B8290E">
              <w:t xml:space="preserve"> are managed as required in accordance</w:t>
            </w:r>
            <w:r w:rsidRPr="00B8290E">
              <w:t xml:space="preserve"> with set procedures and timelines.</w:t>
            </w:r>
          </w:p>
          <w:p w:rsidR="00000000" w:rsidRPr="00B8290E" w:rsidP="00B8290E">
            <w:pPr>
              <w:pStyle w:val="List"/>
            </w:pPr>
            <w:r w:rsidRPr="00B8290E">
              <w:t>2.5</w:t>
            </w:r>
            <w:r w:rsidRPr="00B8290E">
              <w:tab/>
              <w:t>Implemntation of the performance management system for inspection/monitoring staff is managed in accordance with organisational policies and procedures.</w:t>
            </w:r>
          </w:p>
          <w:p w:rsidR="00000000" w:rsidP="00B8290E">
            <w:pPr>
              <w:pStyle w:val="List"/>
              <w:rPr>
                <w:lang w:val="en-NZ"/>
              </w:rPr>
            </w:pPr>
            <w:r w:rsidRPr="00B8290E">
              <w:t>2.6</w:t>
            </w:r>
            <w:r w:rsidRPr="00B8290E">
              <w:tab/>
              <w:t>Legislative requirements, risk management practices, occupa</w:t>
            </w:r>
            <w:r w:rsidRPr="00B8290E">
              <w:t>tional health and safety and environmental procedures are enforced in accordance with organisational requirements.</w:t>
            </w:r>
          </w:p>
        </w:tc>
      </w:tr>
      <w:tr w:rsidTr="003B06A2">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B8290E">
            <w:pPr>
              <w:pStyle w:val="List"/>
              <w:rPr>
                <w:lang w:val="en-NZ"/>
              </w:rPr>
            </w:pPr>
            <w:r w:rsidRPr="00B8290E">
              <w:rPr>
                <w:rStyle w:val="SpecialBold"/>
              </w:rPr>
              <w:t>3</w:t>
            </w:r>
            <w:r w:rsidRPr="00B8290E">
              <w:t>.</w:t>
            </w:r>
            <w:r w:rsidRPr="00B8290E">
              <w:tab/>
            </w:r>
            <w:r w:rsidRPr="00B8290E">
              <w:rPr>
                <w:rStyle w:val="SpecialBold"/>
              </w:rPr>
              <w:t>Manage reporting systems</w:t>
            </w:r>
            <w:r w:rsidRPr="00B8290E">
              <w:t xml:space="preserve">, </w:t>
            </w:r>
            <w:r w:rsidRPr="00B8290E">
              <w:rPr>
                <w:rStyle w:val="SpecialBold"/>
              </w:rPr>
              <w:t>information and training</w:t>
            </w:r>
          </w:p>
        </w:tc>
        <w:tc>
          <w:tcPr>
            <w:tcW w:w="6662" w:type="dxa"/>
            <w:tcBorders>
              <w:top w:val="nil"/>
              <w:left w:val="nil"/>
              <w:bottom w:val="nil"/>
              <w:right w:val="nil"/>
            </w:tcBorders>
            <w:tcMar>
              <w:top w:w="0" w:type="dxa"/>
              <w:left w:w="62" w:type="dxa"/>
              <w:bottom w:w="0" w:type="dxa"/>
              <w:right w:w="62" w:type="dxa"/>
            </w:tcMar>
          </w:tcPr>
          <w:p w:rsidR="00000000" w:rsidRPr="00B8290E" w:rsidP="00B8290E">
            <w:pPr>
              <w:pStyle w:val="List"/>
            </w:pPr>
            <w:r w:rsidRPr="00B8290E">
              <w:t>3.1</w:t>
            </w:r>
            <w:r w:rsidRPr="00B8290E">
              <w:tab/>
            </w:r>
            <w:r w:rsidRPr="00B8290E">
              <w:rPr>
                <w:rStyle w:val="BoldandItalics"/>
              </w:rPr>
              <w:t xml:space="preserve">Records </w:t>
            </w:r>
            <w:r w:rsidRPr="00B8290E">
              <w:t>management and reporting systems are managed in accordance with organisati</w:t>
            </w:r>
            <w:r w:rsidRPr="00B8290E">
              <w:t>onal policy and performance indicators.</w:t>
            </w:r>
          </w:p>
          <w:p w:rsidR="00000000" w:rsidRPr="00B8290E" w:rsidP="00B8290E">
            <w:pPr>
              <w:pStyle w:val="List"/>
            </w:pPr>
            <w:r w:rsidRPr="00B8290E">
              <w:t>3.2</w:t>
            </w:r>
            <w:r w:rsidRPr="00B8290E">
              <w:tab/>
            </w:r>
            <w:r w:rsidRPr="00B8290E">
              <w:rPr>
                <w:rStyle w:val="BoldandItalics"/>
              </w:rPr>
              <w:t>High-level correspondence and advice</w:t>
            </w:r>
            <w:r w:rsidRPr="00B8290E">
              <w:t>, submissions and reports are prepared in accordance with organisational requirements.</w:t>
            </w:r>
          </w:p>
          <w:p w:rsidR="00000000" w:rsidRPr="00B8290E" w:rsidP="00B8290E">
            <w:pPr>
              <w:pStyle w:val="List"/>
            </w:pPr>
            <w:r w:rsidRPr="00B8290E">
              <w:t>3.3</w:t>
            </w:r>
            <w:r w:rsidRPr="00B8290E">
              <w:tab/>
              <w:t>Evidence is prepared in accordance with organisational policy and procedures for lega</w:t>
            </w:r>
            <w:r w:rsidRPr="00B8290E">
              <w:t>l action under relevant legislation.</w:t>
            </w:r>
          </w:p>
          <w:p w:rsidR="00000000" w:rsidRPr="00B8290E" w:rsidP="00B8290E">
            <w:pPr>
              <w:pStyle w:val="List"/>
            </w:pPr>
            <w:r w:rsidRPr="00B8290E">
              <w:t>3.4</w:t>
            </w:r>
            <w:r w:rsidRPr="00B8290E">
              <w:tab/>
              <w:t xml:space="preserve">Inspection/monitoring training is monitored and initiatives to </w:t>
            </w:r>
            <w:r w:rsidRPr="00B8290E">
              <w:t>improve staff performance are developed and implemented in accordance with organisational requirements.</w:t>
            </w:r>
          </w:p>
        </w:tc>
      </w:tr>
    </w:tbl>
    <w:p w:rsidR="00000000" w:rsidRPr="00B8290E" w:rsidP="00B8290E">
      <w:pPr>
        <w:pStyle w:val="BodyText"/>
      </w:pPr>
    </w:p>
    <w:p w:rsidR="00000000" w:rsidRPr="00B8290E" w:rsidP="00B8290E">
      <w:pPr>
        <w:pStyle w:val="AllowPageBreak"/>
      </w:pPr>
    </w:p>
    <w:p w:rsidR="00000000" w:rsidRPr="00B8290E" w:rsidP="00B8290E">
      <w:pPr>
        <w:pStyle w:val="Heading1"/>
      </w:pPr>
      <w:bookmarkStart w:id="9" w:name="O_499038"/>
      <w:bookmarkEnd w:id="9"/>
      <w:r w:rsidRPr="00B8290E">
        <w:t>Required Skills and Knowledge</w:t>
      </w:r>
    </w:p>
    <w:tbl>
      <w:tblPr>
        <w:tblW w:w="0" w:type="auto"/>
        <w:tblLayout w:type="fixed"/>
        <w:tblCellMar>
          <w:left w:w="62" w:type="dxa"/>
          <w:right w:w="62" w:type="dxa"/>
        </w:tblCellMar>
        <w:tblLook w:val="0000"/>
      </w:tblPr>
      <w:tblGrid>
        <w:gridCol w:w="8553"/>
      </w:tblGrid>
      <w:tr w:rsidTr="003B06A2">
        <w:tblPrEx>
          <w:tblW w:w="0" w:type="auto"/>
          <w:tblLayout w:type="fixed"/>
          <w:tblCellMar>
            <w:left w:w="62" w:type="dxa"/>
            <w:right w:w="62" w:type="dxa"/>
          </w:tblCellMar>
          <w:tblLook w:val="0000"/>
        </w:tblPrEx>
        <w:tc>
          <w:tcPr>
            <w:tcW w:w="8553" w:type="dxa"/>
            <w:tcBorders>
              <w:top w:val="nil"/>
              <w:left w:val="nil"/>
              <w:bottom w:val="nil"/>
              <w:right w:val="nil"/>
            </w:tcBorders>
            <w:tcMar>
              <w:top w:w="0" w:type="dxa"/>
              <w:left w:w="62" w:type="dxa"/>
              <w:bottom w:w="0" w:type="dxa"/>
              <w:right w:w="62" w:type="dxa"/>
            </w:tcMar>
          </w:tcPr>
          <w:p w:rsidR="00000000" w:rsidP="00B8290E">
            <w:pPr>
              <w:pStyle w:val="BodyText"/>
              <w:rPr>
                <w:lang w:val="en-NZ"/>
              </w:rPr>
            </w:pPr>
            <w:r w:rsidRPr="00B8290E">
              <w:t>This section describes the essential skills and knowledge and their level, required for this unit.</w:t>
            </w:r>
          </w:p>
        </w:tc>
      </w:tr>
      <w:tr w:rsidTr="003B06A2">
        <w:tblPrEx>
          <w:tblW w:w="0" w:type="auto"/>
          <w:tblLayout w:type="fixed"/>
          <w:tblCellMar>
            <w:left w:w="62" w:type="dxa"/>
            <w:right w:w="62" w:type="dxa"/>
          </w:tblCellMar>
          <w:tblLook w:val="0000"/>
        </w:tblPrEx>
        <w:tc>
          <w:tcPr>
            <w:tcW w:w="8553" w:type="dxa"/>
            <w:tcBorders>
              <w:top w:val="nil"/>
              <w:left w:val="nil"/>
              <w:bottom w:val="nil"/>
              <w:right w:val="nil"/>
            </w:tcBorders>
            <w:tcMar>
              <w:top w:w="0" w:type="dxa"/>
              <w:left w:w="62" w:type="dxa"/>
              <w:bottom w:w="0" w:type="dxa"/>
              <w:right w:w="62" w:type="dxa"/>
            </w:tcMar>
          </w:tcPr>
          <w:p w:rsidR="00000000" w:rsidRPr="00B8290E" w:rsidP="00B8290E">
            <w:pPr>
              <w:pStyle w:val="BodyText"/>
            </w:pPr>
            <w:r w:rsidRPr="00B8290E">
              <w:rPr>
                <w:rStyle w:val="SpecialBold"/>
              </w:rPr>
              <w:t>Skill requirements</w:t>
            </w:r>
          </w:p>
          <w:p w:rsidR="00000000" w:rsidRPr="00B8290E" w:rsidP="00B8290E">
            <w:pPr>
              <w:pStyle w:val="BodyText"/>
            </w:pPr>
            <w:r w:rsidRPr="00B8290E">
              <w:t>Look for evidence that confirms skills in:</w:t>
            </w:r>
          </w:p>
          <w:p w:rsidR="00000000" w:rsidRPr="00B8290E" w:rsidP="00B8290E">
            <w:pPr>
              <w:pStyle w:val="ListBullet2"/>
            </w:pPr>
            <w:r w:rsidRPr="00B8290E">
              <w:t xml:space="preserve">demonstrating leadership and performance management in the context of inspection and </w:t>
            </w:r>
            <w:r w:rsidRPr="00B8290E">
              <w:t>monitoring</w:t>
            </w:r>
          </w:p>
          <w:p w:rsidR="00000000" w:rsidRPr="00B8290E" w:rsidP="00B8290E">
            <w:pPr>
              <w:pStyle w:val="ListBullet2"/>
            </w:pPr>
            <w:r w:rsidRPr="00B8290E">
              <w:t>undertaking risk management and problem solving</w:t>
            </w:r>
          </w:p>
          <w:p w:rsidR="00000000" w:rsidRPr="00B8290E" w:rsidP="00B8290E">
            <w:pPr>
              <w:pStyle w:val="ListBullet2"/>
            </w:pPr>
            <w:r w:rsidRPr="00B8290E">
              <w:t>communicating with a diverse range of clients and staff</w:t>
            </w:r>
          </w:p>
          <w:p w:rsidR="00000000" w:rsidRPr="00B8290E" w:rsidP="00B8290E">
            <w:pPr>
              <w:pStyle w:val="ListBullet2"/>
            </w:pPr>
            <w:r w:rsidRPr="00B8290E">
              <w:t>responding to diversity, including gender and disability</w:t>
            </w:r>
          </w:p>
          <w:p w:rsidR="00000000" w:rsidRPr="00B8290E" w:rsidP="00B8290E">
            <w:pPr>
              <w:pStyle w:val="ListBullet2"/>
            </w:pPr>
            <w:r w:rsidRPr="00B8290E">
              <w:t>writing reports, submissions and Ministerial correspondence, requiring discretion an</w:t>
            </w:r>
            <w:r w:rsidRPr="00B8290E">
              <w:t>d judgment to determine content and style audience approach</w:t>
            </w:r>
          </w:p>
          <w:p w:rsidR="00000000" w:rsidRPr="00B8290E" w:rsidP="00B8290E">
            <w:pPr>
              <w:pStyle w:val="ListBullet2"/>
            </w:pPr>
            <w:r w:rsidRPr="00B8290E">
              <w:t>dealing with referrals from other staff on matters that are more difficult, or of potential interest to external parties such as the media, public, political parties etc</w:t>
            </w:r>
          </w:p>
          <w:p w:rsidR="00000000" w:rsidRPr="00B8290E" w:rsidP="00B8290E">
            <w:pPr>
              <w:pStyle w:val="ListBullet2"/>
            </w:pPr>
            <w:r w:rsidRPr="00B8290E">
              <w:t>using computers for word p</w:t>
            </w:r>
            <w:r w:rsidRPr="00B8290E">
              <w:t>rocessing and records management</w:t>
            </w:r>
          </w:p>
          <w:p w:rsidR="00000000" w:rsidP="00B8290E">
            <w:pPr>
              <w:pStyle w:val="ListBullet2"/>
              <w:rPr>
                <w:lang w:val="en-NZ"/>
              </w:rPr>
            </w:pPr>
            <w:r w:rsidRPr="00B8290E">
              <w:t>applying public sector legislation such as occupational health and safety and environment in the context of inspection and monitoring</w:t>
            </w:r>
          </w:p>
        </w:tc>
      </w:tr>
      <w:tr w:rsidTr="003B06A2">
        <w:tblPrEx>
          <w:tblW w:w="0" w:type="auto"/>
          <w:tblLayout w:type="fixed"/>
          <w:tblCellMar>
            <w:left w:w="62" w:type="dxa"/>
            <w:right w:w="62" w:type="dxa"/>
          </w:tblCellMar>
          <w:tblLook w:val="0000"/>
        </w:tblPrEx>
        <w:tc>
          <w:tcPr>
            <w:tcW w:w="8553" w:type="dxa"/>
            <w:tcBorders>
              <w:top w:val="nil"/>
              <w:left w:val="nil"/>
              <w:bottom w:val="nil"/>
              <w:right w:val="nil"/>
            </w:tcBorders>
            <w:tcMar>
              <w:top w:w="0" w:type="dxa"/>
              <w:left w:w="62" w:type="dxa"/>
              <w:bottom w:w="0" w:type="dxa"/>
              <w:right w:w="62" w:type="dxa"/>
            </w:tcMar>
          </w:tcPr>
          <w:p w:rsidR="00000000" w:rsidRPr="00B8290E" w:rsidP="00B8290E">
            <w:pPr>
              <w:pStyle w:val="BodyText"/>
            </w:pPr>
            <w:r w:rsidRPr="00B8290E">
              <w:rPr>
                <w:rStyle w:val="SpecialBold"/>
              </w:rPr>
              <w:t>Knowledge requirements</w:t>
            </w:r>
          </w:p>
          <w:p w:rsidR="00000000" w:rsidRPr="00B8290E" w:rsidP="00B8290E">
            <w:pPr>
              <w:pStyle w:val="BodyText"/>
            </w:pPr>
            <w:r w:rsidRPr="00B8290E">
              <w:t xml:space="preserve"> Look for evidence that confirms knowledge and understanding of:</w:t>
            </w:r>
          </w:p>
          <w:p w:rsidR="00000000" w:rsidRPr="00B8290E" w:rsidP="00B8290E">
            <w:pPr>
              <w:pStyle w:val="ListBullet2"/>
            </w:pPr>
            <w:r w:rsidRPr="00B8290E">
              <w:t>interpretation, application, evaluation and review of enabling legislation and regulations</w:t>
            </w:r>
          </w:p>
          <w:p w:rsidR="00000000" w:rsidRPr="00B8290E" w:rsidP="00B8290E">
            <w:pPr>
              <w:pStyle w:val="ListBullet2"/>
            </w:pPr>
            <w:r w:rsidRPr="00B8290E">
              <w:t>performance and procedural assessment strategies</w:t>
            </w:r>
          </w:p>
          <w:p w:rsidR="00000000" w:rsidRPr="00B8290E" w:rsidP="00B8290E">
            <w:pPr>
              <w:pStyle w:val="ListBullet2"/>
            </w:pPr>
            <w:r w:rsidRPr="00B8290E">
              <w:t>performance indicators</w:t>
            </w:r>
          </w:p>
          <w:p w:rsidR="00000000" w:rsidRPr="00B8290E" w:rsidP="00B8290E">
            <w:pPr>
              <w:pStyle w:val="ListBullet2"/>
            </w:pPr>
            <w:r w:rsidRPr="00B8290E">
              <w:t>organisational policy and procedures</w:t>
            </w:r>
          </w:p>
          <w:p w:rsidR="00000000" w:rsidRPr="00B8290E" w:rsidP="00B8290E">
            <w:pPr>
              <w:pStyle w:val="ListBullet2"/>
            </w:pPr>
            <w:r w:rsidRPr="00B8290E">
              <w:t>inspection procedures</w:t>
            </w:r>
          </w:p>
          <w:p w:rsidR="00000000" w:rsidRPr="00B8290E" w:rsidP="00B8290E">
            <w:pPr>
              <w:pStyle w:val="ListBullet2"/>
            </w:pPr>
            <w:r w:rsidRPr="00B8290E">
              <w:t>monitoring procedures</w:t>
            </w:r>
          </w:p>
          <w:p w:rsidR="00000000" w:rsidRPr="00B8290E" w:rsidP="00B8290E">
            <w:pPr>
              <w:pStyle w:val="ListBullet2"/>
            </w:pPr>
            <w:r w:rsidRPr="00B8290E">
              <w:t>responses t</w:t>
            </w:r>
            <w:r w:rsidRPr="00B8290E">
              <w:t xml:space="preserve">o complex/serious non-compliance </w:t>
            </w:r>
          </w:p>
          <w:p w:rsidR="00000000" w:rsidRPr="00B8290E" w:rsidP="00B8290E">
            <w:pPr>
              <w:pStyle w:val="ListBullet2"/>
            </w:pPr>
            <w:r w:rsidRPr="00B8290E">
              <w:t>elements of an offence</w:t>
            </w:r>
          </w:p>
          <w:p w:rsidR="00000000" w:rsidRPr="00B8290E" w:rsidP="00B8290E">
            <w:pPr>
              <w:pStyle w:val="ListBullet2"/>
            </w:pPr>
            <w:r w:rsidRPr="00B8290E">
              <w:t>rules of evidence</w:t>
            </w:r>
          </w:p>
          <w:p w:rsidR="00000000" w:rsidRPr="00B8290E" w:rsidP="00B8290E">
            <w:pPr>
              <w:pStyle w:val="ListBullet2"/>
            </w:pPr>
            <w:r w:rsidRPr="00B8290E">
              <w:t>equity and diversity principles</w:t>
            </w:r>
          </w:p>
          <w:p w:rsidR="00000000" w:rsidRPr="00B8290E" w:rsidP="00B8290E">
            <w:pPr>
              <w:pStyle w:val="ListBullet2"/>
            </w:pPr>
            <w:r w:rsidRPr="00B8290E">
              <w:t>workplace and industry environment</w:t>
            </w:r>
          </w:p>
          <w:p w:rsidR="00000000" w:rsidRPr="00B8290E" w:rsidP="00B8290E">
            <w:pPr>
              <w:pStyle w:val="ListBullet2"/>
            </w:pPr>
            <w:r w:rsidRPr="00B8290E">
              <w:t>public sector legislation including occupational health and safety, environment, privacy etc</w:t>
            </w:r>
          </w:p>
        </w:tc>
      </w:tr>
    </w:tbl>
    <w:p w:rsidR="00000000" w:rsidRPr="00B8290E" w:rsidP="00B8290E">
      <w:pPr>
        <w:pStyle w:val="BodyText"/>
      </w:pPr>
    </w:p>
    <w:p w:rsidR="00000000" w:rsidRPr="00B8290E" w:rsidP="00B8290E">
      <w:pPr>
        <w:pStyle w:val="AllowPageBreak"/>
      </w:pPr>
    </w:p>
    <w:p w:rsidR="00000000" w:rsidRPr="00B8290E" w:rsidP="00B8290E">
      <w:pPr>
        <w:pStyle w:val="Heading1"/>
      </w:pPr>
      <w:bookmarkStart w:id="10" w:name="O_499037"/>
      <w:bookmarkEnd w:id="10"/>
      <w:r w:rsidRPr="00B8290E">
        <w:t>Evidence Guide</w:t>
      </w:r>
    </w:p>
    <w:tbl>
      <w:tblPr>
        <w:tblW w:w="9322" w:type="dxa"/>
        <w:tblLayout w:type="fixed"/>
        <w:tblCellMar>
          <w:left w:w="62" w:type="dxa"/>
          <w:right w:w="62" w:type="dxa"/>
        </w:tblCellMar>
        <w:tblLook w:val="0000"/>
      </w:tblPr>
      <w:tblGrid>
        <w:gridCol w:w="2660"/>
        <w:gridCol w:w="6662"/>
      </w:tblGrid>
      <w:tr w:rsidTr="003B06A2">
        <w:tblPrEx>
          <w:tblW w:w="9322" w:type="dxa"/>
          <w:tblLayout w:type="fixed"/>
          <w:tblCellMar>
            <w:left w:w="62" w:type="dxa"/>
            <w:right w:w="62" w:type="dxa"/>
          </w:tblCellMar>
          <w:tblLook w:val="0000"/>
        </w:tblPrEx>
        <w:tc>
          <w:tcPr>
            <w:tcW w:w="9322" w:type="dxa"/>
            <w:gridSpan w:val="2"/>
            <w:tcBorders>
              <w:top w:val="nil"/>
              <w:left w:val="nil"/>
              <w:bottom w:val="nil"/>
              <w:right w:val="nil"/>
            </w:tcBorders>
            <w:tcMar>
              <w:top w:w="0" w:type="dxa"/>
              <w:left w:w="62" w:type="dxa"/>
              <w:bottom w:w="0" w:type="dxa"/>
              <w:right w:w="62" w:type="dxa"/>
            </w:tcMar>
          </w:tcPr>
          <w:p w:rsidR="00000000" w:rsidP="00B8290E">
            <w:pPr>
              <w:pStyle w:val="BodyText"/>
              <w:rPr>
                <w:lang w:val="en-NZ"/>
              </w:rPr>
            </w:pPr>
            <w:r w:rsidRPr="00B8290E">
              <w:t>The Evidence Guide specifies the evidence required to demonstrate achievement in the unit of competency as a whole. It must be read in conjunction with the Unit descriptor, Performance Criteria, the Range Statement and the Assessment Guideli</w:t>
            </w:r>
            <w:r w:rsidRPr="00B8290E">
              <w:t>nes for the Public Sector Training Package.</w:t>
            </w:r>
          </w:p>
        </w:tc>
      </w:tr>
      <w:tr w:rsidTr="003B06A2">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RPr="00B8290E" w:rsidP="00B8290E">
            <w:pPr>
              <w:pStyle w:val="BodyText"/>
            </w:pPr>
            <w:r w:rsidRPr="00B8290E">
              <w:rPr>
                <w:rStyle w:val="SpecialBold"/>
              </w:rPr>
              <w:t>Units to be assessed together</w:t>
            </w:r>
            <w:r w:rsidRPr="00B8290E">
              <w:t xml:space="preserve"> </w:t>
            </w:r>
          </w:p>
        </w:tc>
        <w:tc>
          <w:tcPr>
            <w:tcW w:w="6662" w:type="dxa"/>
            <w:tcBorders>
              <w:top w:val="nil"/>
              <w:left w:val="nil"/>
              <w:bottom w:val="nil"/>
              <w:right w:val="nil"/>
            </w:tcBorders>
            <w:tcMar>
              <w:top w:w="0" w:type="dxa"/>
              <w:left w:w="62" w:type="dxa"/>
              <w:bottom w:w="0" w:type="dxa"/>
              <w:right w:w="62" w:type="dxa"/>
            </w:tcMar>
          </w:tcPr>
          <w:p w:rsidR="00000000" w:rsidRPr="00B8290E" w:rsidP="00B8290E">
            <w:pPr>
              <w:pStyle w:val="ListBullet2"/>
            </w:pPr>
            <w:r w:rsidRPr="00B8290E">
              <w:rPr>
                <w:rStyle w:val="Emphasis"/>
              </w:rPr>
              <w:t>Pre</w:t>
            </w:r>
            <w:r w:rsidRPr="00B8290E">
              <w:t>-</w:t>
            </w:r>
            <w:r w:rsidRPr="00B8290E">
              <w:rPr>
                <w:rStyle w:val="Emphasis"/>
              </w:rPr>
              <w:t>requisite</w:t>
            </w:r>
            <w:r w:rsidRPr="00B8290E">
              <w:t xml:space="preserve"> units that </w:t>
            </w:r>
            <w:r w:rsidRPr="00B8290E">
              <w:rPr>
                <w:rStyle w:val="Underline"/>
              </w:rPr>
              <w:t>must</w:t>
            </w:r>
            <w:r w:rsidRPr="00B8290E">
              <w:t xml:space="preserve"> be achieved </w:t>
            </w:r>
            <w:r w:rsidRPr="00B8290E">
              <w:rPr>
                <w:rStyle w:val="Underline"/>
              </w:rPr>
              <w:t>prior</w:t>
            </w:r>
            <w:r w:rsidRPr="00B8290E">
              <w:t xml:space="preserve"> to this unit:</w:t>
            </w:r>
            <w:r w:rsidRPr="00B8290E">
              <w:rPr>
                <w:rStyle w:val="Emphasis"/>
              </w:rPr>
              <w:t>Nil</w:t>
            </w:r>
          </w:p>
          <w:p w:rsidR="00000000" w:rsidRPr="00B8290E" w:rsidP="00B8290E">
            <w:pPr>
              <w:pStyle w:val="ListBullet2"/>
            </w:pPr>
            <w:r w:rsidRPr="00B8290E">
              <w:rPr>
                <w:rStyle w:val="Emphasis"/>
              </w:rPr>
              <w:t>Co</w:t>
            </w:r>
            <w:r w:rsidRPr="00B8290E">
              <w:t>-</w:t>
            </w:r>
            <w:r w:rsidRPr="00B8290E">
              <w:rPr>
                <w:rStyle w:val="Emphasis"/>
              </w:rPr>
              <w:t>requisite</w:t>
            </w:r>
            <w:r w:rsidRPr="00B8290E">
              <w:t xml:space="preserve"> units that </w:t>
            </w:r>
            <w:r w:rsidRPr="00B8290E">
              <w:rPr>
                <w:rStyle w:val="Underline"/>
              </w:rPr>
              <w:t>must</w:t>
            </w:r>
            <w:r w:rsidRPr="00B8290E">
              <w:t xml:space="preserve"> be assessed </w:t>
            </w:r>
            <w:r w:rsidRPr="00B8290E">
              <w:rPr>
                <w:rStyle w:val="Underline"/>
              </w:rPr>
              <w:t>with</w:t>
            </w:r>
            <w:r w:rsidRPr="00B8290E">
              <w:t xml:space="preserve"> this unit:</w:t>
            </w:r>
            <w:r w:rsidRPr="00B8290E">
              <w:rPr>
                <w:rStyle w:val="Emphasis"/>
              </w:rPr>
              <w:t>Nil</w:t>
            </w:r>
          </w:p>
          <w:p w:rsidR="00000000" w:rsidRPr="00B8290E" w:rsidP="00B8290E">
            <w:pPr>
              <w:pStyle w:val="ListBullet2"/>
            </w:pPr>
            <w:r w:rsidRPr="00B8290E">
              <w:rPr>
                <w:rStyle w:val="Emphasis"/>
              </w:rPr>
              <w:t>Co</w:t>
            </w:r>
            <w:r w:rsidRPr="00B8290E">
              <w:t>-</w:t>
            </w:r>
            <w:r w:rsidRPr="00B8290E">
              <w:rPr>
                <w:rStyle w:val="Emphasis"/>
              </w:rPr>
              <w:t>assessed units</w:t>
            </w:r>
            <w:r w:rsidRPr="00B8290E">
              <w:t xml:space="preserve"> that </w:t>
            </w:r>
            <w:r w:rsidRPr="00B8290E">
              <w:rPr>
                <w:rStyle w:val="Underline"/>
              </w:rPr>
              <w:t>may</w:t>
            </w:r>
            <w:r w:rsidRPr="00B8290E">
              <w:t xml:space="preserve"> be assessed with this unit to increase the efficiency and realism of the assessment process include, but are not limited to:</w:t>
            </w:r>
          </w:p>
          <w:p w:rsidR="00000000" w:rsidRPr="00B8290E" w:rsidP="00B8290E">
            <w:pPr>
              <w:pStyle w:val="ListBullet3"/>
            </w:pPr>
            <w:r w:rsidRPr="00B8290E">
              <w:t>PSPETHC601B Maintain and enhance confidence in public service</w:t>
            </w:r>
          </w:p>
          <w:p w:rsidR="00000000" w:rsidRPr="00B8290E" w:rsidP="00B8290E">
            <w:pPr>
              <w:pStyle w:val="ListBullet3"/>
            </w:pPr>
            <w:r w:rsidRPr="00B8290E">
              <w:t>PSPLEGN601B Manage compliance with legislation in the public sector</w:t>
            </w:r>
          </w:p>
          <w:p w:rsidR="00000000" w:rsidRPr="00B8290E" w:rsidP="00B8290E">
            <w:pPr>
              <w:pStyle w:val="ListBullet3"/>
            </w:pPr>
            <w:r w:rsidRPr="00B8290E">
              <w:t>PSPGOV602B Establish and maintain strategic networks</w:t>
            </w:r>
          </w:p>
          <w:p w:rsidR="00000000" w:rsidRPr="00B8290E" w:rsidP="00B8290E">
            <w:pPr>
              <w:pStyle w:val="ListBullet3"/>
            </w:pPr>
            <w:r w:rsidRPr="00B8290E">
              <w:t xml:space="preserve">PSPMNGT602B Manage resources </w:t>
            </w:r>
          </w:p>
          <w:p w:rsidR="00000000" w:rsidRPr="00B8290E" w:rsidP="00B8290E">
            <w:pPr>
              <w:pStyle w:val="ListBullet3"/>
            </w:pPr>
            <w:r w:rsidRPr="00B8290E">
              <w:t>PSPMNGT605B Manage diversity</w:t>
            </w:r>
          </w:p>
          <w:p w:rsidR="00000000" w:rsidRPr="00B8290E" w:rsidP="00B8290E">
            <w:pPr>
              <w:pStyle w:val="ListBullet3"/>
            </w:pPr>
            <w:r w:rsidRPr="00B8290E">
              <w:t xml:space="preserve">PSPMNGT606B Manage quality client service </w:t>
            </w:r>
          </w:p>
          <w:p w:rsidR="00000000" w:rsidRPr="00B8290E" w:rsidP="00B8290E">
            <w:pPr>
              <w:pStyle w:val="ListBullet3"/>
            </w:pPr>
            <w:r w:rsidRPr="00B8290E">
              <w:t xml:space="preserve">PSPMNGT608B Manage risk </w:t>
            </w:r>
          </w:p>
          <w:p w:rsidR="00000000" w:rsidRPr="00B8290E" w:rsidP="00B8290E">
            <w:pPr>
              <w:pStyle w:val="ListBullet3"/>
            </w:pPr>
            <w:r w:rsidRPr="00B8290E">
              <w:t>PSPPOL603A Manage policy implementation</w:t>
            </w:r>
          </w:p>
          <w:p w:rsidR="00000000" w:rsidRPr="00B8290E" w:rsidP="00B8290E">
            <w:pPr>
              <w:pStyle w:val="ListBullet3"/>
            </w:pPr>
            <w:r w:rsidRPr="00B8290E">
              <w:t>PSPREG601B Manage regulatory compli</w:t>
            </w:r>
            <w:r w:rsidRPr="00B8290E">
              <w:t>ance</w:t>
            </w:r>
          </w:p>
          <w:p w:rsidR="00000000" w:rsidP="00B8290E">
            <w:pPr>
              <w:pStyle w:val="ListBullet3"/>
              <w:rPr>
                <w:lang w:val="en-NZ"/>
              </w:rPr>
            </w:pPr>
            <w:r w:rsidRPr="00B8290E">
              <w:t>PSPREG602B Evaluate regulatory compliance</w:t>
            </w:r>
          </w:p>
        </w:tc>
      </w:tr>
      <w:tr w:rsidTr="003B06A2">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B8290E">
            <w:pPr>
              <w:pStyle w:val="BodyText"/>
              <w:rPr>
                <w:lang w:val="en-NZ"/>
              </w:rPr>
            </w:pPr>
            <w:r w:rsidRPr="00B8290E">
              <w:rPr>
                <w:rStyle w:val="SpecialBold"/>
              </w:rPr>
              <w:t>Overview of evidence requirements</w:t>
            </w:r>
          </w:p>
        </w:tc>
        <w:tc>
          <w:tcPr>
            <w:tcW w:w="6662" w:type="dxa"/>
            <w:tcBorders>
              <w:top w:val="nil"/>
              <w:left w:val="nil"/>
              <w:bottom w:val="nil"/>
              <w:right w:val="nil"/>
            </w:tcBorders>
            <w:tcMar>
              <w:top w:w="0" w:type="dxa"/>
              <w:left w:w="62" w:type="dxa"/>
              <w:bottom w:w="0" w:type="dxa"/>
              <w:right w:w="62" w:type="dxa"/>
            </w:tcMar>
          </w:tcPr>
          <w:p w:rsidR="00000000" w:rsidRPr="00B8290E" w:rsidP="00B8290E">
            <w:pPr>
              <w:pStyle w:val="BodyText"/>
            </w:pPr>
            <w:r w:rsidRPr="00B8290E">
              <w:t>In addition to integrated demonstration of the elements and their related performance criteria, look for evidence that confirms:</w:t>
            </w:r>
          </w:p>
          <w:p w:rsidR="00000000" w:rsidRPr="00B8290E" w:rsidP="00B8290E">
            <w:pPr>
              <w:pStyle w:val="ListBullet2"/>
            </w:pPr>
            <w:r w:rsidRPr="00B8290E">
              <w:t xml:space="preserve">the knowledge requirements of this unit </w:t>
            </w:r>
          </w:p>
          <w:p w:rsidR="00000000" w:rsidRPr="00B8290E" w:rsidP="00B8290E">
            <w:pPr>
              <w:pStyle w:val="ListBullet2"/>
            </w:pPr>
            <w:r w:rsidRPr="00B8290E">
              <w:t>the skill requirements of this unit</w:t>
            </w:r>
          </w:p>
          <w:p w:rsidR="00000000" w:rsidRPr="00B8290E" w:rsidP="00B8290E">
            <w:pPr>
              <w:pStyle w:val="ListBullet2"/>
            </w:pPr>
            <w:r w:rsidRPr="00B8290E">
              <w:t>application of the Employability Skills as they relate to this unit (see Employability Summaries in Qualifications Framework)</w:t>
            </w:r>
          </w:p>
          <w:p w:rsidR="00000000" w:rsidP="00B8290E">
            <w:pPr>
              <w:pStyle w:val="ListBullet2"/>
              <w:rPr>
                <w:lang w:val="en-NZ"/>
              </w:rPr>
            </w:pPr>
            <w:r w:rsidRPr="00B8290E">
              <w:t>performance at an experienced, self-directed level in managing and leading inspection and moni</w:t>
            </w:r>
            <w:r w:rsidRPr="00B8290E">
              <w:t>toring programs undertaken in a range of (3 or more) contexts (or occasions, over time)</w:t>
            </w:r>
          </w:p>
        </w:tc>
      </w:tr>
      <w:tr w:rsidTr="003B06A2">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B8290E">
            <w:pPr>
              <w:pStyle w:val="BodyText"/>
              <w:rPr>
                <w:lang w:val="en-NZ"/>
              </w:rPr>
            </w:pPr>
            <w:r w:rsidRPr="00B8290E">
              <w:rPr>
                <w:rStyle w:val="SpecialBold"/>
              </w:rPr>
              <w:t>Resources required to carry out assessment</w:t>
            </w:r>
          </w:p>
        </w:tc>
        <w:tc>
          <w:tcPr>
            <w:tcW w:w="6662" w:type="dxa"/>
            <w:tcBorders>
              <w:top w:val="nil"/>
              <w:left w:val="nil"/>
              <w:bottom w:val="nil"/>
              <w:right w:val="nil"/>
            </w:tcBorders>
            <w:tcMar>
              <w:top w:w="0" w:type="dxa"/>
              <w:left w:w="62" w:type="dxa"/>
              <w:bottom w:w="0" w:type="dxa"/>
              <w:right w:w="62" w:type="dxa"/>
            </w:tcMar>
          </w:tcPr>
          <w:p w:rsidR="00000000" w:rsidRPr="00B8290E" w:rsidP="00B8290E">
            <w:pPr>
              <w:pStyle w:val="BodyText"/>
            </w:pPr>
            <w:r w:rsidRPr="00B8290E">
              <w:t>These resources include:</w:t>
            </w:r>
          </w:p>
          <w:p w:rsidR="00000000" w:rsidRPr="00B8290E" w:rsidP="00B8290E">
            <w:pPr>
              <w:pStyle w:val="ListBullet2"/>
            </w:pPr>
            <w:r w:rsidRPr="00B8290E">
              <w:t>legislation, policy, procedures and protocols relating to inspection and monitoring</w:t>
            </w:r>
          </w:p>
          <w:p w:rsidR="00000000" w:rsidP="00B8290E">
            <w:pPr>
              <w:pStyle w:val="ListBullet2"/>
              <w:rPr>
                <w:lang w:val="en-NZ"/>
              </w:rPr>
            </w:pPr>
            <w:r w:rsidRPr="00B8290E">
              <w:t>case studies a</w:t>
            </w:r>
            <w:r w:rsidRPr="00B8290E">
              <w:t>nd workplace scenarios to capture the range of situations likely to be encountered when managing and leading inspection and monitoring programs</w:t>
            </w:r>
          </w:p>
        </w:tc>
      </w:tr>
      <w:tr w:rsidTr="003B06A2">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B8290E">
            <w:pPr>
              <w:pStyle w:val="BodyText"/>
              <w:rPr>
                <w:lang w:val="en-NZ"/>
              </w:rPr>
            </w:pPr>
            <w:r w:rsidRPr="00B8290E">
              <w:rPr>
                <w:rStyle w:val="SpecialBold"/>
              </w:rPr>
              <w:t>Where and how to assess evidence</w:t>
            </w:r>
          </w:p>
        </w:tc>
        <w:tc>
          <w:tcPr>
            <w:tcW w:w="6662" w:type="dxa"/>
            <w:tcBorders>
              <w:top w:val="nil"/>
              <w:left w:val="nil"/>
              <w:bottom w:val="nil"/>
              <w:right w:val="nil"/>
            </w:tcBorders>
            <w:tcMar>
              <w:top w:w="0" w:type="dxa"/>
              <w:left w:w="62" w:type="dxa"/>
              <w:bottom w:w="0" w:type="dxa"/>
              <w:right w:w="62" w:type="dxa"/>
            </w:tcMar>
          </w:tcPr>
          <w:p w:rsidR="00000000" w:rsidRPr="00B8290E" w:rsidP="00B8290E">
            <w:pPr>
              <w:pStyle w:val="BodyText"/>
            </w:pPr>
            <w:r w:rsidRPr="00B8290E">
              <w:t xml:space="preserve">Valid assessment of this unit requires: </w:t>
            </w:r>
          </w:p>
          <w:p w:rsidR="00000000" w:rsidRPr="00B8290E" w:rsidP="00B8290E">
            <w:pPr>
              <w:pStyle w:val="ListBullet2"/>
            </w:pPr>
            <w:r w:rsidRPr="00B8290E">
              <w:t xml:space="preserve">a workplace environment or one that </w:t>
            </w:r>
            <w:r w:rsidRPr="00B8290E">
              <w:t>closely resembles normal work practice and replicates the range of conditions likely to be encountered when managing and leading inspection and monitoring programs, including coping with difficulties, irregularities and breakdowns in routine</w:t>
            </w:r>
          </w:p>
          <w:p w:rsidR="00000000" w:rsidRPr="00B8290E" w:rsidP="00B8290E">
            <w:pPr>
              <w:pStyle w:val="ListBullet2"/>
            </w:pPr>
            <w:r w:rsidRPr="00B8290E">
              <w:t>performance at</w:t>
            </w:r>
            <w:r w:rsidRPr="00B8290E">
              <w:t xml:space="preserve"> an experienced, self-directed level in managing and leading inspection and monitoring programs undertaken in a range of (3 or more) contexts (or occasions, over time)</w:t>
            </w:r>
          </w:p>
          <w:p w:rsidR="00000000" w:rsidRPr="00B8290E" w:rsidP="00B8290E">
            <w:pPr>
              <w:pStyle w:val="BodyText"/>
            </w:pPr>
            <w:r w:rsidRPr="00B8290E">
              <w:t xml:space="preserve">Assessment methods should reflect workplace demands, such as literacy, and the needs of </w:t>
            </w:r>
            <w:r w:rsidRPr="00B8290E">
              <w:t>particular groups, such as:</w:t>
            </w:r>
          </w:p>
          <w:p w:rsidR="00000000" w:rsidRPr="00B8290E" w:rsidP="00B8290E">
            <w:pPr>
              <w:pStyle w:val="ListBullet2"/>
            </w:pPr>
            <w:r w:rsidRPr="00B8290E">
              <w:t>people with disabilities</w:t>
            </w:r>
          </w:p>
          <w:p w:rsidR="00000000" w:rsidRPr="00B8290E" w:rsidP="00B8290E">
            <w:pPr>
              <w:pStyle w:val="ListBullet2"/>
            </w:pPr>
            <w:r w:rsidRPr="00B8290E">
              <w:t>people from culturally and linguistically diverse backgrounds</w:t>
            </w:r>
          </w:p>
          <w:p w:rsidR="00000000" w:rsidRPr="00B8290E" w:rsidP="00B8290E">
            <w:pPr>
              <w:pStyle w:val="ListBullet2"/>
            </w:pPr>
            <w:r w:rsidRPr="00B8290E">
              <w:t>Aboriginal and Torres Strait Islander people</w:t>
            </w:r>
          </w:p>
          <w:p w:rsidR="00000000" w:rsidRPr="00B8290E" w:rsidP="00B8290E">
            <w:pPr>
              <w:pStyle w:val="ListBullet2"/>
            </w:pPr>
            <w:r w:rsidRPr="00B8290E">
              <w:t>women</w:t>
            </w:r>
          </w:p>
          <w:p w:rsidR="00000000" w:rsidRPr="00B8290E" w:rsidP="00B8290E">
            <w:pPr>
              <w:pStyle w:val="ListBullet2"/>
            </w:pPr>
            <w:r w:rsidRPr="00B8290E">
              <w:t>young people</w:t>
            </w:r>
          </w:p>
          <w:p w:rsidR="00000000" w:rsidRPr="00B8290E" w:rsidP="00B8290E">
            <w:pPr>
              <w:pStyle w:val="ListBullet2"/>
            </w:pPr>
            <w:r w:rsidRPr="00B8290E">
              <w:t>older people</w:t>
            </w:r>
          </w:p>
          <w:p w:rsidR="00000000" w:rsidRPr="00B8290E" w:rsidP="00B8290E">
            <w:pPr>
              <w:pStyle w:val="ListBullet2"/>
            </w:pPr>
            <w:r w:rsidRPr="00B8290E">
              <w:t>people in rural and remote locations</w:t>
            </w:r>
          </w:p>
          <w:p w:rsidR="00000000" w:rsidRPr="00B8290E" w:rsidP="00B8290E">
            <w:pPr>
              <w:pStyle w:val="BodyText"/>
            </w:pPr>
            <w:r w:rsidRPr="00B8290E">
              <w:t xml:space="preserve">Assessment methods suitable for valid and reliable assessment of this competency may include, but are not limited to, a combination of 2 or more of: </w:t>
            </w:r>
          </w:p>
          <w:p w:rsidR="00000000" w:rsidRPr="00B8290E" w:rsidP="00B8290E">
            <w:pPr>
              <w:pStyle w:val="ListBullet2"/>
            </w:pPr>
            <w:r w:rsidRPr="00B8290E">
              <w:t>case studies</w:t>
            </w:r>
          </w:p>
          <w:p w:rsidR="00000000" w:rsidRPr="00B8290E" w:rsidP="00B8290E">
            <w:pPr>
              <w:pStyle w:val="ListBullet2"/>
            </w:pPr>
            <w:r w:rsidRPr="00B8290E">
              <w:t xml:space="preserve">portfolios </w:t>
            </w:r>
          </w:p>
          <w:p w:rsidR="00000000" w:rsidRPr="00B8290E" w:rsidP="00B8290E">
            <w:pPr>
              <w:pStyle w:val="ListBullet2"/>
            </w:pPr>
            <w:r w:rsidRPr="00B8290E">
              <w:t>questioning</w:t>
            </w:r>
          </w:p>
          <w:p w:rsidR="00000000" w:rsidRPr="00B8290E" w:rsidP="00B8290E">
            <w:pPr>
              <w:pStyle w:val="ListBullet2"/>
            </w:pPr>
            <w:r w:rsidRPr="00B8290E">
              <w:t>scenarios</w:t>
            </w:r>
          </w:p>
          <w:p w:rsidR="00000000" w:rsidP="00B8290E">
            <w:pPr>
              <w:pStyle w:val="ListBullet2"/>
              <w:rPr>
                <w:lang w:val="en-NZ"/>
              </w:rPr>
            </w:pPr>
            <w:r w:rsidRPr="00B8290E">
              <w:t xml:space="preserve">authenticated evidence from the workplace and/or training </w:t>
            </w:r>
            <w:r w:rsidRPr="00B8290E">
              <w:t xml:space="preserve">courses   </w:t>
            </w:r>
          </w:p>
        </w:tc>
      </w:tr>
      <w:tr w:rsidTr="003B06A2">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B8290E">
            <w:pPr>
              <w:pStyle w:val="BodyText"/>
              <w:rPr>
                <w:lang w:val="en-NZ"/>
              </w:rPr>
            </w:pPr>
            <w:r w:rsidRPr="00B8290E">
              <w:rPr>
                <w:rStyle w:val="SpecialBold"/>
              </w:rPr>
              <w:t>For consistency of assessment</w:t>
            </w:r>
          </w:p>
        </w:tc>
        <w:tc>
          <w:tcPr>
            <w:tcW w:w="6662" w:type="dxa"/>
            <w:tcBorders>
              <w:top w:val="nil"/>
              <w:left w:val="nil"/>
              <w:bottom w:val="nil"/>
              <w:right w:val="nil"/>
            </w:tcBorders>
            <w:tcMar>
              <w:top w:w="0" w:type="dxa"/>
              <w:left w:w="62" w:type="dxa"/>
              <w:bottom w:w="0" w:type="dxa"/>
              <w:right w:w="62" w:type="dxa"/>
            </w:tcMar>
          </w:tcPr>
          <w:p w:rsidR="00000000" w:rsidRPr="00B8290E" w:rsidP="00B8290E">
            <w:pPr>
              <w:pStyle w:val="BodyText"/>
            </w:pPr>
            <w:r w:rsidRPr="00B8290E">
              <w:t>Evidence must be gathered over time in a range of contexts to ensure the person can achieve the unit outcome and apply the competency in different situations or environments</w:t>
            </w:r>
          </w:p>
        </w:tc>
      </w:tr>
    </w:tbl>
    <w:p w:rsidR="00000000" w:rsidRPr="00B8290E" w:rsidP="00B8290E">
      <w:pPr>
        <w:pStyle w:val="BodyText"/>
      </w:pPr>
    </w:p>
    <w:p w:rsidR="00000000" w:rsidRPr="00B8290E" w:rsidP="00B8290E">
      <w:pPr>
        <w:pStyle w:val="AllowPageBreak"/>
      </w:pPr>
    </w:p>
    <w:p w:rsidR="00000000" w:rsidRPr="00B8290E" w:rsidP="00B8290E">
      <w:pPr>
        <w:pStyle w:val="Heading1"/>
      </w:pPr>
      <w:bookmarkStart w:id="11" w:name="O_499032"/>
      <w:bookmarkEnd w:id="11"/>
      <w:r w:rsidRPr="00B8290E">
        <w:t>Range Statement</w:t>
      </w:r>
    </w:p>
    <w:tbl>
      <w:tblPr>
        <w:tblW w:w="9322" w:type="dxa"/>
        <w:tblLayout w:type="fixed"/>
        <w:tblCellMar>
          <w:left w:w="62" w:type="dxa"/>
          <w:right w:w="62" w:type="dxa"/>
        </w:tblCellMar>
        <w:tblLook w:val="0000"/>
      </w:tblPr>
      <w:tblGrid>
        <w:gridCol w:w="2660"/>
        <w:gridCol w:w="6662"/>
      </w:tblGrid>
      <w:tr w:rsidTr="003B06A2">
        <w:tblPrEx>
          <w:tblW w:w="9322" w:type="dxa"/>
          <w:tblLayout w:type="fixed"/>
          <w:tblCellMar>
            <w:left w:w="62" w:type="dxa"/>
            <w:right w:w="62" w:type="dxa"/>
          </w:tblCellMar>
          <w:tblLook w:val="0000"/>
        </w:tblPrEx>
        <w:tc>
          <w:tcPr>
            <w:tcW w:w="9322" w:type="dxa"/>
            <w:gridSpan w:val="2"/>
            <w:tcBorders>
              <w:top w:val="nil"/>
              <w:left w:val="nil"/>
              <w:bottom w:val="nil"/>
              <w:right w:val="nil"/>
            </w:tcBorders>
            <w:tcMar>
              <w:top w:w="0" w:type="dxa"/>
              <w:left w:w="62" w:type="dxa"/>
              <w:bottom w:w="0" w:type="dxa"/>
              <w:right w:w="62" w:type="dxa"/>
            </w:tcMar>
          </w:tcPr>
          <w:p w:rsidR="00000000" w:rsidP="00B8290E">
            <w:pPr>
              <w:pStyle w:val="BodyText"/>
              <w:rPr>
                <w:lang w:val="en-NZ"/>
              </w:rPr>
            </w:pPr>
            <w:r w:rsidRPr="00B8290E">
              <w:t>The Range Statement provides information about the context in which the unit of competency is carried out. The variables cater for differences between States and Territories and the Commonwealth, and between organisations and workplaces. They allow for dif</w:t>
            </w:r>
            <w:r w:rsidRPr="00B8290E">
              <w:t xml:space="preserve">ferent work requirements, work practices and knowledge. The Range Statement also provides a focus for assessment. It relates to the unit as a whole. Text in </w:t>
            </w:r>
            <w:r w:rsidRPr="00B8290E">
              <w:rPr>
                <w:rStyle w:val="BoldandItalics"/>
              </w:rPr>
              <w:t xml:space="preserve">bold italics </w:t>
            </w:r>
            <w:r w:rsidRPr="00B8290E">
              <w:t>in the Performance Criteria is explained here.</w:t>
            </w:r>
          </w:p>
        </w:tc>
      </w:tr>
      <w:tr w:rsidTr="003B06A2">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B8290E">
            <w:pPr>
              <w:pStyle w:val="BodyText"/>
              <w:rPr>
                <w:lang w:val="en-NZ"/>
              </w:rPr>
            </w:pPr>
            <w:r w:rsidRPr="00B8290E">
              <w:rPr>
                <w:rStyle w:val="BoldandItalics"/>
              </w:rPr>
              <w:t>Inspection and monitoring</w:t>
            </w:r>
            <w:r w:rsidRPr="00B8290E">
              <w:t xml:space="preserve"> may include</w:t>
            </w:r>
            <w:r w:rsidRPr="00B8290E">
              <w:t>:</w:t>
            </w:r>
          </w:p>
        </w:tc>
        <w:tc>
          <w:tcPr>
            <w:tcW w:w="6662" w:type="dxa"/>
            <w:tcBorders>
              <w:top w:val="nil"/>
              <w:left w:val="nil"/>
              <w:bottom w:val="nil"/>
              <w:right w:val="nil"/>
            </w:tcBorders>
            <w:tcMar>
              <w:top w:w="0" w:type="dxa"/>
              <w:left w:w="62" w:type="dxa"/>
              <w:bottom w:w="0" w:type="dxa"/>
              <w:right w:w="62" w:type="dxa"/>
            </w:tcMar>
          </w:tcPr>
          <w:p w:rsidR="00000000" w:rsidRPr="00B8290E" w:rsidP="00B8290E">
            <w:pPr>
              <w:pStyle w:val="ListBullet2"/>
            </w:pPr>
            <w:r w:rsidRPr="00B8290E">
              <w:t xml:space="preserve">inspections/examinations </w:t>
            </w:r>
          </w:p>
          <w:p w:rsidR="00000000" w:rsidRPr="00B8290E" w:rsidP="00B8290E">
            <w:pPr>
              <w:pStyle w:val="ListBullet2"/>
            </w:pPr>
            <w:r w:rsidRPr="00B8290E">
              <w:t>monitoring</w:t>
            </w:r>
          </w:p>
          <w:p w:rsidR="00000000" w:rsidRPr="00B8290E" w:rsidP="00B8290E">
            <w:pPr>
              <w:pStyle w:val="ListBullet2"/>
            </w:pPr>
            <w:r w:rsidRPr="00B8290E">
              <w:t xml:space="preserve">surveillance </w:t>
            </w:r>
          </w:p>
          <w:p w:rsidR="00000000" w:rsidRPr="00B8290E" w:rsidP="00B8290E">
            <w:pPr>
              <w:pStyle w:val="ListBullet2"/>
            </w:pPr>
            <w:r w:rsidRPr="00B8290E">
              <w:t xml:space="preserve">audits </w:t>
            </w:r>
          </w:p>
          <w:p w:rsidR="00000000" w:rsidRPr="00B8290E" w:rsidP="00B8290E">
            <w:pPr>
              <w:pStyle w:val="ListBullet2"/>
            </w:pPr>
            <w:r w:rsidRPr="00B8290E">
              <w:t>remote monitoring</w:t>
            </w:r>
          </w:p>
          <w:p w:rsidR="00000000" w:rsidP="00B8290E">
            <w:pPr>
              <w:pStyle w:val="ListBullet2"/>
              <w:rPr>
                <w:lang w:val="en-NZ"/>
              </w:rPr>
            </w:pPr>
            <w:r w:rsidRPr="00B8290E">
              <w:t>other compliance assurance activities</w:t>
            </w:r>
          </w:p>
        </w:tc>
      </w:tr>
      <w:tr w:rsidTr="003B06A2">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B8290E">
            <w:pPr>
              <w:pStyle w:val="BodyText"/>
              <w:rPr>
                <w:lang w:val="en-NZ"/>
              </w:rPr>
            </w:pPr>
            <w:r w:rsidRPr="00B8290E">
              <w:rPr>
                <w:rStyle w:val="BoldandItalics"/>
              </w:rPr>
              <w:t xml:space="preserve">Legislation </w:t>
            </w:r>
            <w:r w:rsidRPr="00B8290E">
              <w:t>may include:</w:t>
            </w:r>
          </w:p>
        </w:tc>
        <w:tc>
          <w:tcPr>
            <w:tcW w:w="6662" w:type="dxa"/>
            <w:tcBorders>
              <w:top w:val="nil"/>
              <w:left w:val="nil"/>
              <w:bottom w:val="nil"/>
              <w:right w:val="nil"/>
            </w:tcBorders>
            <w:tcMar>
              <w:top w:w="0" w:type="dxa"/>
              <w:left w:w="62" w:type="dxa"/>
              <w:bottom w:w="0" w:type="dxa"/>
              <w:right w:w="62" w:type="dxa"/>
            </w:tcMar>
          </w:tcPr>
          <w:p w:rsidR="00000000" w:rsidRPr="00B8290E" w:rsidP="00B8290E">
            <w:pPr>
              <w:pStyle w:val="ListBullet2"/>
            </w:pPr>
            <w:r w:rsidRPr="00B8290E">
              <w:t>Commonwealth legislation and regulations, for example:</w:t>
            </w:r>
          </w:p>
          <w:p w:rsidR="00000000" w:rsidRPr="00B8290E" w:rsidP="00B8290E">
            <w:pPr>
              <w:pStyle w:val="ListBullet3"/>
            </w:pPr>
            <w:r w:rsidRPr="00B8290E">
              <w:t>Commonwealth Quarantine Act 1908, proclamations and regulations</w:t>
            </w:r>
          </w:p>
          <w:p w:rsidR="00000000" w:rsidRPr="00B8290E" w:rsidP="00B8290E">
            <w:pPr>
              <w:pStyle w:val="ListBullet3"/>
            </w:pPr>
            <w:r w:rsidRPr="00B8290E">
              <w:t>Crimes Act 1914 and Criminal Code Act 1995</w:t>
            </w:r>
          </w:p>
          <w:p w:rsidR="00000000" w:rsidRPr="00B8290E" w:rsidP="00B8290E">
            <w:pPr>
              <w:pStyle w:val="ListBullet3"/>
            </w:pPr>
            <w:r w:rsidRPr="00B8290E">
              <w:t>Customs Act 1901 and regulations</w:t>
            </w:r>
          </w:p>
          <w:p w:rsidR="00000000" w:rsidRPr="00B8290E" w:rsidP="00B8290E">
            <w:pPr>
              <w:pStyle w:val="ListBullet3"/>
            </w:pPr>
            <w:r w:rsidRPr="00B8290E">
              <w:t>Wildlife Protection Act 1982</w:t>
            </w:r>
          </w:p>
          <w:p w:rsidR="00000000" w:rsidRPr="00B8290E" w:rsidP="00B8290E">
            <w:pPr>
              <w:pStyle w:val="ListBullet3"/>
            </w:pPr>
            <w:r w:rsidRPr="00B8290E">
              <w:t>Export Control Act 1982</w:t>
            </w:r>
          </w:p>
          <w:p w:rsidR="00000000" w:rsidRPr="00B8290E" w:rsidP="00B8290E">
            <w:pPr>
              <w:pStyle w:val="ListBullet3"/>
            </w:pPr>
            <w:r w:rsidRPr="00B8290E">
              <w:t xml:space="preserve">Imported Foods Act 1996 </w:t>
            </w:r>
          </w:p>
          <w:p w:rsidR="00000000" w:rsidRPr="00B8290E" w:rsidP="00B8290E">
            <w:pPr>
              <w:pStyle w:val="ListBullet3"/>
            </w:pPr>
            <w:r w:rsidRPr="00B8290E">
              <w:t>Occupational Health and Safety Act 1988</w:t>
            </w:r>
          </w:p>
          <w:p w:rsidR="00000000" w:rsidRPr="00B8290E" w:rsidP="00B8290E">
            <w:pPr>
              <w:pStyle w:val="ListBullet2"/>
            </w:pPr>
            <w:r w:rsidRPr="00B8290E">
              <w:t>State, Territory and Local Government legislation and regulations, such as those relating to:</w:t>
            </w:r>
          </w:p>
          <w:p w:rsidR="00000000" w:rsidRPr="00B8290E" w:rsidP="00B8290E">
            <w:pPr>
              <w:pStyle w:val="ListBullet3"/>
            </w:pPr>
            <w:r w:rsidRPr="00B8290E">
              <w:t xml:space="preserve">agriculture </w:t>
            </w:r>
          </w:p>
          <w:p w:rsidR="00000000" w:rsidRPr="00B8290E" w:rsidP="00B8290E">
            <w:pPr>
              <w:pStyle w:val="ListBullet3"/>
            </w:pPr>
            <w:r w:rsidRPr="00B8290E">
              <w:t>horticulture</w:t>
            </w:r>
          </w:p>
          <w:p w:rsidR="00000000" w:rsidRPr="00B8290E" w:rsidP="00B8290E">
            <w:pPr>
              <w:pStyle w:val="ListBullet3"/>
            </w:pPr>
            <w:r w:rsidRPr="00B8290E">
              <w:t>conservation and land management</w:t>
            </w:r>
          </w:p>
          <w:p w:rsidR="00000000" w:rsidRPr="00B8290E" w:rsidP="00B8290E">
            <w:pPr>
              <w:pStyle w:val="ListBullet3"/>
            </w:pPr>
            <w:r w:rsidRPr="00B8290E">
              <w:t xml:space="preserve">fisheries </w:t>
            </w:r>
          </w:p>
          <w:p w:rsidR="00000000" w:rsidRPr="00B8290E" w:rsidP="00B8290E">
            <w:pPr>
              <w:pStyle w:val="ListBullet3"/>
            </w:pPr>
            <w:r w:rsidRPr="00B8290E">
              <w:t>environmental protection</w:t>
            </w:r>
          </w:p>
          <w:p w:rsidR="00000000" w:rsidRPr="00B8290E" w:rsidP="00B8290E">
            <w:pPr>
              <w:pStyle w:val="ListBullet3"/>
            </w:pPr>
            <w:r w:rsidRPr="00B8290E">
              <w:t>building</w:t>
            </w:r>
          </w:p>
          <w:p w:rsidR="00000000" w:rsidRPr="00B8290E" w:rsidP="00B8290E">
            <w:pPr>
              <w:pStyle w:val="ListBullet3"/>
            </w:pPr>
            <w:r w:rsidRPr="00B8290E">
              <w:t>water</w:t>
            </w:r>
          </w:p>
          <w:p w:rsidR="00000000" w:rsidRPr="00B8290E" w:rsidP="00B8290E">
            <w:pPr>
              <w:pStyle w:val="ListBullet3"/>
            </w:pPr>
            <w:r w:rsidRPr="00B8290E">
              <w:t>emergencies</w:t>
            </w:r>
          </w:p>
          <w:p w:rsidR="00000000" w:rsidP="00B8290E">
            <w:pPr>
              <w:pStyle w:val="ListBullet3"/>
              <w:rPr>
                <w:lang w:val="en-NZ"/>
              </w:rPr>
            </w:pPr>
            <w:r w:rsidRPr="00B8290E">
              <w:t>international legislation/codes of behaviour</w:t>
            </w:r>
          </w:p>
        </w:tc>
      </w:tr>
      <w:tr w:rsidTr="003B06A2">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B8290E">
            <w:pPr>
              <w:pStyle w:val="BodyText"/>
              <w:rPr>
                <w:lang w:val="en-NZ"/>
              </w:rPr>
            </w:pPr>
            <w:r w:rsidRPr="00B8290E">
              <w:rPr>
                <w:rStyle w:val="BoldandItalics"/>
              </w:rPr>
              <w:t xml:space="preserve">Individuals </w:t>
            </w:r>
            <w:r w:rsidRPr="00B8290E">
              <w:t>may include:</w:t>
            </w:r>
          </w:p>
        </w:tc>
        <w:tc>
          <w:tcPr>
            <w:tcW w:w="6662" w:type="dxa"/>
            <w:tcBorders>
              <w:top w:val="nil"/>
              <w:left w:val="nil"/>
              <w:bottom w:val="nil"/>
              <w:right w:val="nil"/>
            </w:tcBorders>
            <w:tcMar>
              <w:top w:w="0" w:type="dxa"/>
              <w:left w:w="62" w:type="dxa"/>
              <w:bottom w:w="0" w:type="dxa"/>
              <w:right w:w="62" w:type="dxa"/>
            </w:tcMar>
          </w:tcPr>
          <w:p w:rsidR="00000000" w:rsidRPr="00B8290E" w:rsidP="00B8290E">
            <w:pPr>
              <w:pStyle w:val="ListBullet2"/>
            </w:pPr>
            <w:r w:rsidRPr="00B8290E">
              <w:t>inspection/monitoring staff</w:t>
            </w:r>
          </w:p>
          <w:p w:rsidR="00000000" w:rsidRPr="00B8290E" w:rsidP="00B8290E">
            <w:pPr>
              <w:pStyle w:val="ListBullet2"/>
            </w:pPr>
            <w:r w:rsidRPr="00B8290E">
              <w:t>other supervised staff</w:t>
            </w:r>
          </w:p>
          <w:p w:rsidR="00000000" w:rsidRPr="00B8290E" w:rsidP="00B8290E">
            <w:pPr>
              <w:pStyle w:val="ListBullet2"/>
            </w:pPr>
            <w:r w:rsidRPr="00B8290E">
              <w:t>contract workers</w:t>
            </w:r>
          </w:p>
          <w:p w:rsidR="00000000" w:rsidRPr="00B8290E" w:rsidP="00B8290E">
            <w:pPr>
              <w:pStyle w:val="ListBullet2"/>
            </w:pPr>
            <w:r w:rsidRPr="00B8290E">
              <w:t>consultants</w:t>
            </w:r>
          </w:p>
          <w:p w:rsidR="00000000" w:rsidRPr="00B8290E" w:rsidP="00B8290E">
            <w:pPr>
              <w:pStyle w:val="ListBullet2"/>
            </w:pPr>
            <w:r w:rsidRPr="00B8290E">
              <w:t>service providers</w:t>
            </w:r>
          </w:p>
          <w:p w:rsidR="00000000" w:rsidRPr="00B8290E" w:rsidP="00B8290E">
            <w:pPr>
              <w:pStyle w:val="ListBullet2"/>
            </w:pPr>
            <w:r w:rsidRPr="00B8290E">
              <w:t>super-ordinates</w:t>
            </w:r>
          </w:p>
          <w:p w:rsidR="00000000" w:rsidRPr="00B8290E" w:rsidP="00B8290E">
            <w:pPr>
              <w:pStyle w:val="ListBullet2"/>
            </w:pPr>
            <w:r w:rsidRPr="00B8290E">
              <w:t>clients</w:t>
            </w:r>
          </w:p>
          <w:p w:rsidR="00000000" w:rsidRPr="00B8290E" w:rsidP="00B8290E">
            <w:pPr>
              <w:pStyle w:val="ListBullet2"/>
            </w:pPr>
            <w:r w:rsidRPr="00B8290E">
              <w:t xml:space="preserve">members of the industry </w:t>
            </w:r>
          </w:p>
          <w:p w:rsidR="00000000" w:rsidRPr="00B8290E" w:rsidP="00B8290E">
            <w:pPr>
              <w:pStyle w:val="ListBullet2"/>
            </w:pPr>
            <w:r w:rsidRPr="00B8290E">
              <w:t>members of the public</w:t>
            </w:r>
          </w:p>
          <w:p w:rsidR="00000000" w:rsidP="00B8290E">
            <w:pPr>
              <w:pStyle w:val="ListBullet2"/>
              <w:rPr>
                <w:lang w:val="en-NZ"/>
              </w:rPr>
            </w:pPr>
            <w:r w:rsidRPr="00B8290E">
              <w:t>personnel from other government departments</w:t>
            </w:r>
          </w:p>
        </w:tc>
      </w:tr>
      <w:tr w:rsidTr="003B06A2">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B8290E">
            <w:pPr>
              <w:pStyle w:val="BodyText"/>
              <w:rPr>
                <w:lang w:val="en-NZ"/>
              </w:rPr>
            </w:pPr>
            <w:r w:rsidRPr="00B8290E">
              <w:rPr>
                <w:rStyle w:val="BoldandItalics"/>
              </w:rPr>
              <w:t>Inspection and monitoring activities</w:t>
            </w:r>
            <w:r w:rsidRPr="00B8290E">
              <w:t xml:space="preserve"> may relate to:</w:t>
            </w:r>
          </w:p>
        </w:tc>
        <w:tc>
          <w:tcPr>
            <w:tcW w:w="6662" w:type="dxa"/>
            <w:tcBorders>
              <w:top w:val="nil"/>
              <w:left w:val="nil"/>
              <w:bottom w:val="nil"/>
              <w:right w:val="nil"/>
            </w:tcBorders>
            <w:tcMar>
              <w:top w:w="0" w:type="dxa"/>
              <w:left w:w="62" w:type="dxa"/>
              <w:bottom w:w="0" w:type="dxa"/>
              <w:right w:w="62" w:type="dxa"/>
            </w:tcMar>
          </w:tcPr>
          <w:p w:rsidR="00000000" w:rsidRPr="00B8290E" w:rsidP="00B8290E">
            <w:pPr>
              <w:pStyle w:val="ListBullet2"/>
            </w:pPr>
            <w:r w:rsidRPr="00B8290E">
              <w:t>aircraft</w:t>
            </w:r>
          </w:p>
          <w:p w:rsidR="00000000" w:rsidRPr="00B8290E" w:rsidP="00B8290E">
            <w:pPr>
              <w:pStyle w:val="ListBullet2"/>
            </w:pPr>
            <w:r w:rsidRPr="00B8290E">
              <w:t>airfreight</w:t>
            </w:r>
          </w:p>
          <w:p w:rsidR="00000000" w:rsidRPr="00B8290E" w:rsidP="00B8290E">
            <w:pPr>
              <w:pStyle w:val="ListBullet2"/>
            </w:pPr>
            <w:r w:rsidRPr="00B8290E">
              <w:t>animal products</w:t>
            </w:r>
          </w:p>
          <w:p w:rsidR="00000000" w:rsidRPr="00B8290E" w:rsidP="00B8290E">
            <w:pPr>
              <w:pStyle w:val="ListBullet2"/>
            </w:pPr>
            <w:r w:rsidRPr="00B8290E">
              <w:t>animals</w:t>
            </w:r>
          </w:p>
          <w:p w:rsidR="00000000" w:rsidRPr="00B8290E" w:rsidP="00B8290E">
            <w:pPr>
              <w:pStyle w:val="ListBullet2"/>
            </w:pPr>
            <w:r w:rsidRPr="00B8290E">
              <w:t>cargo</w:t>
            </w:r>
          </w:p>
          <w:p w:rsidR="00000000" w:rsidRPr="00B8290E" w:rsidP="00B8290E">
            <w:pPr>
              <w:pStyle w:val="ListBullet2"/>
            </w:pPr>
            <w:r w:rsidRPr="00B8290E">
              <w:t>cereals</w:t>
            </w:r>
          </w:p>
          <w:p w:rsidR="00000000" w:rsidRPr="00B8290E" w:rsidP="00B8290E">
            <w:pPr>
              <w:pStyle w:val="ListBullet2"/>
            </w:pPr>
            <w:r w:rsidRPr="00B8290E">
              <w:t xml:space="preserve">collection of biological specimens </w:t>
            </w:r>
          </w:p>
          <w:p w:rsidR="00000000" w:rsidRPr="00B8290E" w:rsidP="00B8290E">
            <w:pPr>
              <w:pStyle w:val="ListBullet2"/>
            </w:pPr>
            <w:r w:rsidRPr="00B8290E">
              <w:t>disposal of organic waste</w:t>
            </w:r>
          </w:p>
          <w:p w:rsidR="00000000" w:rsidRPr="00B8290E" w:rsidP="00B8290E">
            <w:pPr>
              <w:pStyle w:val="ListBullet2"/>
            </w:pPr>
            <w:r w:rsidRPr="00B8290E">
              <w:t>fresh produce</w:t>
            </w:r>
          </w:p>
          <w:p w:rsidR="00000000" w:rsidRPr="00B8290E" w:rsidP="00B8290E">
            <w:pPr>
              <w:pStyle w:val="ListBullet2"/>
            </w:pPr>
            <w:r w:rsidRPr="00B8290E">
              <w:t>goods</w:t>
            </w:r>
          </w:p>
          <w:p w:rsidR="00000000" w:rsidRPr="00B8290E" w:rsidP="00B8290E">
            <w:pPr>
              <w:pStyle w:val="ListBullet2"/>
            </w:pPr>
            <w:r w:rsidRPr="00B8290E">
              <w:t>land condition, such as:</w:t>
            </w:r>
          </w:p>
          <w:p w:rsidR="00000000" w:rsidRPr="00B8290E" w:rsidP="00B8290E">
            <w:pPr>
              <w:pStyle w:val="ListBullet2"/>
            </w:pPr>
            <w:r w:rsidRPr="00B8290E">
              <w:t>topography</w:t>
            </w:r>
          </w:p>
          <w:p w:rsidR="00000000" w:rsidRPr="00B8290E" w:rsidP="00B8290E">
            <w:pPr>
              <w:pStyle w:val="ListBullet2"/>
            </w:pPr>
            <w:r w:rsidRPr="00B8290E">
              <w:t>salinity</w:t>
            </w:r>
          </w:p>
          <w:p w:rsidR="00000000" w:rsidRPr="00B8290E" w:rsidP="00B8290E">
            <w:pPr>
              <w:pStyle w:val="ListBullet2"/>
            </w:pPr>
            <w:r w:rsidRPr="00B8290E">
              <w:t>erosion</w:t>
            </w:r>
          </w:p>
          <w:p w:rsidR="00000000" w:rsidRPr="00B8290E" w:rsidP="00B8290E">
            <w:pPr>
              <w:pStyle w:val="ListBullet2"/>
            </w:pPr>
            <w:r w:rsidRPr="00B8290E">
              <w:t>weed infestation</w:t>
            </w:r>
          </w:p>
          <w:p w:rsidR="00000000" w:rsidRPr="00B8290E" w:rsidP="00B8290E">
            <w:pPr>
              <w:pStyle w:val="ListBullet2"/>
            </w:pPr>
            <w:r w:rsidRPr="00B8290E">
              <w:t>vermin infestation</w:t>
            </w:r>
          </w:p>
          <w:p w:rsidR="00000000" w:rsidRPr="00B8290E" w:rsidP="00B8290E">
            <w:pPr>
              <w:pStyle w:val="ListBullet2"/>
            </w:pPr>
            <w:r w:rsidRPr="00B8290E">
              <w:t>fire hazard</w:t>
            </w:r>
          </w:p>
          <w:p w:rsidR="00000000" w:rsidRPr="00B8290E" w:rsidP="00B8290E">
            <w:pPr>
              <w:pStyle w:val="ListBullet2"/>
            </w:pPr>
            <w:r w:rsidRPr="00B8290E">
              <w:t>over grazing</w:t>
            </w:r>
          </w:p>
          <w:p w:rsidR="00000000" w:rsidRPr="00B8290E" w:rsidP="00B8290E">
            <w:pPr>
              <w:pStyle w:val="ListBullet2"/>
            </w:pPr>
            <w:r w:rsidRPr="00B8290E">
              <w:t>land improvements, such as:</w:t>
            </w:r>
          </w:p>
          <w:p w:rsidR="00000000" w:rsidRPr="00B8290E" w:rsidP="00B8290E">
            <w:pPr>
              <w:pStyle w:val="ListBullet2"/>
            </w:pPr>
            <w:r w:rsidRPr="00B8290E">
              <w:t>fences</w:t>
            </w:r>
          </w:p>
          <w:p w:rsidR="00000000" w:rsidRPr="00B8290E" w:rsidP="00B8290E">
            <w:pPr>
              <w:pStyle w:val="ListBullet2"/>
            </w:pPr>
            <w:r w:rsidRPr="00B8290E">
              <w:t>buildings</w:t>
            </w:r>
          </w:p>
          <w:p w:rsidR="00000000" w:rsidRPr="00B8290E" w:rsidP="00B8290E">
            <w:pPr>
              <w:pStyle w:val="ListBullet2"/>
            </w:pPr>
            <w:r w:rsidRPr="00B8290E">
              <w:t>sporting or playground equipment</w:t>
            </w:r>
          </w:p>
          <w:p w:rsidR="00000000" w:rsidRPr="00B8290E" w:rsidP="00B8290E">
            <w:pPr>
              <w:pStyle w:val="ListBullet2"/>
            </w:pPr>
            <w:r w:rsidRPr="00B8290E">
              <w:t>irrigation infrastructure</w:t>
            </w:r>
          </w:p>
          <w:p w:rsidR="00000000" w:rsidRPr="00B8290E" w:rsidP="00B8290E">
            <w:pPr>
              <w:pStyle w:val="ListBullet2"/>
            </w:pPr>
            <w:r w:rsidRPr="00B8290E">
              <w:t>sewerage infrastructure</w:t>
            </w:r>
          </w:p>
          <w:p w:rsidR="00000000" w:rsidRPr="00B8290E" w:rsidP="00B8290E">
            <w:pPr>
              <w:pStyle w:val="ListBullet2"/>
            </w:pPr>
            <w:r w:rsidRPr="00B8290E">
              <w:t>waterfront occupations</w:t>
            </w:r>
          </w:p>
          <w:p w:rsidR="00000000" w:rsidRPr="00B8290E" w:rsidP="00B8290E">
            <w:pPr>
              <w:pStyle w:val="ListBullet2"/>
            </w:pPr>
            <w:r w:rsidRPr="00B8290E">
              <w:t>community structures</w:t>
            </w:r>
          </w:p>
          <w:p w:rsidR="00000000" w:rsidRPr="00B8290E" w:rsidP="00B8290E">
            <w:pPr>
              <w:pStyle w:val="ListBullet2"/>
            </w:pPr>
            <w:r w:rsidRPr="00B8290E">
              <w:t>land usage</w:t>
            </w:r>
          </w:p>
          <w:p w:rsidR="00000000" w:rsidRPr="00B8290E" w:rsidP="00B8290E">
            <w:pPr>
              <w:pStyle w:val="ListBullet2"/>
            </w:pPr>
            <w:r w:rsidRPr="00B8290E">
              <w:t>leases and other tenures, to ensure compliance with conditions</w:t>
            </w:r>
          </w:p>
          <w:p w:rsidR="00000000" w:rsidRPr="00B8290E" w:rsidP="00B8290E">
            <w:pPr>
              <w:pStyle w:val="ListBullet2"/>
            </w:pPr>
            <w:r w:rsidRPr="00B8290E">
              <w:t>licence/permit compliance (e.g. vegetation clearing)</w:t>
            </w:r>
          </w:p>
          <w:p w:rsidR="00000000" w:rsidRPr="00B8290E" w:rsidP="00B8290E">
            <w:pPr>
              <w:pStyle w:val="ListBullet2"/>
            </w:pPr>
            <w:r w:rsidRPr="00B8290E">
              <w:t>live fish</w:t>
            </w:r>
          </w:p>
          <w:p w:rsidR="00000000" w:rsidRPr="00B8290E" w:rsidP="00B8290E">
            <w:pPr>
              <w:pStyle w:val="ListBullet2"/>
            </w:pPr>
            <w:r w:rsidRPr="00B8290E">
              <w:t>livestock</w:t>
            </w:r>
          </w:p>
          <w:p w:rsidR="00000000" w:rsidRPr="00B8290E" w:rsidP="00B8290E">
            <w:pPr>
              <w:pStyle w:val="ListBullet2"/>
            </w:pPr>
            <w:r w:rsidRPr="00B8290E">
              <w:t>mail</w:t>
            </w:r>
          </w:p>
          <w:p w:rsidR="00000000" w:rsidRPr="00B8290E" w:rsidP="00B8290E">
            <w:pPr>
              <w:pStyle w:val="ListBullet2"/>
            </w:pPr>
            <w:r w:rsidRPr="00B8290E">
              <w:t>mineral samples</w:t>
            </w:r>
          </w:p>
          <w:p w:rsidR="00000000" w:rsidRPr="00B8290E" w:rsidP="00B8290E">
            <w:pPr>
              <w:pStyle w:val="ListBullet2"/>
            </w:pPr>
            <w:r w:rsidRPr="00B8290E">
              <w:t>passenger baggage</w:t>
            </w:r>
          </w:p>
          <w:p w:rsidR="00000000" w:rsidRPr="00B8290E" w:rsidP="00B8290E">
            <w:pPr>
              <w:pStyle w:val="ListBullet2"/>
            </w:pPr>
            <w:r w:rsidRPr="00B8290E">
              <w:t>people</w:t>
            </w:r>
          </w:p>
          <w:p w:rsidR="00000000" w:rsidRPr="00B8290E" w:rsidP="00B8290E">
            <w:pPr>
              <w:pStyle w:val="ListBullet2"/>
            </w:pPr>
            <w:r w:rsidRPr="00B8290E">
              <w:t>pests</w:t>
            </w:r>
          </w:p>
          <w:p w:rsidR="00000000" w:rsidRPr="00B8290E" w:rsidP="00B8290E">
            <w:pPr>
              <w:pStyle w:val="ListBullet2"/>
            </w:pPr>
            <w:r w:rsidRPr="00B8290E">
              <w:t>plant product</w:t>
            </w:r>
            <w:r w:rsidRPr="00B8290E">
              <w:t>s</w:t>
            </w:r>
          </w:p>
          <w:p w:rsidR="00000000" w:rsidRPr="00B8290E" w:rsidP="00B8290E">
            <w:pPr>
              <w:pStyle w:val="ListBullet2"/>
            </w:pPr>
            <w:r w:rsidRPr="00B8290E">
              <w:t xml:space="preserve">plants </w:t>
            </w:r>
          </w:p>
          <w:p w:rsidR="00000000" w:rsidRPr="00B8290E" w:rsidP="00B8290E">
            <w:pPr>
              <w:pStyle w:val="ListBullet2"/>
            </w:pPr>
            <w:r w:rsidRPr="00B8290E">
              <w:t>premises</w:t>
            </w:r>
          </w:p>
          <w:p w:rsidR="00000000" w:rsidRPr="00B8290E" w:rsidP="00B8290E">
            <w:pPr>
              <w:pStyle w:val="ListBullet2"/>
            </w:pPr>
            <w:r w:rsidRPr="00B8290E">
              <w:t>properties</w:t>
            </w:r>
          </w:p>
          <w:p w:rsidR="00000000" w:rsidRPr="00B8290E" w:rsidP="00B8290E">
            <w:pPr>
              <w:pStyle w:val="ListBullet2"/>
            </w:pPr>
            <w:r w:rsidRPr="00B8290E">
              <w:t>reserves and their use/s</w:t>
            </w:r>
          </w:p>
          <w:p w:rsidR="00000000" w:rsidRPr="00B8290E" w:rsidP="00B8290E">
            <w:pPr>
              <w:pStyle w:val="ListBullet2"/>
            </w:pPr>
            <w:r w:rsidRPr="00B8290E">
              <w:t>survey activities to maintain readiness for district emergency plans</w:t>
            </w:r>
          </w:p>
          <w:p w:rsidR="00000000" w:rsidRPr="00B8290E" w:rsidP="00B8290E">
            <w:pPr>
              <w:pStyle w:val="ListBullet2"/>
            </w:pPr>
            <w:r w:rsidRPr="00B8290E">
              <w:t>vector monitoring</w:t>
            </w:r>
          </w:p>
          <w:p w:rsidR="00000000" w:rsidP="00B8290E">
            <w:pPr>
              <w:pStyle w:val="ListBullet2"/>
              <w:rPr>
                <w:lang w:val="en-NZ"/>
              </w:rPr>
            </w:pPr>
            <w:r w:rsidRPr="00B8290E">
              <w:t>vessels</w:t>
            </w:r>
          </w:p>
        </w:tc>
      </w:tr>
      <w:tr w:rsidTr="003B06A2">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B8290E">
            <w:pPr>
              <w:pStyle w:val="BodyText"/>
              <w:rPr>
                <w:lang w:val="en-NZ"/>
              </w:rPr>
            </w:pPr>
            <w:r w:rsidRPr="00B8290E">
              <w:rPr>
                <w:rStyle w:val="BoldandItalics"/>
              </w:rPr>
              <w:t>Compliance programs</w:t>
            </w:r>
            <w:r w:rsidRPr="00B8290E">
              <w:t xml:space="preserve"> may include:</w:t>
            </w:r>
          </w:p>
        </w:tc>
        <w:tc>
          <w:tcPr>
            <w:tcW w:w="6662" w:type="dxa"/>
            <w:tcBorders>
              <w:top w:val="nil"/>
              <w:left w:val="nil"/>
              <w:bottom w:val="nil"/>
              <w:right w:val="nil"/>
            </w:tcBorders>
            <w:tcMar>
              <w:top w:w="0" w:type="dxa"/>
              <w:left w:w="62" w:type="dxa"/>
              <w:bottom w:w="0" w:type="dxa"/>
              <w:right w:w="62" w:type="dxa"/>
            </w:tcMar>
          </w:tcPr>
          <w:p w:rsidR="00000000" w:rsidRPr="00B8290E" w:rsidP="00B8290E">
            <w:pPr>
              <w:pStyle w:val="ListBullet2"/>
            </w:pPr>
            <w:r w:rsidRPr="00B8290E">
              <w:t>audit</w:t>
            </w:r>
          </w:p>
          <w:p w:rsidR="00000000" w:rsidRPr="00B8290E" w:rsidP="00B8290E">
            <w:pPr>
              <w:pStyle w:val="ListBullet2"/>
            </w:pPr>
            <w:r w:rsidRPr="00B8290E">
              <w:t xml:space="preserve">monitoring </w:t>
            </w:r>
          </w:p>
          <w:p w:rsidR="00000000" w:rsidRPr="00B8290E" w:rsidP="00B8290E">
            <w:pPr>
              <w:pStyle w:val="ListBullet2"/>
            </w:pPr>
            <w:r w:rsidRPr="00B8290E">
              <w:t xml:space="preserve">treatment </w:t>
            </w:r>
          </w:p>
          <w:p w:rsidR="00000000" w:rsidRPr="00B8290E" w:rsidP="00B8290E">
            <w:pPr>
              <w:pStyle w:val="ListBullet2"/>
            </w:pPr>
            <w:r w:rsidRPr="00B8290E">
              <w:t>containment</w:t>
            </w:r>
          </w:p>
          <w:p w:rsidR="00000000" w:rsidRPr="00B8290E" w:rsidP="00B8290E">
            <w:pPr>
              <w:pStyle w:val="ListBullet2"/>
            </w:pPr>
            <w:r w:rsidRPr="00B8290E">
              <w:t>control</w:t>
            </w:r>
          </w:p>
          <w:p w:rsidR="00000000" w:rsidRPr="00B8290E" w:rsidP="00B8290E">
            <w:pPr>
              <w:pStyle w:val="ListBullet2"/>
            </w:pPr>
            <w:r w:rsidRPr="00B8290E">
              <w:t xml:space="preserve">eradication </w:t>
            </w:r>
          </w:p>
          <w:p w:rsidR="00000000" w:rsidP="00B8290E">
            <w:pPr>
              <w:pStyle w:val="ListBullet2"/>
              <w:rPr>
                <w:lang w:val="en-NZ"/>
              </w:rPr>
            </w:pPr>
            <w:r w:rsidRPr="00B8290E">
              <w:t>destruction</w:t>
            </w:r>
          </w:p>
        </w:tc>
      </w:tr>
      <w:tr w:rsidTr="003B06A2">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B8290E">
            <w:pPr>
              <w:pStyle w:val="BodyText"/>
              <w:rPr>
                <w:lang w:val="en-NZ"/>
              </w:rPr>
            </w:pPr>
            <w:r w:rsidRPr="00B8290E">
              <w:rPr>
                <w:rStyle w:val="BoldandItalics"/>
              </w:rPr>
              <w:t xml:space="preserve">Records </w:t>
            </w:r>
            <w:r w:rsidRPr="00B8290E">
              <w:t>may include:</w:t>
            </w:r>
          </w:p>
        </w:tc>
        <w:tc>
          <w:tcPr>
            <w:tcW w:w="6662" w:type="dxa"/>
            <w:tcBorders>
              <w:top w:val="nil"/>
              <w:left w:val="nil"/>
              <w:bottom w:val="nil"/>
              <w:right w:val="nil"/>
            </w:tcBorders>
            <w:tcMar>
              <w:top w:w="0" w:type="dxa"/>
              <w:left w:w="62" w:type="dxa"/>
              <w:bottom w:w="0" w:type="dxa"/>
              <w:right w:w="62" w:type="dxa"/>
            </w:tcMar>
          </w:tcPr>
          <w:p w:rsidR="00000000" w:rsidRPr="00B8290E" w:rsidP="00B8290E">
            <w:pPr>
              <w:pStyle w:val="ListBullet2"/>
            </w:pPr>
            <w:r w:rsidRPr="00B8290E">
              <w:t>notes</w:t>
            </w:r>
          </w:p>
          <w:p w:rsidR="00000000" w:rsidRPr="00B8290E" w:rsidP="00B8290E">
            <w:pPr>
              <w:pStyle w:val="ListBullet2"/>
            </w:pPr>
            <w:r w:rsidRPr="00B8290E">
              <w:t xml:space="preserve">case files </w:t>
            </w:r>
          </w:p>
          <w:p w:rsidR="00000000" w:rsidRPr="00B8290E" w:rsidP="00B8290E">
            <w:pPr>
              <w:pStyle w:val="ListBullet2"/>
            </w:pPr>
            <w:r w:rsidRPr="00B8290E">
              <w:t>statistics</w:t>
            </w:r>
          </w:p>
          <w:p w:rsidR="00000000" w:rsidRPr="00B8290E" w:rsidP="00B8290E">
            <w:pPr>
              <w:pStyle w:val="ListBullet2"/>
            </w:pPr>
            <w:r w:rsidRPr="00B8290E">
              <w:t>forms (application forms, disease notification forms)</w:t>
            </w:r>
          </w:p>
          <w:p w:rsidR="00000000" w:rsidRPr="00B8290E" w:rsidP="00B8290E">
            <w:pPr>
              <w:pStyle w:val="ListBullet2"/>
            </w:pPr>
            <w:r w:rsidRPr="00B8290E">
              <w:t>notices (seizure notice, infringement notice)</w:t>
            </w:r>
          </w:p>
          <w:p w:rsidR="00000000" w:rsidRPr="00B8290E" w:rsidP="00B8290E">
            <w:pPr>
              <w:pStyle w:val="ListBullet2"/>
            </w:pPr>
            <w:r w:rsidRPr="00B8290E">
              <w:t>invoices</w:t>
            </w:r>
          </w:p>
          <w:p w:rsidR="00000000" w:rsidP="00B8290E">
            <w:pPr>
              <w:pStyle w:val="ListBullet2"/>
              <w:rPr>
                <w:lang w:val="en-NZ"/>
              </w:rPr>
            </w:pPr>
            <w:r w:rsidRPr="00B8290E">
              <w:t>receipts</w:t>
            </w:r>
          </w:p>
        </w:tc>
      </w:tr>
      <w:tr w:rsidTr="003B06A2">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B8290E">
            <w:pPr>
              <w:pStyle w:val="BodyText"/>
              <w:rPr>
                <w:lang w:val="en-NZ"/>
              </w:rPr>
            </w:pPr>
            <w:r w:rsidRPr="00B8290E">
              <w:rPr>
                <w:rStyle w:val="BoldandItalics"/>
              </w:rPr>
              <w:t>High-level correspondence and advice</w:t>
            </w:r>
            <w:r w:rsidRPr="00B8290E">
              <w:t xml:space="preserve"> may include:</w:t>
            </w:r>
          </w:p>
        </w:tc>
        <w:tc>
          <w:tcPr>
            <w:tcW w:w="6662" w:type="dxa"/>
            <w:tcBorders>
              <w:top w:val="nil"/>
              <w:left w:val="nil"/>
              <w:bottom w:val="nil"/>
              <w:right w:val="nil"/>
            </w:tcBorders>
            <w:tcMar>
              <w:top w:w="0" w:type="dxa"/>
              <w:left w:w="62" w:type="dxa"/>
              <w:bottom w:w="0" w:type="dxa"/>
              <w:right w:w="62" w:type="dxa"/>
            </w:tcMar>
          </w:tcPr>
          <w:p w:rsidR="00000000" w:rsidRPr="00B8290E" w:rsidP="00B8290E">
            <w:pPr>
              <w:pStyle w:val="ListBullet2"/>
            </w:pPr>
            <w:r w:rsidRPr="00B8290E">
              <w:t>input to policy reviews</w:t>
            </w:r>
          </w:p>
          <w:p w:rsidR="00000000" w:rsidRPr="00B8290E" w:rsidP="00B8290E">
            <w:pPr>
              <w:pStyle w:val="ListBullet2"/>
            </w:pPr>
            <w:r w:rsidRPr="00B8290E">
              <w:t>input to legislation/regulations</w:t>
            </w:r>
          </w:p>
          <w:p w:rsidR="00000000" w:rsidRPr="00B8290E" w:rsidP="00B8290E">
            <w:pPr>
              <w:pStyle w:val="ListBullet2"/>
            </w:pPr>
            <w:r w:rsidRPr="00B8290E">
              <w:t>support to senior management</w:t>
            </w:r>
          </w:p>
          <w:p w:rsidR="00000000" w:rsidRPr="00B8290E" w:rsidP="00B8290E">
            <w:pPr>
              <w:pStyle w:val="ListBullet2"/>
            </w:pPr>
            <w:r w:rsidRPr="00B8290E">
              <w:t>Ministerials</w:t>
            </w:r>
          </w:p>
        </w:tc>
      </w:tr>
    </w:tbl>
    <w:p w:rsidR="003B06A2" w:rsidP="00B8290E">
      <w:pPr>
        <w:pStyle w:val="BodyText"/>
      </w:pPr>
    </w:p>
    <w:p w:rsidR="003B06A2" w:rsidP="00B8290E">
      <w:pPr>
        <w:pStyle w:val="BodyText"/>
      </w:pPr>
    </w:p>
    <w:p w:rsidR="00000000" w:rsidRPr="00B8290E" w:rsidP="00B8290E">
      <w:pPr>
        <w:pStyle w:val="Heading1"/>
      </w:pPr>
      <w:bookmarkStart w:id="12" w:name="O_499033"/>
      <w:bookmarkEnd w:id="12"/>
      <w:r w:rsidRPr="00B8290E">
        <w:t>Unit Sector(s)</w:t>
      </w:r>
    </w:p>
    <w:p w:rsidR="00000000" w:rsidRPr="00B8290E" w:rsidP="00B8290E">
      <w:pPr>
        <w:pStyle w:val="BodyText"/>
      </w:pPr>
      <w:r w:rsidRPr="00B8290E">
        <w:t>Not applicable.</w:t>
      </w:r>
    </w:p>
    <w:p w:rsidR="00000000" w:rsidRPr="00B8290E" w:rsidP="00B8290E">
      <w:pPr>
        <w:pStyle w:val="AllowPageBreak"/>
      </w:pPr>
    </w:p>
    <w:p w:rsidR="00000000" w:rsidRPr="00B8290E" w:rsidP="00B8290E">
      <w:pPr>
        <w:pStyle w:val="Heading1"/>
      </w:pPr>
      <w:bookmarkStart w:id="13" w:name="O_499044"/>
      <w:bookmarkEnd w:id="13"/>
      <w:r w:rsidRPr="00B8290E">
        <w:t>Competency field</w:t>
      </w:r>
    </w:p>
    <w:p w:rsidR="00000000" w:rsidRPr="00B8290E" w:rsidP="00B8290E">
      <w:pPr>
        <w:pStyle w:val="BodyText"/>
      </w:pPr>
      <w:r w:rsidRPr="00B8290E">
        <w:t>Regulatory.</w:t>
      </w:r>
    </w:p>
    <w:p w:rsidR="00000000" w:rsidRPr="00B8290E" w:rsidP="00B8290E"/>
    <w:sectPr w:rsidSect="00B8290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290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B06A2" w:rsidP="003B06A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290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06A2" w:rsidP="00B8290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6</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3B06A2" w:rsidP="00B8290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3B06A2" w:rsidP="00B8290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290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290E" w:rsidRPr="003B06A2" w:rsidP="003B06A2">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290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06A2" w:rsidRPr="002D2AF8" w:rsidP="00B8290E">
    <w:pPr>
      <w:pStyle w:val="Header"/>
      <w:framePr w:wrap="around"/>
    </w:pPr>
    <w:r>
      <w:fldChar w:fldCharType="begin"/>
    </w:r>
    <w:r>
      <w:instrText xml:space="preserve"> TITLE   \* MERGEFORMAT </w:instrText>
    </w:r>
    <w:r>
      <w:fldChar w:fldCharType="separate"/>
    </w:r>
    <w:r>
      <w:t>PSPREG603A Manage and lead inspection and monitoring programs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2/11/2012</w:t>
    </w:r>
    <w:r>
      <w:fldChar w:fldCharType="end"/>
    </w:r>
  </w:p>
  <w:p w:rsidR="003B06A2" w:rsidP="00B8290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B30DA8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FE"/>
    <w:multiLevelType w:val="singleLevel"/>
    <w:tmpl w:val="105CF73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5"/>
  </w:num>
  <w:num w:numId="3">
    <w:abstractNumId w:val="4"/>
  </w:num>
  <w:num w:numId="4">
    <w:abstractNumId w:val="3"/>
  </w:num>
  <w:num w:numId="5">
    <w:abstractNumId w:val="2"/>
  </w:num>
  <w:num w:numId="6">
    <w:abstractNumId w:val="1"/>
  </w:num>
  <w:num w:numId="7">
    <w:abstractNumId w:val="0"/>
  </w:num>
  <w:num w:numId="8">
    <w:abstractNumId w:val="13"/>
  </w:num>
  <w:num w:numId="9">
    <w:abstractNumId w:val="10"/>
  </w:num>
  <w:num w:numId="10">
    <w:abstractNumId w:val="14"/>
  </w:num>
  <w:num w:numId="11">
    <w:abstractNumId w:val="12"/>
  </w:num>
  <w:num w:numId="12">
    <w:abstractNumId w:val="8"/>
  </w:num>
  <w:num w:numId="13">
    <w:abstractNumId w:val="11"/>
  </w:num>
  <w:num w:numId="14">
    <w:abstractNumId w:val="9"/>
  </w:num>
  <w:num w:numId="15">
    <w:abstractNumId w:val="5"/>
  </w:num>
  <w:num w:numId="16">
    <w:abstractNumId w:val="7"/>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8290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8290E"/>
    <w:pPr>
      <w:spacing w:before="360" w:after="60"/>
      <w:outlineLvl w:val="0"/>
    </w:pPr>
    <w:rPr>
      <w:sz w:val="32"/>
    </w:rPr>
  </w:style>
  <w:style w:type="paragraph" w:styleId="Heading2">
    <w:name w:val="heading 2"/>
    <w:basedOn w:val="HeadingBase"/>
    <w:next w:val="BodyText"/>
    <w:link w:val="Heading2Char"/>
    <w:qFormat/>
    <w:rsid w:val="00B8290E"/>
    <w:pPr>
      <w:keepLines/>
      <w:spacing w:before="240" w:after="120"/>
      <w:outlineLvl w:val="1"/>
    </w:pPr>
    <w:rPr>
      <w:sz w:val="28"/>
      <w:szCs w:val="40"/>
    </w:rPr>
  </w:style>
  <w:style w:type="paragraph" w:styleId="Heading3">
    <w:name w:val="heading 3"/>
    <w:basedOn w:val="HeadingBase"/>
    <w:next w:val="BodyText"/>
    <w:link w:val="Heading3Char"/>
    <w:qFormat/>
    <w:rsid w:val="00B8290E"/>
    <w:pPr>
      <w:spacing w:before="180" w:after="120"/>
      <w:outlineLvl w:val="2"/>
    </w:pPr>
    <w:rPr>
      <w:spacing w:val="-10"/>
      <w:kern w:val="32"/>
    </w:rPr>
  </w:style>
  <w:style w:type="paragraph" w:styleId="Heading4">
    <w:name w:val="heading 4"/>
    <w:basedOn w:val="HeadingBase"/>
    <w:next w:val="BodyText"/>
    <w:link w:val="Heading4Char"/>
    <w:qFormat/>
    <w:rsid w:val="00B8290E"/>
    <w:pPr>
      <w:spacing w:before="160" w:after="120"/>
      <w:outlineLvl w:val="3"/>
    </w:pPr>
    <w:rPr>
      <w:sz w:val="22"/>
    </w:rPr>
  </w:style>
  <w:style w:type="paragraph" w:styleId="Heading5">
    <w:name w:val="heading 5"/>
    <w:basedOn w:val="HeadingBase"/>
    <w:next w:val="Normal"/>
    <w:link w:val="Heading5Char"/>
    <w:qFormat/>
    <w:rsid w:val="00B8290E"/>
    <w:pPr>
      <w:spacing w:before="80"/>
      <w:outlineLvl w:val="4"/>
    </w:pPr>
    <w:rPr>
      <w:color w:val="918585"/>
      <w:sz w:val="20"/>
    </w:rPr>
  </w:style>
  <w:style w:type="paragraph" w:styleId="Heading6">
    <w:name w:val="heading 6"/>
    <w:basedOn w:val="HeadingBase"/>
    <w:next w:val="Normal"/>
    <w:link w:val="Heading6Char"/>
    <w:qFormat/>
    <w:rsid w:val="00B8290E"/>
    <w:pPr>
      <w:spacing w:before="60"/>
      <w:outlineLvl w:val="5"/>
    </w:pPr>
    <w:rPr>
      <w:color w:val="918585"/>
      <w:sz w:val="20"/>
    </w:rPr>
  </w:style>
  <w:style w:type="paragraph" w:styleId="Heading7">
    <w:name w:val="heading 7"/>
    <w:basedOn w:val="Normal"/>
    <w:next w:val="Normal"/>
    <w:link w:val="Heading7Char"/>
    <w:qFormat/>
    <w:rsid w:val="00B8290E"/>
    <w:pPr>
      <w:ind w:left="720"/>
      <w:outlineLvl w:val="6"/>
    </w:pPr>
    <w:rPr>
      <w:i/>
    </w:rPr>
  </w:style>
  <w:style w:type="paragraph" w:styleId="Heading8">
    <w:name w:val="heading 8"/>
    <w:basedOn w:val="Normal"/>
    <w:next w:val="Normal"/>
    <w:link w:val="Heading8Char"/>
    <w:qFormat/>
    <w:rsid w:val="00B8290E"/>
    <w:pPr>
      <w:ind w:left="720"/>
      <w:outlineLvl w:val="7"/>
    </w:pPr>
    <w:rPr>
      <w:i/>
    </w:rPr>
  </w:style>
  <w:style w:type="paragraph" w:styleId="Heading9">
    <w:name w:val="heading 9"/>
    <w:basedOn w:val="Normal"/>
    <w:next w:val="Normal"/>
    <w:link w:val="Heading9Char"/>
    <w:qFormat/>
    <w:rsid w:val="00B8290E"/>
    <w:pPr>
      <w:ind w:left="720"/>
      <w:outlineLvl w:val="8"/>
    </w:pPr>
    <w:rPr>
      <w:i/>
    </w:rPr>
  </w:style>
  <w:style w:type="character" w:default="1" w:styleId="DefaultParagraphFont">
    <w:name w:val="Default Paragraph Font"/>
    <w:uiPriority w:val="1"/>
    <w:unhideWhenUsed/>
    <w:rsid w:val="00B8290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8290E"/>
  </w:style>
  <w:style w:type="character" w:customStyle="1" w:styleId="Heading1Char">
    <w:name w:val="Heading 1 Char"/>
    <w:basedOn w:val="DefaultParagraphFont"/>
    <w:link w:val="Heading1"/>
    <w:rsid w:val="00B8290E"/>
    <w:rPr>
      <w:rFonts w:ascii="Times New Roman" w:eastAsia="Times New Roman" w:hAnsi="Times New Roman" w:cs="Times New Roman"/>
      <w:b/>
      <w:sz w:val="32"/>
      <w:szCs w:val="20"/>
      <w:lang w:eastAsia="en-US"/>
    </w:rPr>
  </w:style>
  <w:style w:type="paragraph" w:styleId="BodyText">
    <w:name w:val="Body Text"/>
    <w:basedOn w:val="Normal"/>
    <w:link w:val="BodyTextChar"/>
    <w:rsid w:val="00B8290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8290E"/>
    <w:rPr>
      <w:rFonts w:ascii="Times New Roman" w:eastAsia="Times New Roman" w:hAnsi="Times New Roman" w:cs="Times New Roman"/>
      <w:sz w:val="24"/>
      <w:lang w:eastAsia="en-US"/>
    </w:rPr>
  </w:style>
  <w:style w:type="paragraph" w:styleId="Footer">
    <w:name w:val="footer"/>
    <w:basedOn w:val="Normal"/>
    <w:link w:val="FooterChar"/>
    <w:rsid w:val="00B8290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8290E"/>
    <w:rPr>
      <w:rFonts w:ascii="Times New Roman" w:eastAsia="Times New Roman" w:hAnsi="Times New Roman" w:cs="Times New Roman"/>
      <w:sz w:val="16"/>
      <w:lang w:eastAsia="en-US"/>
    </w:rPr>
  </w:style>
  <w:style w:type="paragraph" w:styleId="List">
    <w:name w:val="List"/>
    <w:basedOn w:val="BodyText"/>
    <w:next w:val="BodyText"/>
    <w:rsid w:val="00B8290E"/>
    <w:pPr>
      <w:tabs>
        <w:tab w:val="left" w:pos="340"/>
      </w:tabs>
      <w:spacing w:before="60" w:after="60"/>
      <w:ind w:left="340" w:hanging="340"/>
    </w:pPr>
  </w:style>
  <w:style w:type="character" w:customStyle="1" w:styleId="SpecialBold">
    <w:name w:val="Special Bold"/>
    <w:basedOn w:val="DefaultParagraphFont"/>
    <w:rsid w:val="00B8290E"/>
    <w:rPr>
      <w:b/>
      <w:spacing w:val="0"/>
    </w:rPr>
  </w:style>
  <w:style w:type="paragraph" w:styleId="ListBullet2">
    <w:name w:val="List Bullet 2"/>
    <w:basedOn w:val="List2"/>
    <w:rsid w:val="00B8290E"/>
    <w:pPr>
      <w:numPr>
        <w:numId w:val="14"/>
      </w:numPr>
      <w:tabs>
        <w:tab w:val="clear" w:pos="680"/>
      </w:tabs>
    </w:pPr>
  </w:style>
  <w:style w:type="character" w:styleId="Emphasis">
    <w:name w:val="Emphasis"/>
    <w:basedOn w:val="DefaultParagraphFont"/>
    <w:qFormat/>
    <w:rsid w:val="00B8290E"/>
    <w:rPr>
      <w:i/>
    </w:rPr>
  </w:style>
  <w:style w:type="paragraph" w:customStyle="1" w:styleId="SuperHeading">
    <w:name w:val="SuperHeading"/>
    <w:basedOn w:val="Normal"/>
    <w:rsid w:val="00B8290E"/>
    <w:pPr>
      <w:spacing w:before="240" w:after="120"/>
      <w:outlineLvl w:val="0"/>
    </w:pPr>
    <w:rPr>
      <w:rFonts w:ascii="Times New Roman" w:hAnsi="Times New Roman"/>
      <w:b/>
      <w:sz w:val="28"/>
    </w:rPr>
  </w:style>
  <w:style w:type="paragraph" w:customStyle="1" w:styleId="AllowPageBreak">
    <w:name w:val="AllowPageBreak"/>
    <w:rsid w:val="00B8290E"/>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B8290E"/>
    <w:pPr>
      <w:numPr>
        <w:numId w:val="2"/>
      </w:numPr>
      <w:tabs>
        <w:tab w:val="clear" w:pos="1021"/>
      </w:tabs>
      <w:ind w:left="1037" w:hanging="357"/>
    </w:pPr>
  </w:style>
  <w:style w:type="character" w:customStyle="1" w:styleId="Underline">
    <w:name w:val="Underline"/>
    <w:basedOn w:val="DefaultParagraphFont"/>
    <w:qFormat/>
    <w:rsid w:val="00B8290E"/>
    <w:rPr>
      <w:u w:val="single"/>
    </w:rPr>
  </w:style>
  <w:style w:type="character" w:customStyle="1" w:styleId="BoldandItalics">
    <w:name w:val="Bold and Italics"/>
    <w:qFormat/>
    <w:rsid w:val="00B8290E"/>
    <w:rPr>
      <w:b/>
      <w:i/>
      <w:u w:val="none"/>
    </w:rPr>
  </w:style>
  <w:style w:type="character" w:customStyle="1" w:styleId="Heading2Char">
    <w:name w:val="Heading 2 Char"/>
    <w:basedOn w:val="DefaultParagraphFont"/>
    <w:link w:val="Heading2"/>
    <w:rsid w:val="00B8290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8290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8290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8290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8290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8290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8290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8290E"/>
    <w:rPr>
      <w:rFonts w:ascii="Courier New" w:eastAsia="Times New Roman" w:hAnsi="Courier New" w:cs="Times New Roman"/>
      <w:i/>
      <w:szCs w:val="20"/>
      <w:lang w:eastAsia="en-US"/>
    </w:rPr>
  </w:style>
  <w:style w:type="paragraph" w:customStyle="1" w:styleId="HeadingBase">
    <w:name w:val="Heading Base"/>
    <w:rsid w:val="00B8290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8290E"/>
    <w:pPr>
      <w:tabs>
        <w:tab w:val="right" w:leader="dot" w:pos="9072"/>
      </w:tabs>
      <w:ind w:left="567"/>
    </w:pPr>
    <w:rPr>
      <w:szCs w:val="22"/>
    </w:rPr>
  </w:style>
  <w:style w:type="paragraph" w:customStyle="1" w:styleId="TOCBase">
    <w:name w:val="TOC Base"/>
    <w:rsid w:val="00B8290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8290E"/>
    <w:pPr>
      <w:tabs>
        <w:tab w:val="right" w:leader="dot" w:pos="9072"/>
      </w:tabs>
      <w:spacing w:before="40" w:after="40"/>
      <w:ind w:left="284"/>
    </w:pPr>
    <w:rPr>
      <w:rFonts w:ascii="Times New Roman" w:hAnsi="Times New Roman"/>
    </w:rPr>
  </w:style>
  <w:style w:type="paragraph" w:styleId="TOC1">
    <w:name w:val="toc 1"/>
    <w:basedOn w:val="TOCBase"/>
    <w:next w:val="Normal"/>
    <w:rsid w:val="00B8290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8290E"/>
    <w:pPr>
      <w:spacing w:before="5040"/>
      <w:jc w:val="center"/>
    </w:pPr>
    <w:rPr>
      <w:sz w:val="48"/>
      <w:szCs w:val="72"/>
      <w:lang w:val="en-US"/>
    </w:rPr>
  </w:style>
  <w:style w:type="character" w:customStyle="1" w:styleId="TitleChar">
    <w:name w:val="Title Char"/>
    <w:basedOn w:val="DefaultParagraphFont"/>
    <w:link w:val="Title"/>
    <w:rsid w:val="00B8290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8290E"/>
    <w:pPr>
      <w:tabs>
        <w:tab w:val="left" w:pos="3600"/>
        <w:tab w:val="left" w:pos="3958"/>
      </w:tabs>
    </w:pPr>
  </w:style>
  <w:style w:type="paragraph" w:styleId="ListBullet">
    <w:name w:val="List Bullet"/>
    <w:basedOn w:val="List"/>
    <w:rsid w:val="00B8290E"/>
    <w:pPr>
      <w:numPr>
        <w:numId w:val="13"/>
      </w:numPr>
      <w:tabs>
        <w:tab w:val="clear" w:pos="340"/>
      </w:tabs>
      <w:spacing w:before="40" w:after="40"/>
    </w:pPr>
  </w:style>
  <w:style w:type="paragraph" w:customStyle="1" w:styleId="Note">
    <w:name w:val="Note"/>
    <w:basedOn w:val="BodyText"/>
    <w:rsid w:val="00B8290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8290E"/>
    <w:pPr>
      <w:framePr w:wrap="auto" w:hAnchor="text" w:y="6049"/>
    </w:pPr>
    <w:rPr>
      <w:color w:val="000000"/>
      <w:sz w:val="40"/>
    </w:rPr>
  </w:style>
  <w:style w:type="paragraph" w:customStyle="1" w:styleId="TOCTitle">
    <w:name w:val="TOCTitle"/>
    <w:basedOn w:val="Heading1"/>
    <w:rsid w:val="00B8290E"/>
    <w:pPr>
      <w:spacing w:after="240"/>
      <w:jc w:val="center"/>
      <w:outlineLvl w:val="9"/>
    </w:pPr>
    <w:rPr>
      <w:caps/>
    </w:rPr>
  </w:style>
  <w:style w:type="paragraph" w:customStyle="1" w:styleId="Version">
    <w:name w:val="Version"/>
    <w:rsid w:val="00B8290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8290E"/>
    <w:pPr>
      <w:keepNext w:val="0"/>
      <w:tabs>
        <w:tab w:val="right" w:pos="4176"/>
      </w:tabs>
      <w:ind w:left="198" w:hanging="198"/>
    </w:pPr>
    <w:rPr>
      <w:rFonts w:ascii="Garamond" w:hAnsi="Garamond"/>
    </w:rPr>
  </w:style>
  <w:style w:type="paragraph" w:styleId="IndexHeading">
    <w:name w:val="index heading"/>
    <w:basedOn w:val="Normal"/>
    <w:next w:val="Index1"/>
    <w:semiHidden/>
    <w:rsid w:val="00B8290E"/>
    <w:pPr>
      <w:spacing w:before="120" w:after="120"/>
    </w:pPr>
    <w:rPr>
      <w:rFonts w:ascii="Arial" w:hAnsi="Arial"/>
      <w:b/>
      <w:color w:val="918585"/>
      <w:sz w:val="24"/>
    </w:rPr>
  </w:style>
  <w:style w:type="paragraph" w:styleId="Header">
    <w:name w:val="header"/>
    <w:basedOn w:val="Normal"/>
    <w:link w:val="HeaderChar"/>
    <w:rsid w:val="00B8290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8290E"/>
    <w:rPr>
      <w:rFonts w:ascii="Times New Roman" w:eastAsia="Times New Roman" w:hAnsi="Times New Roman" w:cs="Times New Roman"/>
      <w:sz w:val="16"/>
      <w:szCs w:val="20"/>
      <w:lang w:val="en-GB" w:eastAsia="en-US"/>
    </w:rPr>
  </w:style>
  <w:style w:type="paragraph" w:customStyle="1" w:styleId="Chapter">
    <w:name w:val="Chapter"/>
    <w:basedOn w:val="Normal"/>
    <w:rsid w:val="00B8290E"/>
    <w:pPr>
      <w:spacing w:before="240"/>
    </w:pPr>
    <w:rPr>
      <w:rFonts w:ascii="Times New Roman" w:hAnsi="Times New Roman"/>
      <w:smallCaps/>
      <w:spacing w:val="80"/>
      <w:sz w:val="28"/>
    </w:rPr>
  </w:style>
  <w:style w:type="paragraph" w:customStyle="1" w:styleId="InChapter">
    <w:name w:val="InChapter"/>
    <w:basedOn w:val="Heading3"/>
    <w:rsid w:val="00B8290E"/>
    <w:pPr>
      <w:spacing w:after="240"/>
      <w:outlineLvl w:val="9"/>
    </w:pPr>
    <w:rPr>
      <w:noProof/>
    </w:rPr>
  </w:style>
  <w:style w:type="paragraph" w:styleId="Index2">
    <w:name w:val="index 2"/>
    <w:basedOn w:val="Normal"/>
    <w:next w:val="Normal"/>
    <w:semiHidden/>
    <w:rsid w:val="00B8290E"/>
    <w:pPr>
      <w:tabs>
        <w:tab w:val="right" w:pos="4176"/>
      </w:tabs>
      <w:ind w:left="568" w:hanging="284"/>
    </w:pPr>
    <w:rPr>
      <w:rFonts w:ascii="Garamond" w:hAnsi="Garamond"/>
    </w:rPr>
  </w:style>
  <w:style w:type="paragraph" w:customStyle="1" w:styleId="Byline">
    <w:name w:val="Byline"/>
    <w:rsid w:val="00B8290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8290E"/>
    <w:pPr>
      <w:tabs>
        <w:tab w:val="clear" w:pos="3600"/>
        <w:tab w:val="clear" w:pos="3958"/>
      </w:tabs>
      <w:jc w:val="right"/>
    </w:pPr>
  </w:style>
  <w:style w:type="paragraph" w:styleId="Caption">
    <w:name w:val="caption"/>
    <w:basedOn w:val="BodyText"/>
    <w:next w:val="Normal"/>
    <w:qFormat/>
    <w:rsid w:val="00B8290E"/>
    <w:pPr>
      <w:framePr w:w="2268" w:hSpace="181" w:vSpace="181" w:wrap="around" w:vAnchor="text" w:hAnchor="page" w:x="1135" w:y="285" w:anchorLock="1"/>
    </w:pPr>
    <w:rPr>
      <w:i/>
    </w:rPr>
  </w:style>
  <w:style w:type="paragraph" w:customStyle="1" w:styleId="MiniTOCTitle">
    <w:name w:val="MiniTOCTitle"/>
    <w:basedOn w:val="Heading4"/>
    <w:rsid w:val="00B8290E"/>
    <w:pPr>
      <w:spacing w:before="240"/>
      <w:outlineLvl w:val="9"/>
    </w:pPr>
    <w:rPr>
      <w:noProof/>
      <w:sz w:val="24"/>
    </w:rPr>
  </w:style>
  <w:style w:type="paragraph" w:customStyle="1" w:styleId="MiniTOCItem">
    <w:name w:val="MiniTOCItem"/>
    <w:basedOn w:val="ListBullet"/>
    <w:rsid w:val="00B8290E"/>
    <w:pPr>
      <w:numPr>
        <w:numId w:val="0"/>
      </w:numPr>
      <w:tabs>
        <w:tab w:val="right" w:leader="dot" w:pos="6521"/>
      </w:tabs>
      <w:spacing w:before="0" w:after="0"/>
    </w:pPr>
  </w:style>
  <w:style w:type="paragraph" w:customStyle="1" w:styleId="TOFTitle">
    <w:name w:val="TOFTitle"/>
    <w:basedOn w:val="TOCTitle"/>
    <w:rsid w:val="00B8290E"/>
  </w:style>
  <w:style w:type="paragraph" w:styleId="TableofFigures">
    <w:name w:val="table of figures"/>
    <w:basedOn w:val="Normal"/>
    <w:next w:val="Normal"/>
    <w:semiHidden/>
    <w:rsid w:val="00B8290E"/>
    <w:pPr>
      <w:tabs>
        <w:tab w:val="right" w:leader="dot" w:pos="9072"/>
      </w:tabs>
      <w:ind w:left="970" w:hanging="403"/>
    </w:pPr>
    <w:rPr>
      <w:rFonts w:ascii="Times New Roman" w:hAnsi="Times New Roman"/>
      <w:b/>
    </w:rPr>
  </w:style>
  <w:style w:type="paragraph" w:styleId="ListNumber">
    <w:name w:val="List Number"/>
    <w:basedOn w:val="List"/>
    <w:rsid w:val="00B8290E"/>
    <w:pPr>
      <w:numPr>
        <w:numId w:val="11"/>
      </w:numPr>
    </w:pPr>
  </w:style>
  <w:style w:type="character" w:customStyle="1" w:styleId="WingdingSymbols">
    <w:name w:val="Wingding Symbols"/>
    <w:rsid w:val="00B8290E"/>
    <w:rPr>
      <w:rFonts w:ascii="Wingdings" w:hAnsi="Wingdings"/>
    </w:rPr>
  </w:style>
  <w:style w:type="paragraph" w:customStyle="1" w:styleId="TableHeading">
    <w:name w:val="Table Heading"/>
    <w:basedOn w:val="HeadingBase"/>
    <w:rsid w:val="00B8290E"/>
    <w:pPr>
      <w:keepLines/>
      <w:pBdr>
        <w:bottom w:val="single" w:sz="6" w:space="1" w:color="918585"/>
      </w:pBdr>
      <w:spacing w:before="240"/>
    </w:pPr>
  </w:style>
  <w:style w:type="character" w:customStyle="1" w:styleId="HotSpot">
    <w:name w:val="HotSpot"/>
    <w:rsid w:val="00B8290E"/>
    <w:rPr>
      <w:color w:val="0033CC"/>
      <w:u w:val="none"/>
    </w:rPr>
  </w:style>
  <w:style w:type="paragraph" w:customStyle="1" w:styleId="BodyTextRight">
    <w:name w:val="Body Text Right"/>
    <w:basedOn w:val="BodyText"/>
    <w:rsid w:val="00B8290E"/>
    <w:pPr>
      <w:spacing w:before="0" w:after="0"/>
      <w:jc w:val="right"/>
    </w:pPr>
  </w:style>
  <w:style w:type="paragraph" w:styleId="Index3">
    <w:name w:val="index 3"/>
    <w:basedOn w:val="ListNumber2"/>
    <w:next w:val="Normal"/>
    <w:semiHidden/>
    <w:rsid w:val="00B8290E"/>
    <w:pPr>
      <w:numPr>
        <w:numId w:val="0"/>
      </w:numPr>
      <w:tabs>
        <w:tab w:val="right" w:leader="dot" w:pos="4176"/>
      </w:tabs>
    </w:pPr>
  </w:style>
  <w:style w:type="paragraph" w:styleId="ListNumber2">
    <w:name w:val="List Number 2"/>
    <w:basedOn w:val="List2"/>
    <w:rsid w:val="00B8290E"/>
    <w:pPr>
      <w:numPr>
        <w:numId w:val="10"/>
      </w:numPr>
      <w:tabs>
        <w:tab w:val="clear" w:pos="1060"/>
      </w:tabs>
    </w:pPr>
  </w:style>
  <w:style w:type="paragraph" w:customStyle="1" w:styleId="MarginNote">
    <w:name w:val="Margin Note"/>
    <w:basedOn w:val="BodyText"/>
    <w:rsid w:val="00B8290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8290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8290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8290E"/>
    <w:rPr>
      <w:sz w:val="32"/>
    </w:rPr>
  </w:style>
  <w:style w:type="paragraph" w:customStyle="1" w:styleId="HeadingProcedure">
    <w:name w:val="Heading Procedure"/>
    <w:basedOn w:val="HeadingBase"/>
    <w:next w:val="Normal"/>
    <w:rsid w:val="00B8290E"/>
    <w:pPr>
      <w:tabs>
        <w:tab w:val="left" w:pos="0"/>
      </w:tabs>
      <w:spacing w:before="120" w:after="60"/>
    </w:pPr>
    <w:rPr>
      <w:i/>
      <w:color w:val="918585"/>
      <w:sz w:val="22"/>
    </w:rPr>
  </w:style>
  <w:style w:type="paragraph" w:customStyle="1" w:styleId="TableBodyText">
    <w:name w:val="Table Body Text"/>
    <w:basedOn w:val="BodyText"/>
    <w:rsid w:val="00B8290E"/>
    <w:pPr>
      <w:spacing w:before="60" w:after="60"/>
    </w:pPr>
  </w:style>
  <w:style w:type="paragraph" w:styleId="ListContinue">
    <w:name w:val="List Continue"/>
    <w:basedOn w:val="List"/>
    <w:rsid w:val="00B8290E"/>
    <w:pPr>
      <w:ind w:firstLine="0"/>
    </w:pPr>
  </w:style>
  <w:style w:type="paragraph" w:customStyle="1" w:styleId="ListNote">
    <w:name w:val="List Note"/>
    <w:basedOn w:val="List"/>
    <w:rsid w:val="00B8290E"/>
    <w:pPr>
      <w:pBdr>
        <w:top w:val="single" w:sz="6" w:space="2" w:color="918585"/>
        <w:bottom w:val="single" w:sz="6" w:space="2" w:color="918585"/>
      </w:pBdr>
      <w:tabs>
        <w:tab w:val="left" w:pos="1021"/>
      </w:tabs>
      <w:ind w:firstLine="0"/>
    </w:pPr>
  </w:style>
  <w:style w:type="paragraph" w:customStyle="1" w:styleId="Warning">
    <w:name w:val="Warning"/>
    <w:basedOn w:val="BodyText"/>
    <w:rsid w:val="00B8290E"/>
    <w:pPr>
      <w:shd w:val="clear" w:color="auto" w:fill="D9D9D9"/>
      <w:tabs>
        <w:tab w:val="left" w:pos="992"/>
      </w:tabs>
      <w:ind w:left="119" w:right="119"/>
    </w:pPr>
    <w:rPr>
      <w:sz w:val="20"/>
    </w:rPr>
  </w:style>
  <w:style w:type="paragraph" w:customStyle="1" w:styleId="MarginIcons">
    <w:name w:val="Margin Icons"/>
    <w:basedOn w:val="BodyText"/>
    <w:rsid w:val="00B8290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8290E"/>
    <w:rPr>
      <w:rFonts w:ascii="Courier New" w:hAnsi="Courier New"/>
    </w:rPr>
  </w:style>
  <w:style w:type="paragraph" w:customStyle="1" w:styleId="NoteBullet">
    <w:name w:val="Note Bullet"/>
    <w:basedOn w:val="Note"/>
    <w:rsid w:val="00B8290E"/>
    <w:pPr>
      <w:tabs>
        <w:tab w:val="clear" w:pos="680"/>
      </w:tabs>
      <w:spacing w:before="60" w:after="60"/>
    </w:pPr>
  </w:style>
  <w:style w:type="paragraph" w:customStyle="1" w:styleId="SubHeading2">
    <w:name w:val="SubHeading2"/>
    <w:basedOn w:val="HeadingBase"/>
    <w:rsid w:val="00B8290E"/>
    <w:pPr>
      <w:spacing w:before="240" w:after="60"/>
    </w:pPr>
    <w:rPr>
      <w:sz w:val="20"/>
    </w:rPr>
  </w:style>
  <w:style w:type="paragraph" w:customStyle="1" w:styleId="SubHeading1">
    <w:name w:val="SubHeading1"/>
    <w:basedOn w:val="HeadingBase"/>
    <w:rsid w:val="00B8290E"/>
    <w:pPr>
      <w:spacing w:before="240" w:after="60"/>
    </w:pPr>
    <w:rPr>
      <w:color w:val="918585"/>
      <w:sz w:val="22"/>
    </w:rPr>
  </w:style>
  <w:style w:type="paragraph" w:customStyle="1" w:styleId="SideHeading">
    <w:name w:val="Side Heading"/>
    <w:basedOn w:val="HeadingBase"/>
    <w:rsid w:val="00B8290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8290E"/>
    <w:pPr>
      <w:numPr>
        <w:numId w:val="12"/>
      </w:numPr>
    </w:pPr>
  </w:style>
  <w:style w:type="paragraph" w:styleId="PlainText">
    <w:name w:val="Plain Text"/>
    <w:basedOn w:val="Normal"/>
    <w:link w:val="PlainTextChar"/>
    <w:rsid w:val="00B8290E"/>
    <w:rPr>
      <w:sz w:val="20"/>
    </w:rPr>
  </w:style>
  <w:style w:type="character" w:customStyle="1" w:styleId="PlainTextChar">
    <w:name w:val="Plain Text Char"/>
    <w:basedOn w:val="DefaultParagraphFont"/>
    <w:link w:val="PlainText"/>
    <w:rsid w:val="00B8290E"/>
    <w:rPr>
      <w:rFonts w:ascii="Courier New" w:eastAsia="Times New Roman" w:hAnsi="Courier New" w:cs="Times New Roman"/>
      <w:sz w:val="20"/>
      <w:szCs w:val="20"/>
      <w:lang w:eastAsia="en-US"/>
    </w:rPr>
  </w:style>
  <w:style w:type="character" w:customStyle="1" w:styleId="MenuOption">
    <w:name w:val="Menu Option"/>
    <w:basedOn w:val="DefaultParagraphFont"/>
    <w:rsid w:val="00B8290E"/>
    <w:rPr>
      <w:b/>
      <w:smallCaps/>
    </w:rPr>
  </w:style>
  <w:style w:type="paragraph" w:customStyle="1" w:styleId="TableListNumber">
    <w:name w:val="Table List Number"/>
    <w:basedOn w:val="ListNumber"/>
    <w:rsid w:val="00B8290E"/>
    <w:pPr>
      <w:numPr>
        <w:numId w:val="0"/>
      </w:numPr>
    </w:pPr>
  </w:style>
  <w:style w:type="paragraph" w:styleId="TOC4">
    <w:name w:val="toc 4"/>
    <w:basedOn w:val="TOCBase"/>
    <w:next w:val="Normal"/>
    <w:semiHidden/>
    <w:rsid w:val="00B8290E"/>
    <w:pPr>
      <w:tabs>
        <w:tab w:val="right" w:leader="dot" w:pos="9071"/>
      </w:tabs>
      <w:ind w:left="1701"/>
    </w:pPr>
  </w:style>
  <w:style w:type="paragraph" w:customStyle="1" w:styleId="ListAlpha">
    <w:name w:val="List Alpha"/>
    <w:basedOn w:val="List"/>
    <w:rsid w:val="00B8290E"/>
    <w:pPr>
      <w:numPr>
        <w:numId w:val="9"/>
      </w:numPr>
    </w:pPr>
  </w:style>
  <w:style w:type="paragraph" w:customStyle="1" w:styleId="ListAlpha2">
    <w:name w:val="List Alpha 2"/>
    <w:basedOn w:val="List2"/>
    <w:rsid w:val="00B8290E"/>
    <w:pPr>
      <w:numPr>
        <w:numId w:val="8"/>
      </w:numPr>
    </w:pPr>
  </w:style>
  <w:style w:type="paragraph" w:styleId="List2">
    <w:name w:val="List 2"/>
    <w:basedOn w:val="BodyText"/>
    <w:rsid w:val="00B8290E"/>
    <w:pPr>
      <w:tabs>
        <w:tab w:val="left" w:pos="680"/>
      </w:tabs>
      <w:spacing w:before="60" w:after="60"/>
      <w:ind w:left="680" w:hanging="340"/>
    </w:pPr>
  </w:style>
  <w:style w:type="paragraph" w:styleId="List3">
    <w:name w:val="List 3"/>
    <w:basedOn w:val="BodyText"/>
    <w:rsid w:val="00B8290E"/>
    <w:pPr>
      <w:tabs>
        <w:tab w:val="left" w:pos="1021"/>
      </w:tabs>
      <w:spacing w:before="60" w:after="60"/>
      <w:ind w:left="1020" w:hanging="340"/>
    </w:pPr>
  </w:style>
  <w:style w:type="paragraph" w:styleId="List4">
    <w:name w:val="List 4"/>
    <w:basedOn w:val="BodyText"/>
    <w:rsid w:val="00B8290E"/>
    <w:pPr>
      <w:tabs>
        <w:tab w:val="left" w:pos="1361"/>
      </w:tabs>
      <w:spacing w:before="60" w:after="60"/>
      <w:ind w:left="1361" w:hanging="340"/>
    </w:pPr>
  </w:style>
  <w:style w:type="paragraph" w:styleId="List5">
    <w:name w:val="List 5"/>
    <w:basedOn w:val="BodyText"/>
    <w:rsid w:val="00B8290E"/>
    <w:pPr>
      <w:tabs>
        <w:tab w:val="left" w:pos="1701"/>
      </w:tabs>
      <w:spacing w:before="60" w:after="60"/>
      <w:ind w:left="1701" w:hanging="340"/>
    </w:pPr>
  </w:style>
  <w:style w:type="paragraph" w:styleId="ListBullet4">
    <w:name w:val="List Bullet 4"/>
    <w:basedOn w:val="List4"/>
    <w:rsid w:val="00B8290E"/>
    <w:pPr>
      <w:numPr>
        <w:numId w:val="3"/>
      </w:numPr>
    </w:pPr>
  </w:style>
  <w:style w:type="paragraph" w:styleId="ListBullet5">
    <w:name w:val="List Bullet 5"/>
    <w:basedOn w:val="List5"/>
    <w:rsid w:val="00B8290E"/>
    <w:pPr>
      <w:numPr>
        <w:numId w:val="4"/>
      </w:numPr>
    </w:pPr>
  </w:style>
  <w:style w:type="paragraph" w:styleId="ListContinue2">
    <w:name w:val="List Continue 2"/>
    <w:basedOn w:val="List2"/>
    <w:rsid w:val="00B8290E"/>
    <w:pPr>
      <w:ind w:firstLine="0"/>
    </w:pPr>
  </w:style>
  <w:style w:type="paragraph" w:styleId="ListContinue3">
    <w:name w:val="List Continue 3"/>
    <w:basedOn w:val="List3"/>
    <w:rsid w:val="00B8290E"/>
    <w:pPr>
      <w:ind w:left="1021" w:firstLine="0"/>
    </w:pPr>
  </w:style>
  <w:style w:type="paragraph" w:styleId="ListContinue4">
    <w:name w:val="List Continue 4"/>
    <w:basedOn w:val="List4"/>
    <w:rsid w:val="00B8290E"/>
    <w:pPr>
      <w:ind w:firstLine="0"/>
    </w:pPr>
  </w:style>
  <w:style w:type="paragraph" w:styleId="ListContinue5">
    <w:name w:val="List Continue 5"/>
    <w:basedOn w:val="List5"/>
    <w:rsid w:val="00B8290E"/>
    <w:pPr>
      <w:ind w:firstLine="0"/>
    </w:pPr>
  </w:style>
  <w:style w:type="paragraph" w:styleId="ListNumber3">
    <w:name w:val="List Number 3"/>
    <w:basedOn w:val="List3"/>
    <w:rsid w:val="00B8290E"/>
    <w:pPr>
      <w:numPr>
        <w:numId w:val="5"/>
      </w:numPr>
    </w:pPr>
  </w:style>
  <w:style w:type="paragraph" w:styleId="ListNumber4">
    <w:name w:val="List Number 4"/>
    <w:basedOn w:val="List4"/>
    <w:rsid w:val="00B8290E"/>
    <w:pPr>
      <w:numPr>
        <w:numId w:val="6"/>
      </w:numPr>
    </w:pPr>
  </w:style>
  <w:style w:type="paragraph" w:styleId="ListNumber5">
    <w:name w:val="List Number 5"/>
    <w:basedOn w:val="List5"/>
    <w:rsid w:val="00B8290E"/>
    <w:pPr>
      <w:numPr>
        <w:numId w:val="7"/>
      </w:numPr>
    </w:pPr>
  </w:style>
  <w:style w:type="paragraph" w:styleId="BlockText">
    <w:name w:val="Block Text"/>
    <w:basedOn w:val="Normal"/>
    <w:rsid w:val="00B8290E"/>
    <w:pPr>
      <w:spacing w:after="120"/>
      <w:ind w:left="1440" w:right="1440"/>
    </w:pPr>
  </w:style>
  <w:style w:type="character" w:customStyle="1" w:styleId="Subscript">
    <w:name w:val="Subscript"/>
    <w:basedOn w:val="DefaultParagraphFont"/>
    <w:rsid w:val="00B8290E"/>
    <w:rPr>
      <w:sz w:val="16"/>
      <w:vertAlign w:val="subscript"/>
    </w:rPr>
  </w:style>
  <w:style w:type="character" w:customStyle="1" w:styleId="Superscript">
    <w:name w:val="Superscript"/>
    <w:basedOn w:val="DefaultParagraphFont"/>
    <w:rsid w:val="00B8290E"/>
    <w:rPr>
      <w:sz w:val="16"/>
      <w:vertAlign w:val="superscript"/>
    </w:rPr>
  </w:style>
  <w:style w:type="character" w:customStyle="1" w:styleId="Symbols">
    <w:name w:val="Symbols"/>
    <w:basedOn w:val="DefaultParagraphFont"/>
    <w:rsid w:val="00B8290E"/>
    <w:rPr>
      <w:rFonts w:ascii="Symbol" w:hAnsi="Symbol"/>
    </w:rPr>
  </w:style>
  <w:style w:type="character" w:customStyle="1" w:styleId="MenuOptions">
    <w:name w:val="Menu Options"/>
    <w:basedOn w:val="DefaultParagraphFont"/>
    <w:rsid w:val="00B8290E"/>
    <w:rPr>
      <w:rFonts w:ascii="Arial Narrow" w:hAnsi="Arial Narrow"/>
      <w:smallCaps/>
    </w:rPr>
  </w:style>
  <w:style w:type="character" w:customStyle="1" w:styleId="Buttons">
    <w:name w:val="Buttons"/>
    <w:basedOn w:val="DefaultParagraphFont"/>
    <w:rsid w:val="00B8290E"/>
    <w:rPr>
      <w:b/>
    </w:rPr>
  </w:style>
  <w:style w:type="character" w:customStyle="1" w:styleId="Underlined">
    <w:name w:val="Underlined"/>
    <w:basedOn w:val="DefaultParagraphFont"/>
    <w:rsid w:val="00B8290E"/>
    <w:rPr>
      <w:u w:val="single"/>
    </w:rPr>
  </w:style>
  <w:style w:type="paragraph" w:customStyle="1" w:styleId="TableBodyTextRight">
    <w:name w:val="Table Body Text Right"/>
    <w:basedOn w:val="TableBodyText"/>
    <w:rsid w:val="00B8290E"/>
    <w:pPr>
      <w:widowControl w:val="0"/>
      <w:autoSpaceDE w:val="0"/>
      <w:autoSpaceDN w:val="0"/>
      <w:adjustRightInd w:val="0"/>
      <w:jc w:val="right"/>
    </w:pPr>
    <w:rPr>
      <w:rFonts w:cs="Arial"/>
      <w:szCs w:val="18"/>
    </w:rPr>
  </w:style>
  <w:style w:type="paragraph" w:customStyle="1" w:styleId="CopyrightText">
    <w:name w:val="Copyright Text"/>
    <w:basedOn w:val="BodyText"/>
    <w:rsid w:val="00B8290E"/>
    <w:rPr>
      <w:sz w:val="18"/>
    </w:rPr>
  </w:style>
  <w:style w:type="paragraph" w:customStyle="1" w:styleId="BodySmallRight">
    <w:name w:val="Body Small Right"/>
    <w:basedOn w:val="BodyTextRight"/>
    <w:rsid w:val="00B8290E"/>
    <w:rPr>
      <w:sz w:val="18"/>
      <w:szCs w:val="18"/>
    </w:rPr>
  </w:style>
  <w:style w:type="paragraph" w:customStyle="1" w:styleId="MarginEdition">
    <w:name w:val="Margin Edition"/>
    <w:basedOn w:val="MarginNote"/>
    <w:rsid w:val="00B8290E"/>
    <w:pPr>
      <w:spacing w:before="0" w:after="0"/>
    </w:pPr>
    <w:rPr>
      <w:rFonts w:ascii="Times New Roman" w:hAnsi="Times New Roman"/>
      <w:color w:val="999999"/>
    </w:rPr>
  </w:style>
  <w:style w:type="paragraph" w:customStyle="1" w:styleId="Spacer">
    <w:name w:val="Spacer"/>
    <w:basedOn w:val="Normal"/>
    <w:rsid w:val="00B8290E"/>
    <w:rPr>
      <w:sz w:val="2"/>
      <w:szCs w:val="2"/>
    </w:rPr>
  </w:style>
  <w:style w:type="character" w:customStyle="1" w:styleId="Small">
    <w:name w:val="Small"/>
    <w:basedOn w:val="DefaultParagraphFont"/>
    <w:rsid w:val="00B8290E"/>
    <w:rPr>
      <w:sz w:val="16"/>
    </w:rPr>
  </w:style>
  <w:style w:type="paragraph" w:customStyle="1" w:styleId="WideTable">
    <w:name w:val="Wide Table"/>
    <w:basedOn w:val="Normal"/>
    <w:rsid w:val="00B8290E"/>
    <w:pPr>
      <w:ind w:left="-1418"/>
    </w:pPr>
    <w:rPr>
      <w:sz w:val="2"/>
      <w:szCs w:val="2"/>
    </w:rPr>
  </w:style>
  <w:style w:type="character" w:styleId="PageNumber">
    <w:name w:val="page number"/>
    <w:basedOn w:val="DefaultParagraphFont"/>
    <w:rsid w:val="00B8290E"/>
  </w:style>
  <w:style w:type="paragraph" w:styleId="Quote">
    <w:name w:val="Quote"/>
    <w:basedOn w:val="Heading1"/>
    <w:link w:val="QuoteChar"/>
    <w:qFormat/>
    <w:rsid w:val="00B8290E"/>
    <w:rPr>
      <w:b w:val="0"/>
      <w:sz w:val="72"/>
      <w:szCs w:val="72"/>
      <w:lang w:val="en-NZ"/>
    </w:rPr>
  </w:style>
  <w:style w:type="character" w:customStyle="1" w:styleId="QuoteChar">
    <w:name w:val="Quote Char"/>
    <w:basedOn w:val="DefaultParagraphFont"/>
    <w:link w:val="Quote"/>
    <w:rsid w:val="00B8290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8290E"/>
    <w:pPr>
      <w:pageBreakBefore/>
    </w:pPr>
  </w:style>
  <w:style w:type="paragraph" w:customStyle="1" w:styleId="Border">
    <w:name w:val="Border"/>
    <w:basedOn w:val="Normal"/>
    <w:qFormat/>
    <w:rsid w:val="00B8290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8290E"/>
    <w:rPr>
      <w:b/>
      <w:bCs/>
      <w:i/>
      <w:iCs/>
      <w:color w:val="auto"/>
    </w:rPr>
  </w:style>
  <w:style w:type="paragraph" w:styleId="IntenseQuote">
    <w:name w:val="Intense Quote"/>
    <w:basedOn w:val="Normal"/>
    <w:next w:val="Normal"/>
    <w:link w:val="IntenseQuoteChar"/>
    <w:uiPriority w:val="30"/>
    <w:qFormat/>
    <w:rsid w:val="00B8290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8290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8290E"/>
    <w:rPr>
      <w:smallCaps/>
      <w:color w:val="auto"/>
      <w:u w:val="single"/>
    </w:rPr>
  </w:style>
  <w:style w:type="character" w:styleId="IntenseReference">
    <w:name w:val="Intense Reference"/>
    <w:basedOn w:val="DefaultParagraphFont"/>
    <w:uiPriority w:val="32"/>
    <w:qFormat/>
    <w:rsid w:val="00B8290E"/>
    <w:rPr>
      <w:b/>
      <w:bCs/>
      <w:smallCaps/>
      <w:color w:val="auto"/>
      <w:spacing w:val="5"/>
      <w:u w:val="single"/>
    </w:rPr>
  </w:style>
  <w:style w:type="paragraph" w:customStyle="1" w:styleId="2ColumnHeading">
    <w:name w:val="2Column Heading"/>
    <w:basedOn w:val="BodyText"/>
    <w:qFormat/>
    <w:rsid w:val="00B8290E"/>
    <w:pPr>
      <w:spacing w:after="60"/>
      <w:ind w:left="-2268"/>
    </w:pPr>
    <w:rPr>
      <w:b/>
    </w:rPr>
  </w:style>
  <w:style w:type="paragraph" w:customStyle="1" w:styleId="Heading1TOC">
    <w:name w:val="Heading1 TOC"/>
    <w:basedOn w:val="Normal"/>
    <w:qFormat/>
    <w:rsid w:val="00B8290E"/>
    <w:pPr>
      <w:spacing w:before="240" w:after="120"/>
    </w:pPr>
    <w:rPr>
      <w:rFonts w:ascii="Times New Roman" w:hAnsi="Times New Roman"/>
      <w:b/>
      <w:sz w:val="32"/>
    </w:rPr>
  </w:style>
  <w:style w:type="paragraph" w:customStyle="1" w:styleId="Heading2TOC">
    <w:name w:val="Heading2 TOC"/>
    <w:basedOn w:val="Normal"/>
    <w:qFormat/>
    <w:rsid w:val="00B8290E"/>
    <w:pPr>
      <w:spacing w:before="240" w:after="60"/>
    </w:pPr>
    <w:rPr>
      <w:rFonts w:ascii="Times New Roman" w:hAnsi="Times New Roman"/>
      <w:b/>
      <w:sz w:val="28"/>
    </w:rPr>
  </w:style>
  <w:style w:type="paragraph" w:styleId="BalloonText">
    <w:name w:val="Balloon Text"/>
    <w:basedOn w:val="Normal"/>
    <w:link w:val="BalloonTextChar"/>
    <w:rsid w:val="00B8290E"/>
    <w:rPr>
      <w:rFonts w:ascii="Tahoma" w:hAnsi="Tahoma" w:cs="Tahoma"/>
      <w:sz w:val="16"/>
      <w:szCs w:val="16"/>
    </w:rPr>
  </w:style>
  <w:style w:type="character" w:customStyle="1" w:styleId="BalloonTextChar">
    <w:name w:val="Balloon Text Char"/>
    <w:basedOn w:val="DefaultParagraphFont"/>
    <w:link w:val="BalloonText"/>
    <w:rsid w:val="00B8290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8290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8290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8290E"/>
    <w:rPr>
      <w:b/>
      <w:color w:val="660033"/>
      <w:spacing w:val="0"/>
    </w:rPr>
  </w:style>
  <w:style w:type="paragraph" w:customStyle="1" w:styleId="Nameditemlist">
    <w:name w:val="Named item list"/>
    <w:basedOn w:val="BodyText"/>
    <w:qFormat/>
    <w:rsid w:val="00B8290E"/>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1570</Words>
  <Characters>10577</Characters>
  <Application>Microsoft Office Word</Application>
  <DocSecurity>0</DocSecurity>
  <Lines>369</Lines>
  <Paragraphs>239</Paragraphs>
  <ScaleCrop>false</ScaleCrop>
  <Company>Author-it Software Corporation Ltd.</Company>
  <LinksUpToDate>false</LinksUpToDate>
  <CharactersWithSpaces>12086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PSPREG603A Manage and lead inspection and monitoring programs</dc:title>
  <dc:subject>Approved</dc:subject>
  <dc:creator>Government Skills Australia</dc:creator>
  <cp:keywords>Revision Number:</cp:keywords>
  <dc:description>Copyright © 1996-2007 Author-it Software Corporation Ltd., all rights reserved.</dc:description>
  <cp:lastModifiedBy>TPCMS</cp:lastModifiedBy>
  <cp:revision>3</cp:revision>
  <dcterms:created xsi:type="dcterms:W3CDTF">2012-11-01T03:27:00Z</dcterms:created>
  <dcterms:modified xsi:type="dcterms:W3CDTF">2012-11-01T03:27:00Z</dcterms:modified>
</cp:coreProperties>
</file>