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237" w:rsidP="00F1623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PSPREG602B Evaluate regulatory compliance</w:t>
      </w:r>
      <w:r>
        <w:fldChar w:fldCharType="end"/>
      </w:r>
    </w:p>
    <w:p w:rsidR="00F16237" w:rsidP="00F16237">
      <w:pPr>
        <w:pStyle w:val="Version"/>
        <w:sectPr w:rsidSect="000F1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F1B79" w:rsidP="000F1B79">
      <w:pPr>
        <w:pStyle w:val="SuperHeading"/>
      </w:pPr>
      <w:r w:rsidRPr="000F1B79">
        <w:t>PSPREG602B Evaluate regulatory compliance</w:t>
      </w:r>
    </w:p>
    <w:p w:rsidR="00000000" w:rsidRPr="000F1B79" w:rsidP="000F1B79">
      <w:pPr>
        <w:pStyle w:val="SuperHeading"/>
      </w:pPr>
    </w:p>
    <w:p w:rsidR="00000000" w:rsidRPr="000F1B79" w:rsidP="000F1B79">
      <w:pPr>
        <w:pStyle w:val="Heading1"/>
      </w:pPr>
      <w:bookmarkStart w:id="1" w:name="O_499021"/>
      <w:bookmarkEnd w:id="1"/>
      <w:r w:rsidRPr="000F1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SpecialBold"/>
              </w:rPr>
              <w:t>Comments</w:t>
            </w:r>
          </w:p>
        </w:tc>
      </w:tr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 xml:space="preserve">Unit descriptor edited. </w:t>
            </w:r>
          </w:p>
        </w:tc>
      </w:tr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Layout adjusted. No changes to content.</w:t>
            </w:r>
          </w:p>
        </w:tc>
      </w:tr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t>Primary release.</w:t>
            </w:r>
          </w:p>
        </w:tc>
      </w:tr>
    </w:tbl>
    <w:p w:rsidR="00F16237" w:rsidP="000F1B79">
      <w:pPr>
        <w:pStyle w:val="BodyText"/>
      </w:pPr>
    </w:p>
    <w:p w:rsidR="00F16237" w:rsidP="000F1B79">
      <w:pPr>
        <w:pStyle w:val="BodyText"/>
      </w:pPr>
    </w:p>
    <w:p w:rsidR="00000000" w:rsidRPr="000F1B79" w:rsidP="000F1B79">
      <w:pPr>
        <w:pStyle w:val="Heading1"/>
      </w:pPr>
      <w:bookmarkStart w:id="2" w:name="O_499020"/>
      <w:bookmarkEnd w:id="2"/>
      <w:r w:rsidRPr="000F1B79">
        <w:t>Unit Descriptor</w:t>
      </w:r>
    </w:p>
    <w:p w:rsidR="00000000" w:rsidRPr="000F1B79" w:rsidP="000F1B79">
      <w:pPr>
        <w:pStyle w:val="BodyText"/>
      </w:pPr>
      <w:r w:rsidRPr="000F1B79">
        <w:t>This unit covers evaluation of compliance outcomes, and revie</w:t>
      </w:r>
      <w:r w:rsidRPr="000F1B79">
        <w:t xml:space="preserve">w of regulatory policies, procedures and legislation to improve compliance outcomes. This is typically performed by a manager with responsibility for regulatory officers who enforce and promote compliance with the organisation's enabling legislation (such </w:t>
      </w:r>
      <w:r w:rsidRPr="000F1B79">
        <w:t>as customs, quarantine, workplace safety, equal employment opportunity, agriculture, environmental protection, etc). It includes developing compliance measures/targets, evaluating the extent of compliance, reviewing procedures and guidelines to improve com</w:t>
      </w:r>
      <w:r w:rsidRPr="000F1B79">
        <w:t>pliance, and contributing to new legislation or the review of existing legislation.</w:t>
      </w:r>
    </w:p>
    <w:p w:rsidR="00000000" w:rsidRPr="000F1B79" w:rsidP="000F1B79">
      <w:pPr>
        <w:pStyle w:val="BodyText"/>
      </w:pPr>
      <w:r w:rsidRPr="000F1B79">
        <w:t>In practice, evaluation of regulatory compliance may overlap with other public sector work activities such as managing ethical behaviour and compliance with public sector l</w:t>
      </w:r>
      <w:r w:rsidRPr="000F1B79">
        <w:t>egislation, managing diversity, risk, resources.</w:t>
      </w:r>
    </w:p>
    <w:p w:rsidR="00F16237" w:rsidP="000F1B79">
      <w:pPr>
        <w:pStyle w:val="BodyText"/>
      </w:pPr>
      <w:r w:rsidRPr="000F1B79">
        <w:t>No licensing, legislative, regulatory or certification requirements apply to this unit at the time of endorsement.</w:t>
      </w:r>
    </w:p>
    <w:p w:rsidR="00F16237" w:rsidP="000F1B79">
      <w:pPr>
        <w:pStyle w:val="BodyText"/>
      </w:pPr>
    </w:p>
    <w:p w:rsidR="00000000" w:rsidRPr="000F1B79" w:rsidP="000F1B79">
      <w:pPr>
        <w:pStyle w:val="Heading1"/>
      </w:pPr>
      <w:bookmarkStart w:id="3" w:name="O_499030"/>
      <w:bookmarkEnd w:id="3"/>
      <w:r w:rsidRPr="000F1B79">
        <w:t>Application of the Unit</w:t>
      </w:r>
    </w:p>
    <w:p w:rsidR="00000000" w:rsidRPr="000F1B79" w:rsidP="000F1B79">
      <w:pPr>
        <w:pStyle w:val="BodyText"/>
      </w:pPr>
      <w:r w:rsidRPr="000F1B79">
        <w:t>Not applicable.</w:t>
      </w: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4" w:name="O_499024"/>
      <w:bookmarkEnd w:id="4"/>
      <w:r w:rsidRPr="000F1B79">
        <w:t>Licensing/Regulat</w:t>
      </w:r>
      <w:r w:rsidRPr="000F1B79">
        <w:t>ory Information</w:t>
      </w:r>
    </w:p>
    <w:p w:rsidR="00000000" w:rsidRPr="000F1B79" w:rsidP="000F1B79">
      <w:pPr>
        <w:pStyle w:val="BodyText"/>
      </w:pPr>
      <w:r w:rsidRPr="000F1B79">
        <w:t>Not applicable.</w:t>
      </w: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5" w:name="O_499022"/>
      <w:bookmarkEnd w:id="5"/>
      <w:r w:rsidRPr="000F1B79">
        <w:t>Pre-Requisites</w:t>
      </w:r>
    </w:p>
    <w:p w:rsidR="00000000" w:rsidRPr="000F1B79" w:rsidP="000F1B79">
      <w:pPr>
        <w:pStyle w:val="BodyText"/>
      </w:pPr>
      <w:r w:rsidRPr="000F1B79">
        <w:t>Not applicable.</w:t>
      </w: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6" w:name="O_499026"/>
      <w:bookmarkEnd w:id="6"/>
      <w:r w:rsidRPr="000F1B79">
        <w:t>Employability Skills Information</w:t>
      </w:r>
    </w:p>
    <w:p w:rsidR="00000000" w:rsidRPr="000F1B79" w:rsidP="000F1B79">
      <w:pPr>
        <w:pStyle w:val="BodyText"/>
      </w:pPr>
      <w:r w:rsidRPr="000F1B79">
        <w:t>This unit contains employability skills.</w:t>
      </w: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7" w:name="O_499027"/>
      <w:bookmarkEnd w:id="7"/>
      <w:r w:rsidRPr="000F1B79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Elements are the essen</w:t>
            </w:r>
            <w:r w:rsidRPr="000F1B79">
              <w:t>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t xml:space="preserve">Together, performance criteria specify the requirements for competent performance. Text in </w:t>
            </w:r>
            <w:r w:rsidRPr="000F1B79">
              <w:rPr>
                <w:rStyle w:val="BoldandItalics"/>
              </w:rPr>
              <w:t xml:space="preserve">bold italics </w:t>
            </w:r>
            <w:r w:rsidRPr="000F1B79">
              <w:t xml:space="preserve"> is explained in the Range Statement following.</w:t>
            </w:r>
          </w:p>
        </w:tc>
      </w:tr>
    </w:tbl>
    <w:p w:rsidR="00000000" w:rsidRPr="000F1B79" w:rsidP="000F1B79">
      <w:pPr>
        <w:pStyle w:val="BodyText"/>
      </w:pP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8" w:name="O_499028"/>
      <w:bookmarkEnd w:id="8"/>
      <w:r w:rsidRPr="000F1B7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SpecialBold"/>
              </w:rPr>
              <w:t>PERFORMANCE CRITERIA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List"/>
              <w:rPr>
                <w:lang w:val="en-NZ"/>
              </w:rPr>
            </w:pPr>
            <w:r w:rsidRPr="000F1B79">
              <w:rPr>
                <w:rStyle w:val="SpecialBold"/>
              </w:rPr>
              <w:t>1</w:t>
            </w:r>
            <w:r w:rsidRPr="000F1B79">
              <w:t>.</w:t>
            </w:r>
            <w:r w:rsidRPr="000F1B79">
              <w:tab/>
            </w:r>
            <w:r w:rsidRPr="000F1B79">
              <w:rPr>
                <w:rStyle w:val="SpecialBold"/>
              </w:rPr>
              <w:t>Develop compliance measures</w:t>
            </w:r>
            <w:r w:rsidRPr="000F1B79">
              <w:t>/</w:t>
            </w:r>
            <w:r w:rsidRPr="000F1B79">
              <w:rPr>
                <w:rStyle w:val="SpecialBold"/>
              </w:rPr>
              <w:t>targets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"/>
            </w:pPr>
            <w:r w:rsidRPr="000F1B79">
              <w:t>1.1</w:t>
            </w:r>
            <w:r w:rsidRPr="000F1B79">
              <w:tab/>
              <w:t xml:space="preserve">Compliance </w:t>
            </w:r>
            <w:r w:rsidRPr="000F1B79">
              <w:rPr>
                <w:rStyle w:val="BoldandItalics"/>
              </w:rPr>
              <w:t xml:space="preserve">measures </w:t>
            </w:r>
            <w:r w:rsidRPr="000F1B79">
              <w:t>are developed that are valid, reliable, sufficient and both time and cost effective.</w:t>
            </w:r>
          </w:p>
          <w:p w:rsidR="00000000" w:rsidP="000F1B79">
            <w:pPr>
              <w:pStyle w:val="List"/>
              <w:rPr>
                <w:lang w:val="en-NZ"/>
              </w:rPr>
            </w:pPr>
            <w:r w:rsidRPr="000F1B79">
              <w:t>1.2</w:t>
            </w:r>
            <w:r w:rsidRPr="000F1B79">
              <w:tab/>
              <w:t>Realistic measures/targets are developed underpinned by current information.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List"/>
              <w:rPr>
                <w:lang w:val="en-NZ"/>
              </w:rPr>
            </w:pPr>
            <w:r w:rsidRPr="000F1B79">
              <w:rPr>
                <w:rStyle w:val="SpecialBold"/>
              </w:rPr>
              <w:t>2</w:t>
            </w:r>
            <w:r w:rsidRPr="000F1B79">
              <w:t>.</w:t>
            </w:r>
            <w:r w:rsidRPr="000F1B79">
              <w:tab/>
            </w:r>
            <w:r w:rsidRPr="000F1B79">
              <w:rPr>
                <w:rStyle w:val="SpecialBold"/>
              </w:rPr>
              <w:t>E</w:t>
            </w:r>
            <w:r w:rsidRPr="000F1B79">
              <w:rPr>
                <w:rStyle w:val="SpecialBold"/>
              </w:rPr>
              <w:t>valuate extent of compliance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"/>
            </w:pPr>
            <w:r w:rsidRPr="000F1B79">
              <w:t>2.1</w:t>
            </w:r>
            <w:r w:rsidRPr="000F1B79">
              <w:tab/>
              <w:t>Analysis of compliance data is valid and conclusions are unbiased and supported by evidence.</w:t>
            </w:r>
          </w:p>
          <w:p w:rsidR="00000000" w:rsidRPr="000F1B79" w:rsidP="000F1B79">
            <w:pPr>
              <w:pStyle w:val="List"/>
            </w:pPr>
            <w:r w:rsidRPr="000F1B79">
              <w:t>2.2</w:t>
            </w:r>
            <w:r w:rsidRPr="000F1B79">
              <w:tab/>
              <w:t xml:space="preserve">Interpretation of comparative data over time is valid and reliable and outcomes are recorded in accordance with </w:t>
            </w:r>
            <w:r w:rsidRPr="000F1B79">
              <w:rPr>
                <w:rStyle w:val="BoldandItalics"/>
              </w:rPr>
              <w:t>legislative an</w:t>
            </w:r>
            <w:r w:rsidRPr="000F1B79">
              <w:rPr>
                <w:rStyle w:val="BoldandItalics"/>
              </w:rPr>
              <w:t>d policy</w:t>
            </w:r>
            <w:r w:rsidRPr="000F1B79">
              <w:t xml:space="preserve">  requirements.</w:t>
            </w:r>
          </w:p>
          <w:p w:rsidR="00000000" w:rsidP="000F1B79">
            <w:pPr>
              <w:pStyle w:val="List"/>
              <w:rPr>
                <w:lang w:val="en-NZ"/>
              </w:rPr>
            </w:pPr>
            <w:r w:rsidRPr="000F1B79">
              <w:t>2.3</w:t>
            </w:r>
            <w:r w:rsidRPr="000F1B79">
              <w:tab/>
              <w:t>Compliance outcomes are reported in accordance with organisational and legislative requirements.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List"/>
              <w:rPr>
                <w:lang w:val="en-NZ"/>
              </w:rPr>
            </w:pPr>
            <w:r w:rsidRPr="000F1B79">
              <w:rPr>
                <w:rStyle w:val="SpecialBold"/>
              </w:rPr>
              <w:t>3</w:t>
            </w:r>
            <w:r w:rsidRPr="000F1B79">
              <w:t>.</w:t>
            </w:r>
            <w:r w:rsidRPr="000F1B79">
              <w:tab/>
            </w:r>
            <w:r w:rsidRPr="000F1B79">
              <w:rPr>
                <w:rStyle w:val="SpecialBold"/>
              </w:rPr>
              <w:t>Review procedures and guidelines to improve compliance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"/>
            </w:pPr>
            <w:r w:rsidRPr="000F1B79">
              <w:t>3.1</w:t>
            </w:r>
            <w:r w:rsidRPr="000F1B79">
              <w:tab/>
            </w:r>
            <w:r w:rsidRPr="000F1B79">
              <w:t xml:space="preserve">A variety of sources of information representing the breadth of possible </w:t>
            </w:r>
            <w:r w:rsidRPr="000F1B79">
              <w:rPr>
                <w:rStyle w:val="BoldandItalics"/>
              </w:rPr>
              <w:t xml:space="preserve">stakeholders </w:t>
            </w:r>
            <w:r w:rsidRPr="000F1B79">
              <w:t>is drawn on to ensure review is comprehensive.</w:t>
            </w:r>
          </w:p>
          <w:p w:rsidR="00000000" w:rsidRPr="000F1B79" w:rsidP="000F1B79">
            <w:pPr>
              <w:pStyle w:val="List"/>
            </w:pPr>
            <w:r w:rsidRPr="000F1B79">
              <w:t>3.2</w:t>
            </w:r>
            <w:r w:rsidRPr="000F1B79">
              <w:tab/>
              <w:t xml:space="preserve">Possible reasons for not meeting targets/performance indicators are identified and recommendations are made to improve </w:t>
            </w:r>
            <w:r w:rsidRPr="000F1B79">
              <w:t>long-term voluntary compliance.</w:t>
            </w:r>
          </w:p>
          <w:p w:rsidR="00000000" w:rsidP="000F1B79">
            <w:pPr>
              <w:pStyle w:val="List"/>
              <w:rPr>
                <w:lang w:val="en-NZ"/>
              </w:rPr>
            </w:pPr>
            <w:r w:rsidRPr="000F1B79">
              <w:t>3.3</w:t>
            </w:r>
            <w:r w:rsidRPr="000F1B79">
              <w:tab/>
              <w:t>Adjustments of strategies and plans are made to address review recommendations in accordance with government policy requirements and resource constraints.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List"/>
              <w:rPr>
                <w:lang w:val="en-NZ"/>
              </w:rPr>
            </w:pPr>
            <w:r w:rsidRPr="000F1B79">
              <w:rPr>
                <w:rStyle w:val="SpecialBold"/>
              </w:rPr>
              <w:t>4</w:t>
            </w:r>
            <w:r w:rsidRPr="000F1B79">
              <w:t>.</w:t>
            </w:r>
            <w:r w:rsidRPr="000F1B79">
              <w:tab/>
            </w:r>
            <w:r w:rsidRPr="000F1B79">
              <w:rPr>
                <w:rStyle w:val="SpecialBold"/>
              </w:rPr>
              <w:t>Contribute to new legislation or review of existing legislati</w:t>
            </w:r>
            <w:r w:rsidRPr="000F1B79">
              <w:rPr>
                <w:rStyle w:val="SpecialBold"/>
              </w:rPr>
              <w:t>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"/>
            </w:pPr>
            <w:r w:rsidRPr="000F1B79">
              <w:t>4.1</w:t>
            </w:r>
            <w:r w:rsidRPr="000F1B79">
              <w:tab/>
              <w:t>Input is provided that supports government policy directions and relies on current information with supporting reasons and data analysis.</w:t>
            </w:r>
          </w:p>
          <w:p w:rsidR="00000000" w:rsidRPr="000F1B79" w:rsidP="000F1B79">
            <w:pPr>
              <w:pStyle w:val="List"/>
            </w:pPr>
            <w:r w:rsidRPr="000F1B79">
              <w:t>4.2</w:t>
            </w:r>
            <w:r w:rsidRPr="000F1B79">
              <w:tab/>
              <w:t>Resource implications of legislative recommendations are made within government policy requirements.</w:t>
            </w:r>
          </w:p>
        </w:tc>
      </w:tr>
    </w:tbl>
    <w:p w:rsidR="00000000" w:rsidRPr="000F1B79" w:rsidP="000F1B79">
      <w:pPr>
        <w:pStyle w:val="BodyText"/>
      </w:pP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9" w:name="O_499018"/>
      <w:bookmarkEnd w:id="9"/>
      <w:r w:rsidRPr="000F1B7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This section describes the essential skills and knowledge and their level, required for this unit.</w:t>
            </w:r>
          </w:p>
        </w:tc>
      </w:tr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rPr>
                <w:rStyle w:val="SpecialBold"/>
              </w:rPr>
              <w:t>Skill requirements</w:t>
            </w:r>
          </w:p>
          <w:p w:rsidR="00000000" w:rsidRPr="000F1B79" w:rsidP="000F1B79">
            <w:pPr>
              <w:pStyle w:val="BodyText"/>
            </w:pPr>
            <w:r w:rsidRPr="000F1B79">
              <w:t>Look for evidence that confirms skills in:</w:t>
            </w:r>
          </w:p>
          <w:p w:rsidR="00000000" w:rsidRPr="000F1B79" w:rsidP="000F1B79">
            <w:pPr>
              <w:pStyle w:val="ListBullet2"/>
            </w:pPr>
            <w:r w:rsidRPr="000F1B79">
              <w:t>undertaking information analysis</w:t>
            </w:r>
          </w:p>
          <w:p w:rsidR="00000000" w:rsidRPr="000F1B79" w:rsidP="000F1B79">
            <w:pPr>
              <w:pStyle w:val="ListBullet2"/>
            </w:pPr>
            <w:r w:rsidRPr="000F1B79">
              <w:t>interpreting complex written and numerical materials</w:t>
            </w:r>
          </w:p>
          <w:p w:rsidR="00000000" w:rsidRPr="000F1B79" w:rsidP="000F1B79">
            <w:pPr>
              <w:pStyle w:val="ListBullet2"/>
            </w:pPr>
            <w:r w:rsidRPr="000F1B79">
              <w:t>preparing written reporting requiring formal structure and language</w:t>
            </w:r>
          </w:p>
          <w:p w:rsidR="00000000" w:rsidRPr="000F1B79" w:rsidP="000F1B79">
            <w:pPr>
              <w:pStyle w:val="ListBullet2"/>
            </w:pPr>
            <w:r w:rsidRPr="000F1B79">
              <w:t>responding to diversity, including gender and disability</w:t>
            </w:r>
          </w:p>
          <w:p w:rsidR="00000000" w:rsidP="000F1B79">
            <w:pPr>
              <w:pStyle w:val="ListBullet2"/>
              <w:rPr>
                <w:lang w:val="en-NZ"/>
              </w:rPr>
            </w:pPr>
            <w:r w:rsidRPr="000F1B79">
              <w:t>applying occupational health and safety and environment legislation in the con</w:t>
            </w:r>
            <w:r w:rsidRPr="000F1B79">
              <w:t xml:space="preserve">text of regulatory compliance </w:t>
            </w:r>
          </w:p>
        </w:tc>
      </w:tr>
      <w:tr w:rsidTr="00F1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rPr>
                <w:rStyle w:val="SpecialBold"/>
              </w:rPr>
              <w:t>Knowledge requirements</w:t>
            </w:r>
          </w:p>
          <w:p w:rsidR="00000000" w:rsidRPr="000F1B79" w:rsidP="000F1B79">
            <w:pPr>
              <w:pStyle w:val="BodyText"/>
            </w:pPr>
            <w:r w:rsidRPr="000F1B79">
              <w:t>Look for evidence that confirms knowledge and understanding of:</w:t>
            </w:r>
          </w:p>
          <w:p w:rsidR="00000000" w:rsidRPr="000F1B79" w:rsidP="000F1B79">
            <w:pPr>
              <w:pStyle w:val="ListBullet2"/>
            </w:pPr>
            <w:r w:rsidRPr="000F1B79">
              <w:t>enabling legislation</w:t>
            </w:r>
          </w:p>
          <w:p w:rsidR="00000000" w:rsidRPr="000F1B79" w:rsidP="000F1B79">
            <w:pPr>
              <w:pStyle w:val="ListBullet2"/>
            </w:pPr>
            <w:r w:rsidRPr="000F1B79">
              <w:t>government policies</w:t>
            </w:r>
          </w:p>
          <w:p w:rsidR="00000000" w:rsidRPr="000F1B79" w:rsidP="000F1B79">
            <w:pPr>
              <w:pStyle w:val="ListBullet2"/>
            </w:pPr>
            <w:r w:rsidRPr="000F1B79">
              <w:t>principles of evaluation</w:t>
            </w:r>
          </w:p>
          <w:p w:rsidR="00000000" w:rsidRPr="000F1B79" w:rsidP="000F1B79">
            <w:pPr>
              <w:pStyle w:val="ListBullet2"/>
            </w:pPr>
            <w:r w:rsidRPr="000F1B79">
              <w:t>equal employment opportunity, equity and diversity principles</w:t>
            </w:r>
          </w:p>
          <w:p w:rsidR="00000000" w:rsidRPr="000F1B79" w:rsidP="000F1B79">
            <w:pPr>
              <w:pStyle w:val="ListBullet2"/>
            </w:pPr>
            <w:r w:rsidRPr="000F1B79">
              <w:t>public sector policy and legislation including occupational health and safety and environment relating to the evaluation of regulatory compliance</w:t>
            </w:r>
          </w:p>
        </w:tc>
      </w:tr>
    </w:tbl>
    <w:p w:rsidR="00000000" w:rsidRPr="000F1B79" w:rsidP="000F1B79">
      <w:pPr>
        <w:pStyle w:val="BodyText"/>
      </w:pP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10" w:name="O_499025"/>
      <w:bookmarkEnd w:id="10"/>
      <w:r w:rsidRPr="000F1B79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The Evidence Guide specifies the evidence required to demonstrate achievemen</w:t>
            </w:r>
            <w:r w:rsidRPr="000F1B79">
              <w:t>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rPr>
                <w:rStyle w:val="SpecialBold"/>
              </w:rPr>
              <w:t>Units to be assessed together</w:t>
            </w:r>
            <w:r w:rsidRPr="000F1B7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Bullet2"/>
            </w:pPr>
            <w:r w:rsidRPr="000F1B79">
              <w:rPr>
                <w:rStyle w:val="Emphasis"/>
              </w:rPr>
              <w:t>Pre</w:t>
            </w:r>
            <w:r w:rsidRPr="000F1B79">
              <w:t>-</w:t>
            </w:r>
            <w:r w:rsidRPr="000F1B79">
              <w:rPr>
                <w:rStyle w:val="Emphasis"/>
              </w:rPr>
              <w:t>requisite</w:t>
            </w:r>
            <w:r w:rsidRPr="000F1B79">
              <w:t xml:space="preserve"> units that </w:t>
            </w:r>
            <w:r w:rsidRPr="000F1B79">
              <w:rPr>
                <w:rStyle w:val="Underline"/>
              </w:rPr>
              <w:t>must</w:t>
            </w:r>
            <w:r w:rsidRPr="000F1B79">
              <w:t xml:space="preserve"> be achieved </w:t>
            </w:r>
            <w:r w:rsidRPr="000F1B79">
              <w:rPr>
                <w:rStyle w:val="Underline"/>
              </w:rPr>
              <w:t>prior</w:t>
            </w:r>
            <w:r w:rsidRPr="000F1B79">
              <w:t xml:space="preserve"> to this unit:</w:t>
            </w:r>
            <w:r w:rsidRPr="000F1B79">
              <w:rPr>
                <w:rStyle w:val="Emphasis"/>
              </w:rPr>
              <w:t>Nil</w:t>
            </w:r>
          </w:p>
          <w:p w:rsidR="00000000" w:rsidRPr="000F1B79" w:rsidP="000F1B79">
            <w:pPr>
              <w:pStyle w:val="ListBullet2"/>
            </w:pPr>
            <w:r w:rsidRPr="000F1B79">
              <w:rPr>
                <w:rStyle w:val="Emphasis"/>
              </w:rPr>
              <w:t>Co</w:t>
            </w:r>
            <w:r w:rsidRPr="000F1B79">
              <w:t>-</w:t>
            </w:r>
            <w:r w:rsidRPr="000F1B79">
              <w:rPr>
                <w:rStyle w:val="Emphasis"/>
              </w:rPr>
              <w:t>requisite</w:t>
            </w:r>
            <w:r w:rsidRPr="000F1B79">
              <w:t xml:space="preserve"> units that </w:t>
            </w:r>
            <w:r w:rsidRPr="000F1B79">
              <w:rPr>
                <w:rStyle w:val="Underline"/>
              </w:rPr>
              <w:t>must</w:t>
            </w:r>
            <w:r w:rsidRPr="000F1B79">
              <w:t xml:space="preserve"> be assessed </w:t>
            </w:r>
            <w:r w:rsidRPr="000F1B79">
              <w:rPr>
                <w:rStyle w:val="Underline"/>
              </w:rPr>
              <w:t>with</w:t>
            </w:r>
            <w:r w:rsidRPr="000F1B79">
              <w:t xml:space="preserve"> this unit:</w:t>
            </w:r>
            <w:r w:rsidRPr="000F1B79">
              <w:rPr>
                <w:rStyle w:val="Emphasis"/>
              </w:rPr>
              <w:t>Nil</w:t>
            </w:r>
          </w:p>
          <w:p w:rsidR="00000000" w:rsidRPr="000F1B79" w:rsidP="000F1B79">
            <w:pPr>
              <w:pStyle w:val="ListBullet2"/>
            </w:pPr>
            <w:r w:rsidRPr="000F1B79">
              <w:rPr>
                <w:rStyle w:val="Emphasis"/>
              </w:rPr>
              <w:t>Co</w:t>
            </w:r>
            <w:r w:rsidRPr="000F1B79">
              <w:t>-</w:t>
            </w:r>
            <w:r w:rsidRPr="000F1B79">
              <w:rPr>
                <w:rStyle w:val="Emphasis"/>
              </w:rPr>
              <w:t>assessed units</w:t>
            </w:r>
            <w:r w:rsidRPr="000F1B79">
              <w:t xml:space="preserve"> that </w:t>
            </w:r>
            <w:r w:rsidRPr="000F1B79">
              <w:rPr>
                <w:rStyle w:val="Underline"/>
              </w:rPr>
              <w:t>may</w:t>
            </w:r>
            <w:r w:rsidRPr="000F1B79">
              <w:t xml:space="preserve"> be assessed with this unit to increase the efficiency and realism of the assessment process include, but are not limited to:</w:t>
            </w:r>
          </w:p>
          <w:p w:rsidR="00000000" w:rsidRPr="000F1B79" w:rsidP="000F1B79">
            <w:pPr>
              <w:pStyle w:val="ListBullet3"/>
            </w:pPr>
            <w:r w:rsidRPr="000F1B79">
              <w:t xml:space="preserve">PSPETHC601B Maintain and enhance confidence in public service </w:t>
            </w:r>
          </w:p>
          <w:p w:rsidR="00000000" w:rsidRPr="000F1B79" w:rsidP="000F1B79">
            <w:pPr>
              <w:pStyle w:val="ListBullet3"/>
            </w:pPr>
            <w:r w:rsidRPr="000F1B79">
              <w:t>PSPGOV601B Apply government systems</w:t>
            </w:r>
          </w:p>
          <w:p w:rsidR="00000000" w:rsidRPr="000F1B79" w:rsidP="000F1B79">
            <w:pPr>
              <w:pStyle w:val="ListBullet3"/>
            </w:pPr>
            <w:r w:rsidRPr="000F1B79">
              <w:t>PSPLEGN601B Manage compliance with legislation in the public sector</w:t>
            </w:r>
          </w:p>
          <w:p w:rsidR="00000000" w:rsidRPr="000F1B79" w:rsidP="000F1B79">
            <w:pPr>
              <w:pStyle w:val="ListBullet3"/>
            </w:pPr>
            <w:r w:rsidRPr="000F1B79">
              <w:t xml:space="preserve">PSPMNGT602B Manage resources </w:t>
            </w:r>
          </w:p>
          <w:p w:rsidR="00000000" w:rsidRPr="000F1B79" w:rsidP="000F1B79">
            <w:pPr>
              <w:pStyle w:val="ListBullet3"/>
            </w:pPr>
            <w:r w:rsidRPr="000F1B79">
              <w:t>PSPMNGT605B Manage diversity</w:t>
            </w:r>
          </w:p>
          <w:p w:rsidR="00000000" w:rsidRPr="000F1B79" w:rsidP="000F1B79">
            <w:pPr>
              <w:pStyle w:val="ListBullet3"/>
            </w:pPr>
            <w:r w:rsidRPr="000F1B79">
              <w:t>PSPMNGT608B Manage risk</w:t>
            </w:r>
          </w:p>
          <w:p w:rsidR="00000000" w:rsidRPr="000F1B79" w:rsidP="000F1B79">
            <w:pPr>
              <w:pStyle w:val="ListBullet3"/>
            </w:pPr>
            <w:r w:rsidRPr="000F1B79">
              <w:t>PSPMNGT611A Manage evaluations</w:t>
            </w:r>
          </w:p>
          <w:p w:rsidR="00000000" w:rsidRPr="000F1B79" w:rsidP="000F1B79">
            <w:pPr>
              <w:pStyle w:val="ListBullet3"/>
            </w:pPr>
            <w:r w:rsidRPr="000F1B79">
              <w:t>PSPPOL603A Manage policy implementation</w:t>
            </w:r>
          </w:p>
          <w:p w:rsidR="00000000" w:rsidP="000F1B79">
            <w:pPr>
              <w:pStyle w:val="ListBullet3"/>
              <w:rPr>
                <w:lang w:val="en-NZ"/>
              </w:rPr>
            </w:pPr>
            <w:r w:rsidRPr="000F1B79">
              <w:t>PSPREG601B Manage regulatory compl</w:t>
            </w:r>
            <w:r w:rsidRPr="000F1B79">
              <w:t>iance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t>In addition to integrated demonstration of the elements and their related performance criteria, look for evidence that confirms:</w:t>
            </w:r>
          </w:p>
          <w:p w:rsidR="00000000" w:rsidRPr="000F1B79" w:rsidP="000F1B79">
            <w:pPr>
              <w:pStyle w:val="ListBullet2"/>
            </w:pPr>
            <w:r w:rsidRPr="000F1B79">
              <w:t xml:space="preserve">the knowledge requirements of this unit </w:t>
            </w:r>
          </w:p>
          <w:p w:rsidR="00000000" w:rsidRPr="000F1B79" w:rsidP="000F1B79">
            <w:pPr>
              <w:pStyle w:val="ListBullet2"/>
            </w:pPr>
            <w:r w:rsidRPr="000F1B79">
              <w:t>the skill requirements of this unit</w:t>
            </w:r>
          </w:p>
          <w:p w:rsidR="00000000" w:rsidRPr="000F1B79" w:rsidP="000F1B79">
            <w:pPr>
              <w:pStyle w:val="ListBullet2"/>
            </w:pPr>
            <w:r w:rsidRPr="000F1B79">
              <w:t>application of the Employability Skills as they relate to this unit (see Employability Summaries in Qualifications Framework)</w:t>
            </w:r>
          </w:p>
          <w:p w:rsidR="00000000" w:rsidP="000F1B79">
            <w:pPr>
              <w:pStyle w:val="ListBullet2"/>
              <w:rPr>
                <w:lang w:val="en-NZ"/>
              </w:rPr>
            </w:pPr>
            <w:r w:rsidRPr="000F1B79">
              <w:t>evaluation of regulatory compliance in a range of (2 or more) contexts (or occasions, over time)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SpecialBold"/>
              </w:rPr>
              <w:t xml:space="preserve">Resources required to carry out </w:t>
            </w:r>
            <w:r w:rsidRPr="000F1B79">
              <w:rPr>
                <w:rStyle w:val="SpecialBold"/>
              </w:rPr>
              <w:t>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t>These resources include:</w:t>
            </w:r>
          </w:p>
          <w:p w:rsidR="00000000" w:rsidRPr="000F1B79" w:rsidP="000F1B79">
            <w:pPr>
              <w:pStyle w:val="ListBullet2"/>
            </w:pPr>
            <w:r w:rsidRPr="000F1B79">
              <w:t>legislation, policy, procedures and protocols relating to regulatory compliance in the public sector</w:t>
            </w:r>
          </w:p>
          <w:p w:rsidR="00000000" w:rsidRPr="000F1B79" w:rsidP="000F1B79">
            <w:pPr>
              <w:pStyle w:val="ListBullet2"/>
            </w:pPr>
            <w:r w:rsidRPr="000F1B79">
              <w:t>relevant aspects of common law</w:t>
            </w:r>
          </w:p>
          <w:p w:rsidR="00000000" w:rsidP="000F1B79">
            <w:pPr>
              <w:pStyle w:val="ListBullet2"/>
              <w:rPr>
                <w:lang w:val="en-NZ"/>
              </w:rPr>
            </w:pPr>
            <w:r w:rsidRPr="000F1B79">
              <w:t>case studies and workplace scenarios to capture the range of situations likely to be en</w:t>
            </w:r>
            <w:r w:rsidRPr="000F1B79">
              <w:t>countered when evaluating regulatory compliance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t xml:space="preserve">Valid assessment of this unit requires: </w:t>
            </w:r>
          </w:p>
          <w:p w:rsidR="00000000" w:rsidRPr="000F1B79" w:rsidP="000F1B79">
            <w:pPr>
              <w:pStyle w:val="ListBullet2"/>
            </w:pPr>
            <w:r w:rsidRPr="000F1B79">
              <w:t>a workplace environment or one that closely resembles normal work practice and replicates the range of conditions likely to be encou</w:t>
            </w:r>
            <w:r w:rsidRPr="000F1B79">
              <w:t>ntered when evaluating regulatory compliance, including coping with difficulties, irregularities and breakdowns in routine</w:t>
            </w:r>
          </w:p>
          <w:p w:rsidR="00000000" w:rsidRPr="000F1B79" w:rsidP="000F1B79">
            <w:pPr>
              <w:pStyle w:val="ListBullet2"/>
            </w:pPr>
            <w:r w:rsidRPr="000F1B79">
              <w:t>evaluation of regulatory compliance in a range of (2 or more) contexts (or occasions, over time)</w:t>
            </w:r>
          </w:p>
          <w:p w:rsidR="00000000" w:rsidRPr="000F1B79" w:rsidP="000F1B79">
            <w:pPr>
              <w:pStyle w:val="BodyText"/>
            </w:pPr>
            <w:r w:rsidRPr="000F1B79">
              <w:t>Assessment methods should reflect workplace demands, such as literacy, and the needs of particular groups, such as:</w:t>
            </w:r>
          </w:p>
          <w:p w:rsidR="00000000" w:rsidRPr="000F1B79" w:rsidP="000F1B79">
            <w:pPr>
              <w:pStyle w:val="ListBullet2"/>
            </w:pPr>
            <w:r w:rsidRPr="000F1B79">
              <w:t>people with disabilities</w:t>
            </w:r>
          </w:p>
          <w:p w:rsidR="00000000" w:rsidRPr="000F1B79" w:rsidP="000F1B79">
            <w:pPr>
              <w:pStyle w:val="ListBullet2"/>
            </w:pPr>
            <w:r w:rsidRPr="000F1B79">
              <w:t>people from culturally and linguistically diverse backgrounds</w:t>
            </w:r>
          </w:p>
          <w:p w:rsidR="00000000" w:rsidRPr="000F1B79" w:rsidP="000F1B79">
            <w:pPr>
              <w:pStyle w:val="ListBullet2"/>
            </w:pPr>
            <w:r w:rsidRPr="000F1B79">
              <w:t>Aboriginal and Torres Strait Islander people</w:t>
            </w:r>
          </w:p>
          <w:p w:rsidR="00000000" w:rsidRPr="000F1B79" w:rsidP="000F1B79">
            <w:pPr>
              <w:pStyle w:val="ListBullet2"/>
            </w:pPr>
            <w:r w:rsidRPr="000F1B79">
              <w:t>women</w:t>
            </w:r>
          </w:p>
          <w:p w:rsidR="00000000" w:rsidRPr="000F1B79" w:rsidP="000F1B79">
            <w:pPr>
              <w:pStyle w:val="ListBullet2"/>
            </w:pPr>
            <w:r w:rsidRPr="000F1B79">
              <w:t>y</w:t>
            </w:r>
            <w:r w:rsidRPr="000F1B79">
              <w:t>oung people</w:t>
            </w:r>
          </w:p>
          <w:p w:rsidR="00000000" w:rsidRPr="000F1B79" w:rsidP="000F1B79">
            <w:pPr>
              <w:pStyle w:val="ListBullet2"/>
            </w:pPr>
            <w:r w:rsidRPr="000F1B79">
              <w:t>older people</w:t>
            </w:r>
          </w:p>
          <w:p w:rsidR="00000000" w:rsidRPr="000F1B79" w:rsidP="000F1B79">
            <w:pPr>
              <w:pStyle w:val="ListBullet2"/>
            </w:pPr>
            <w:r w:rsidRPr="000F1B79">
              <w:t>people in rural and remote locations</w:t>
            </w:r>
          </w:p>
          <w:p w:rsidR="00000000" w:rsidRPr="000F1B79" w:rsidP="000F1B79">
            <w:pPr>
              <w:pStyle w:val="BodyText"/>
            </w:pPr>
            <w:r w:rsidRPr="000F1B79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0F1B79" w:rsidP="000F1B79">
            <w:pPr>
              <w:pStyle w:val="ListBullet2"/>
            </w:pPr>
            <w:r w:rsidRPr="000F1B79">
              <w:t>case studies</w:t>
            </w:r>
          </w:p>
          <w:p w:rsidR="00000000" w:rsidRPr="000F1B79" w:rsidP="000F1B79">
            <w:pPr>
              <w:pStyle w:val="ListBullet2"/>
            </w:pPr>
            <w:r w:rsidRPr="000F1B79">
              <w:t xml:space="preserve">portfolios </w:t>
            </w:r>
          </w:p>
          <w:p w:rsidR="00000000" w:rsidRPr="000F1B79" w:rsidP="000F1B79">
            <w:pPr>
              <w:pStyle w:val="ListBullet2"/>
            </w:pPr>
            <w:r w:rsidRPr="000F1B79">
              <w:t>projects</w:t>
            </w:r>
          </w:p>
          <w:p w:rsidR="00000000" w:rsidRPr="000F1B79" w:rsidP="000F1B79">
            <w:pPr>
              <w:pStyle w:val="ListBullet2"/>
            </w:pPr>
            <w:r w:rsidRPr="000F1B79">
              <w:t>questioni</w:t>
            </w:r>
            <w:r w:rsidRPr="000F1B79">
              <w:t>ng</w:t>
            </w:r>
          </w:p>
          <w:p w:rsidR="00000000" w:rsidRPr="000F1B79" w:rsidP="000F1B79">
            <w:pPr>
              <w:pStyle w:val="ListBullet2"/>
            </w:pPr>
            <w:r w:rsidRPr="000F1B79">
              <w:t>scenarios</w:t>
            </w:r>
          </w:p>
          <w:p w:rsidR="00000000" w:rsidP="000F1B79">
            <w:pPr>
              <w:pStyle w:val="ListBullet2"/>
              <w:rPr>
                <w:lang w:val="en-NZ"/>
              </w:rPr>
            </w:pPr>
            <w:r w:rsidRPr="000F1B79">
              <w:t xml:space="preserve">authenticated evidence from the workplace and/or training courses   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BodyText"/>
            </w:pPr>
            <w:r w:rsidRPr="000F1B79">
              <w:t xml:space="preserve">Evidence must be gathered over time in a range of contexts to ensure the person can achieve the unit outcome and apply the competency in </w:t>
            </w:r>
            <w:r w:rsidRPr="000F1B79">
              <w:t>different situations or environments</w:t>
            </w:r>
          </w:p>
        </w:tc>
      </w:tr>
    </w:tbl>
    <w:p w:rsidR="00000000" w:rsidRPr="000F1B79" w:rsidP="000F1B79">
      <w:pPr>
        <w:pStyle w:val="BodyText"/>
      </w:pP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11" w:name="O_499019"/>
      <w:bookmarkEnd w:id="11"/>
      <w:r w:rsidRPr="000F1B79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t>The Range Statement provides information about the context in which the unit of competency is carried out. The variables cater for differences between States and Territories and the Co</w:t>
            </w:r>
            <w:r w:rsidRPr="000F1B79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0F1B79">
              <w:rPr>
                <w:rStyle w:val="BoldandItalics"/>
              </w:rPr>
              <w:t xml:space="preserve">bold italics </w:t>
            </w:r>
            <w:r w:rsidRPr="000F1B79">
              <w:t>in the Perform</w:t>
            </w:r>
            <w:r w:rsidRPr="000F1B79">
              <w:t>ance Criteria is explained here.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BoldandItalics"/>
              </w:rPr>
              <w:t xml:space="preserve">Measures </w:t>
            </w:r>
            <w:r w:rsidRPr="000F1B7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Bullet2"/>
            </w:pPr>
            <w:r w:rsidRPr="000F1B79">
              <w:t>evaluation against strategic goals/targets/major outcomes</w:t>
            </w:r>
          </w:p>
          <w:p w:rsidR="00000000" w:rsidRPr="000F1B79" w:rsidP="000F1B79">
            <w:pPr>
              <w:pStyle w:val="ListBullet2"/>
            </w:pPr>
            <w:r w:rsidRPr="000F1B79">
              <w:t>level of prosecutions, cautions or warnings</w:t>
            </w:r>
          </w:p>
          <w:p w:rsidR="00000000" w:rsidRPr="000F1B79" w:rsidP="000F1B79">
            <w:pPr>
              <w:pStyle w:val="ListBullet2"/>
            </w:pPr>
            <w:r w:rsidRPr="000F1B79">
              <w:t>number of people accessing organisational publications about compliance requirements</w:t>
            </w:r>
          </w:p>
          <w:p w:rsidR="00000000" w:rsidRPr="000F1B79" w:rsidP="000F1B79">
            <w:pPr>
              <w:pStyle w:val="ListBullet2"/>
            </w:pPr>
            <w:r w:rsidRPr="000F1B79">
              <w:t>outcomes, such as:</w:t>
            </w:r>
          </w:p>
          <w:p w:rsidR="00000000" w:rsidRPr="000F1B79" w:rsidP="000F1B79">
            <w:pPr>
              <w:pStyle w:val="ListBullet3"/>
            </w:pPr>
            <w:r w:rsidRPr="000F1B79">
              <w:t>reported injuries/deaths, workers compensation claims and premiums (relevant to workplace safety)</w:t>
            </w:r>
          </w:p>
          <w:p w:rsidR="00000000" w:rsidRPr="000F1B79" w:rsidP="000F1B79">
            <w:pPr>
              <w:pStyle w:val="ListBullet3"/>
            </w:pPr>
            <w:r w:rsidRPr="000F1B79">
              <w:t>illegal imports (relevant to customs)</w:t>
            </w:r>
          </w:p>
          <w:p w:rsidR="00000000" w:rsidRPr="000F1B79" w:rsidP="000F1B79">
            <w:pPr>
              <w:pStyle w:val="ListBullet3"/>
            </w:pPr>
            <w:r w:rsidRPr="000F1B79">
              <w:t>exotic diseases (relevant to quarantine)</w:t>
            </w:r>
          </w:p>
          <w:p w:rsidR="00000000" w:rsidRPr="000F1B79" w:rsidP="000F1B79">
            <w:pPr>
              <w:pStyle w:val="ListBullet3"/>
            </w:pPr>
            <w:r w:rsidRPr="000F1B79">
              <w:t>amount of land affected by salinity (relevant to land manag</w:t>
            </w:r>
            <w:r w:rsidRPr="000F1B79">
              <w:t>ement)</w:t>
            </w:r>
          </w:p>
          <w:p w:rsidR="00000000" w:rsidRPr="000F1B79" w:rsidP="000F1B79">
            <w:pPr>
              <w:pStyle w:val="ListBullet2"/>
            </w:pPr>
            <w:r w:rsidRPr="000F1B79">
              <w:t>qualitative, such as:</w:t>
            </w:r>
          </w:p>
          <w:p w:rsidR="00000000" w:rsidP="000F1B79">
            <w:pPr>
              <w:pStyle w:val="ListBullet3"/>
              <w:rPr>
                <w:lang w:val="en-NZ"/>
              </w:rPr>
            </w:pPr>
            <w:r w:rsidRPr="000F1B79">
              <w:t>client satisfaction (relevant to all regulatory areas)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BoldandItalics"/>
              </w:rPr>
              <w:t>Legislation and policy</w:t>
            </w:r>
            <w:r w:rsidRPr="000F1B7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Bullet2"/>
            </w:pPr>
            <w:r w:rsidRPr="000F1B79">
              <w:t>enabling legislation, such as that dealing with:</w:t>
            </w:r>
          </w:p>
          <w:p w:rsidR="00000000" w:rsidRPr="000F1B79" w:rsidP="000F1B79">
            <w:pPr>
              <w:pStyle w:val="ListBullet3"/>
            </w:pPr>
            <w:r w:rsidRPr="000F1B79">
              <w:t xml:space="preserve">audit, customs and excise, quarantine, fisheries, agriculture, land management, conservation, coastal management, environmental protection, environment, insurance, legal administration (sheriffs, young offenders), workers compensation, occupational safety </w:t>
            </w:r>
            <w:r w:rsidRPr="000F1B79">
              <w:t>and health, workplace relations</w:t>
            </w:r>
          </w:p>
          <w:p w:rsidR="00000000" w:rsidRPr="000F1B79" w:rsidP="000F1B79">
            <w:pPr>
              <w:pStyle w:val="ListBullet2"/>
            </w:pPr>
            <w:r w:rsidRPr="000F1B79">
              <w:t>public sector management, financial management</w:t>
            </w:r>
          </w:p>
          <w:p w:rsidR="00000000" w:rsidRPr="000F1B79" w:rsidP="000F1B79">
            <w:pPr>
              <w:pStyle w:val="ListBullet2"/>
            </w:pPr>
            <w:r w:rsidRPr="000F1B79">
              <w:t>auditor general</w:t>
            </w:r>
          </w:p>
          <w:p w:rsidR="00000000" w:rsidRPr="000F1B79" w:rsidP="000F1B79">
            <w:pPr>
              <w:pStyle w:val="ListBullet2"/>
            </w:pPr>
            <w:r w:rsidRPr="000F1B79">
              <w:t>planning, construction, transport, energy, mining, resource management, communications</w:t>
            </w:r>
          </w:p>
          <w:p w:rsidR="00000000" w:rsidRPr="000F1B79" w:rsidP="000F1B79">
            <w:pPr>
              <w:pStyle w:val="ListBullet2"/>
            </w:pPr>
            <w:r w:rsidRPr="000F1B79">
              <w:t>family services, employment, equal employment opportunity a</w:t>
            </w:r>
            <w:r w:rsidRPr="000F1B79">
              <w:t>nd anti-discrimination</w:t>
            </w:r>
          </w:p>
          <w:p w:rsidR="00000000" w:rsidRPr="000F1B79" w:rsidP="000F1B79">
            <w:pPr>
              <w:pStyle w:val="ListBullet2"/>
            </w:pPr>
            <w:r w:rsidRPr="000F1B79">
              <w:t>aspects of common law</w:t>
            </w:r>
          </w:p>
          <w:p w:rsidR="00000000" w:rsidRPr="000F1B79" w:rsidP="000F1B79">
            <w:pPr>
              <w:pStyle w:val="ListBullet2"/>
            </w:pPr>
            <w:r w:rsidRPr="000F1B79">
              <w:t>contract law</w:t>
            </w:r>
          </w:p>
          <w:p w:rsidR="00000000" w:rsidRPr="000F1B79" w:rsidP="000F1B79">
            <w:pPr>
              <w:pStyle w:val="ListBullet2"/>
            </w:pPr>
            <w:r w:rsidRPr="000F1B79">
              <w:t>administrative law</w:t>
            </w:r>
          </w:p>
          <w:p w:rsidR="00000000" w:rsidRPr="000F1B79" w:rsidP="000F1B79">
            <w:pPr>
              <w:pStyle w:val="ListBullet2"/>
            </w:pPr>
            <w:r w:rsidRPr="000F1B79">
              <w:t>equal employment opportunity and anti-discrimination law</w:t>
            </w:r>
          </w:p>
          <w:p w:rsidR="00000000" w:rsidP="000F1B79">
            <w:pPr>
              <w:pStyle w:val="ListBullet2"/>
              <w:rPr>
                <w:lang w:val="en-NZ"/>
              </w:rPr>
            </w:pPr>
            <w:r w:rsidRPr="000F1B79">
              <w:t>government policy</w:t>
            </w:r>
          </w:p>
        </w:tc>
      </w:tr>
      <w:tr w:rsidTr="00F162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79">
            <w:pPr>
              <w:pStyle w:val="BodyText"/>
              <w:rPr>
                <w:lang w:val="en-NZ"/>
              </w:rPr>
            </w:pPr>
            <w:r w:rsidRPr="000F1B79">
              <w:rPr>
                <w:rStyle w:val="BoldandItalics"/>
              </w:rPr>
              <w:t xml:space="preserve">Stakeholders </w:t>
            </w:r>
            <w:r w:rsidRPr="000F1B7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79" w:rsidP="000F1B79">
            <w:pPr>
              <w:pStyle w:val="ListBullet2"/>
            </w:pPr>
            <w:r w:rsidRPr="000F1B79">
              <w:t>government</w:t>
            </w:r>
          </w:p>
          <w:p w:rsidR="00000000" w:rsidRPr="000F1B79" w:rsidP="000F1B79">
            <w:pPr>
              <w:pStyle w:val="ListBullet2"/>
            </w:pPr>
            <w:r w:rsidRPr="000F1B79">
              <w:t>Minister</w:t>
            </w:r>
          </w:p>
          <w:p w:rsidR="00000000" w:rsidRPr="000F1B79" w:rsidP="000F1B79">
            <w:pPr>
              <w:pStyle w:val="ListBullet2"/>
            </w:pPr>
            <w:r w:rsidRPr="000F1B79">
              <w:t>public</w:t>
            </w:r>
          </w:p>
          <w:p w:rsidR="00000000" w:rsidRPr="000F1B79" w:rsidP="000F1B79">
            <w:pPr>
              <w:pStyle w:val="ListBullet2"/>
            </w:pPr>
            <w:r w:rsidRPr="000F1B79">
              <w:t>staff</w:t>
            </w:r>
          </w:p>
          <w:p w:rsidR="00000000" w:rsidRPr="000F1B79" w:rsidP="000F1B79">
            <w:pPr>
              <w:pStyle w:val="ListBullet2"/>
            </w:pPr>
            <w:r w:rsidRPr="000F1B79">
              <w:t>victims</w:t>
            </w:r>
          </w:p>
          <w:p w:rsidR="00000000" w:rsidRPr="000F1B79" w:rsidP="000F1B79">
            <w:pPr>
              <w:pStyle w:val="ListBullet2"/>
            </w:pPr>
            <w:r w:rsidRPr="000F1B79">
              <w:t>offenders/alleged offenders</w:t>
            </w:r>
          </w:p>
        </w:tc>
      </w:tr>
    </w:tbl>
    <w:p w:rsidR="00F16237" w:rsidP="000F1B79">
      <w:pPr>
        <w:pStyle w:val="BodyText"/>
      </w:pPr>
    </w:p>
    <w:p w:rsidR="00F16237" w:rsidP="000F1B79">
      <w:pPr>
        <w:pStyle w:val="BodyText"/>
      </w:pPr>
    </w:p>
    <w:p w:rsidR="00000000" w:rsidRPr="000F1B79" w:rsidP="000F1B79">
      <w:pPr>
        <w:pStyle w:val="Heading1"/>
      </w:pPr>
      <w:bookmarkStart w:id="12" w:name="O_499023"/>
      <w:bookmarkEnd w:id="12"/>
      <w:r w:rsidRPr="000F1B79">
        <w:t>Unit Sector(s)</w:t>
      </w:r>
    </w:p>
    <w:p w:rsidR="00000000" w:rsidRPr="000F1B79" w:rsidP="000F1B79">
      <w:pPr>
        <w:pStyle w:val="BodyText"/>
      </w:pPr>
      <w:r w:rsidRPr="000F1B79">
        <w:t>Not applicable.</w:t>
      </w:r>
    </w:p>
    <w:p w:rsidR="00000000" w:rsidRPr="000F1B79" w:rsidP="000F1B79">
      <w:pPr>
        <w:pStyle w:val="AllowPageBreak"/>
      </w:pPr>
    </w:p>
    <w:p w:rsidR="00000000" w:rsidRPr="000F1B79" w:rsidP="000F1B79">
      <w:pPr>
        <w:pStyle w:val="Heading1"/>
      </w:pPr>
      <w:bookmarkStart w:id="13" w:name="O_499029"/>
      <w:bookmarkEnd w:id="13"/>
      <w:r w:rsidRPr="000F1B79">
        <w:t>Competency field</w:t>
      </w:r>
    </w:p>
    <w:p w:rsidR="00000000" w:rsidRPr="000F1B79" w:rsidP="000F1B79">
      <w:pPr>
        <w:pStyle w:val="BodyText"/>
      </w:pPr>
      <w:r w:rsidRPr="000F1B79">
        <w:t>Regulatory.</w:t>
      </w:r>
    </w:p>
    <w:p w:rsidR="00000000" w:rsidRPr="000F1B79" w:rsidP="000F1B79"/>
    <w:sectPr w:rsidSect="000F1B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6237" w:rsidP="00F1623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37" w:rsidP="000F1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6237" w:rsidP="000F1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16237" w:rsidP="000F1B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79" w:rsidRPr="00F16237" w:rsidP="00F162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37" w:rsidRPr="002D2AF8" w:rsidP="000F1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PSPREG602B Evaluate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16237" w:rsidP="000F1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E9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DEC3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B79"/>
  </w:style>
  <w:style w:type="character" w:customStyle="1" w:styleId="Heading1Char">
    <w:name w:val="Heading 1 Char"/>
    <w:basedOn w:val="DefaultParagraphFont"/>
    <w:link w:val="Heading1"/>
    <w:rsid w:val="000F1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B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B7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F1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B7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F1B7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F1B79"/>
    <w:rPr>
      <w:b/>
      <w:spacing w:val="0"/>
    </w:rPr>
  </w:style>
  <w:style w:type="paragraph" w:styleId="ListBullet2">
    <w:name w:val="List Bullet 2"/>
    <w:basedOn w:val="List2"/>
    <w:rsid w:val="000F1B7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B79"/>
    <w:rPr>
      <w:i/>
    </w:rPr>
  </w:style>
  <w:style w:type="paragraph" w:customStyle="1" w:styleId="SuperHeading">
    <w:name w:val="SuperHeading"/>
    <w:basedOn w:val="Normal"/>
    <w:rsid w:val="000F1B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1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1B79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0F1B79"/>
    <w:rPr>
      <w:u w:val="single"/>
    </w:rPr>
  </w:style>
  <w:style w:type="character" w:customStyle="1" w:styleId="BoldandItalics">
    <w:name w:val="Bold and Italics"/>
    <w:qFormat/>
    <w:rsid w:val="000F1B7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1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1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B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1B79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1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B79"/>
  </w:style>
  <w:style w:type="paragraph" w:styleId="TableofFigures">
    <w:name w:val="table of figures"/>
    <w:basedOn w:val="Normal"/>
    <w:next w:val="Normal"/>
    <w:semiHidden/>
    <w:rsid w:val="000F1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B79"/>
    <w:pPr>
      <w:numPr>
        <w:numId w:val="11"/>
      </w:numPr>
    </w:pPr>
  </w:style>
  <w:style w:type="character" w:customStyle="1" w:styleId="WingdingSymbols">
    <w:name w:val="Wingding Symbols"/>
    <w:rsid w:val="000F1B79"/>
    <w:rPr>
      <w:rFonts w:ascii="Wingdings" w:hAnsi="Wingdings"/>
    </w:rPr>
  </w:style>
  <w:style w:type="paragraph" w:customStyle="1" w:styleId="TableHeading">
    <w:name w:val="Table Heading"/>
    <w:basedOn w:val="HeadingBase"/>
    <w:rsid w:val="000F1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B79"/>
    <w:rPr>
      <w:color w:val="0033CC"/>
      <w:u w:val="none"/>
    </w:rPr>
  </w:style>
  <w:style w:type="paragraph" w:customStyle="1" w:styleId="BodyTextRight">
    <w:name w:val="Body Text Right"/>
    <w:basedOn w:val="BodyText"/>
    <w:rsid w:val="000F1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B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B79"/>
    <w:rPr>
      <w:sz w:val="32"/>
    </w:rPr>
  </w:style>
  <w:style w:type="paragraph" w:customStyle="1" w:styleId="HeadingProcedure">
    <w:name w:val="Heading Procedure"/>
    <w:basedOn w:val="HeadingBase"/>
    <w:next w:val="Normal"/>
    <w:rsid w:val="000F1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B79"/>
    <w:pPr>
      <w:spacing w:before="60" w:after="60"/>
    </w:pPr>
  </w:style>
  <w:style w:type="paragraph" w:styleId="ListContinue">
    <w:name w:val="List Continue"/>
    <w:basedOn w:val="List"/>
    <w:rsid w:val="000F1B79"/>
    <w:pPr>
      <w:ind w:firstLine="0"/>
    </w:pPr>
  </w:style>
  <w:style w:type="paragraph" w:customStyle="1" w:styleId="ListNote">
    <w:name w:val="List Note"/>
    <w:basedOn w:val="List"/>
    <w:rsid w:val="000F1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B79"/>
    <w:rPr>
      <w:rFonts w:ascii="Courier New" w:hAnsi="Courier New"/>
    </w:rPr>
  </w:style>
  <w:style w:type="paragraph" w:customStyle="1" w:styleId="NoteBullet">
    <w:name w:val="Note Bullet"/>
    <w:basedOn w:val="Note"/>
    <w:rsid w:val="000F1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B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1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B79"/>
    <w:rPr>
      <w:b/>
      <w:smallCaps/>
    </w:rPr>
  </w:style>
  <w:style w:type="paragraph" w:customStyle="1" w:styleId="TableListNumber">
    <w:name w:val="Table List Number"/>
    <w:basedOn w:val="ListNumber"/>
    <w:rsid w:val="000F1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B79"/>
    <w:pPr>
      <w:numPr>
        <w:numId w:val="9"/>
      </w:numPr>
    </w:pPr>
  </w:style>
  <w:style w:type="paragraph" w:customStyle="1" w:styleId="ListAlpha2">
    <w:name w:val="List Alpha 2"/>
    <w:basedOn w:val="List2"/>
    <w:rsid w:val="000F1B79"/>
    <w:pPr>
      <w:numPr>
        <w:numId w:val="8"/>
      </w:numPr>
    </w:pPr>
  </w:style>
  <w:style w:type="paragraph" w:styleId="List2">
    <w:name w:val="List 2"/>
    <w:basedOn w:val="BodyText"/>
    <w:rsid w:val="000F1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B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1B79"/>
    <w:pPr>
      <w:numPr>
        <w:numId w:val="3"/>
      </w:numPr>
    </w:pPr>
  </w:style>
  <w:style w:type="paragraph" w:styleId="ListBullet5">
    <w:name w:val="List Bullet 5"/>
    <w:basedOn w:val="List5"/>
    <w:rsid w:val="000F1B79"/>
    <w:pPr>
      <w:numPr>
        <w:numId w:val="4"/>
      </w:numPr>
    </w:pPr>
  </w:style>
  <w:style w:type="paragraph" w:styleId="ListContinue2">
    <w:name w:val="List Continue 2"/>
    <w:basedOn w:val="List2"/>
    <w:rsid w:val="000F1B79"/>
    <w:pPr>
      <w:ind w:firstLine="0"/>
    </w:pPr>
  </w:style>
  <w:style w:type="paragraph" w:styleId="ListContinue3">
    <w:name w:val="List Continue 3"/>
    <w:basedOn w:val="List3"/>
    <w:rsid w:val="000F1B79"/>
    <w:pPr>
      <w:ind w:left="1021" w:firstLine="0"/>
    </w:pPr>
  </w:style>
  <w:style w:type="paragraph" w:styleId="ListContinue4">
    <w:name w:val="List Continue 4"/>
    <w:basedOn w:val="List4"/>
    <w:rsid w:val="000F1B79"/>
    <w:pPr>
      <w:ind w:firstLine="0"/>
    </w:pPr>
  </w:style>
  <w:style w:type="paragraph" w:styleId="ListContinue5">
    <w:name w:val="List Continue 5"/>
    <w:basedOn w:val="List5"/>
    <w:rsid w:val="000F1B79"/>
    <w:pPr>
      <w:ind w:firstLine="0"/>
    </w:pPr>
  </w:style>
  <w:style w:type="paragraph" w:styleId="ListNumber3">
    <w:name w:val="List Number 3"/>
    <w:basedOn w:val="List3"/>
    <w:rsid w:val="000F1B79"/>
    <w:pPr>
      <w:numPr>
        <w:numId w:val="5"/>
      </w:numPr>
    </w:pPr>
  </w:style>
  <w:style w:type="paragraph" w:styleId="ListNumber4">
    <w:name w:val="List Number 4"/>
    <w:basedOn w:val="List4"/>
    <w:rsid w:val="000F1B79"/>
    <w:pPr>
      <w:numPr>
        <w:numId w:val="6"/>
      </w:numPr>
    </w:pPr>
  </w:style>
  <w:style w:type="paragraph" w:styleId="ListNumber5">
    <w:name w:val="List Number 5"/>
    <w:basedOn w:val="List5"/>
    <w:rsid w:val="000F1B79"/>
    <w:pPr>
      <w:numPr>
        <w:numId w:val="7"/>
      </w:numPr>
    </w:pPr>
  </w:style>
  <w:style w:type="paragraph" w:styleId="BlockText">
    <w:name w:val="Block Text"/>
    <w:basedOn w:val="Normal"/>
    <w:rsid w:val="000F1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B79"/>
    <w:rPr>
      <w:sz w:val="16"/>
      <w:vertAlign w:val="superscript"/>
    </w:rPr>
  </w:style>
  <w:style w:type="character" w:customStyle="1" w:styleId="Symbols">
    <w:name w:val="Symbols"/>
    <w:basedOn w:val="DefaultParagraphFont"/>
    <w:rsid w:val="000F1B79"/>
    <w:rPr>
      <w:rFonts w:ascii="Symbol" w:hAnsi="Symbol"/>
    </w:rPr>
  </w:style>
  <w:style w:type="character" w:customStyle="1" w:styleId="MenuOptions">
    <w:name w:val="Menu Options"/>
    <w:basedOn w:val="DefaultParagraphFont"/>
    <w:rsid w:val="000F1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B79"/>
    <w:rPr>
      <w:b/>
    </w:rPr>
  </w:style>
  <w:style w:type="character" w:customStyle="1" w:styleId="Underlined">
    <w:name w:val="Underlined"/>
    <w:basedOn w:val="DefaultParagraphFont"/>
    <w:rsid w:val="000F1B79"/>
    <w:rPr>
      <w:u w:val="single"/>
    </w:rPr>
  </w:style>
  <w:style w:type="paragraph" w:customStyle="1" w:styleId="TableBodyTextRight">
    <w:name w:val="Table Body Text Right"/>
    <w:basedOn w:val="TableBodyText"/>
    <w:rsid w:val="000F1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B79"/>
    <w:rPr>
      <w:sz w:val="18"/>
    </w:rPr>
  </w:style>
  <w:style w:type="paragraph" w:customStyle="1" w:styleId="BodySmallRight">
    <w:name w:val="Body Small Right"/>
    <w:basedOn w:val="BodyTextRight"/>
    <w:rsid w:val="000F1B79"/>
    <w:rPr>
      <w:sz w:val="18"/>
      <w:szCs w:val="18"/>
    </w:rPr>
  </w:style>
  <w:style w:type="paragraph" w:customStyle="1" w:styleId="MarginEdition">
    <w:name w:val="Margin Edition"/>
    <w:basedOn w:val="MarginNote"/>
    <w:rsid w:val="000F1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B79"/>
    <w:rPr>
      <w:sz w:val="2"/>
      <w:szCs w:val="2"/>
    </w:rPr>
  </w:style>
  <w:style w:type="character" w:customStyle="1" w:styleId="Small">
    <w:name w:val="Small"/>
    <w:basedOn w:val="DefaultParagraphFont"/>
    <w:rsid w:val="000F1B79"/>
    <w:rPr>
      <w:sz w:val="16"/>
    </w:rPr>
  </w:style>
  <w:style w:type="paragraph" w:customStyle="1" w:styleId="WideTable">
    <w:name w:val="Wide Table"/>
    <w:basedOn w:val="Normal"/>
    <w:rsid w:val="000F1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B79"/>
  </w:style>
  <w:style w:type="paragraph" w:styleId="Quote">
    <w:name w:val="Quote"/>
    <w:basedOn w:val="Heading1"/>
    <w:link w:val="QuoteChar"/>
    <w:qFormat/>
    <w:rsid w:val="000F1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B79"/>
    <w:pPr>
      <w:pageBreakBefore/>
    </w:pPr>
  </w:style>
  <w:style w:type="paragraph" w:customStyle="1" w:styleId="Border">
    <w:name w:val="Border"/>
    <w:basedOn w:val="Normal"/>
    <w:qFormat/>
    <w:rsid w:val="000F1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B79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0F1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B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B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1194</Words>
  <Characters>7883</Characters>
  <Application>Microsoft Office Word</Application>
  <DocSecurity>0</DocSecurity>
  <Lines>256</Lines>
  <Paragraphs>147</Paragraphs>
  <ScaleCrop>false</ScaleCrop>
  <Company>Author-it Software Corporation Ltd.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PSPREG602B Evaluate regulatory compliance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2012-11-01T16:50:00Z</dcterms:created>
  <dcterms:modified xsi:type="dcterms:W3CDTF">2012-11-01T16:50:00Z</dcterms:modified>
</cp:coreProperties>
</file>