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641" w:rsidP="00CC364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PSPREG601B Manage regulatory compliance</w:t>
      </w:r>
      <w:r>
        <w:fldChar w:fldCharType="end"/>
      </w:r>
    </w:p>
    <w:p w:rsidR="00CC3641" w:rsidP="00CC3641">
      <w:pPr>
        <w:pStyle w:val="Version"/>
        <w:sectPr w:rsidSect="007A2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A2AB2" w:rsidP="007A2AB2">
      <w:pPr>
        <w:pStyle w:val="SuperHeading"/>
      </w:pPr>
      <w:r w:rsidRPr="007A2AB2">
        <w:t>PSPREG601B Manage regulatory compliance</w:t>
      </w:r>
    </w:p>
    <w:p w:rsidR="00000000" w:rsidRPr="007A2AB2" w:rsidP="007A2AB2">
      <w:pPr>
        <w:pStyle w:val="SuperHeading"/>
      </w:pPr>
    </w:p>
    <w:p w:rsidR="00000000" w:rsidRPr="007A2AB2" w:rsidP="007A2AB2">
      <w:pPr>
        <w:pStyle w:val="Heading1"/>
      </w:pPr>
      <w:bookmarkStart w:id="1" w:name="O_498998"/>
      <w:bookmarkEnd w:id="1"/>
      <w:r w:rsidRPr="007A2A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SpecialBold"/>
              </w:rPr>
              <w:t>Comments</w:t>
            </w:r>
          </w:p>
        </w:tc>
      </w:tr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 xml:space="preserve">Unit descriptor edited. </w:t>
            </w:r>
          </w:p>
        </w:tc>
      </w:tr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Layout adjusted. No changes to content.</w:t>
            </w:r>
          </w:p>
        </w:tc>
      </w:tr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t>Primary release.</w:t>
            </w:r>
          </w:p>
        </w:tc>
      </w:tr>
    </w:tbl>
    <w:p w:rsidR="00CC3641" w:rsidP="007A2AB2">
      <w:pPr>
        <w:pStyle w:val="BodyText"/>
      </w:pPr>
    </w:p>
    <w:p w:rsidR="00CC3641" w:rsidP="007A2AB2">
      <w:pPr>
        <w:pStyle w:val="BodyText"/>
      </w:pPr>
    </w:p>
    <w:p w:rsidR="00000000" w:rsidRPr="007A2AB2" w:rsidP="007A2AB2">
      <w:pPr>
        <w:pStyle w:val="Heading1"/>
      </w:pPr>
      <w:bookmarkStart w:id="2" w:name="O_498992"/>
      <w:bookmarkEnd w:id="2"/>
      <w:r w:rsidRPr="007A2AB2">
        <w:t>Unit Descriptor</w:t>
      </w:r>
    </w:p>
    <w:p w:rsidR="00000000" w:rsidRPr="007A2AB2" w:rsidP="007A2AB2">
      <w:pPr>
        <w:pStyle w:val="BodyText"/>
      </w:pPr>
      <w:r w:rsidRPr="007A2AB2">
        <w:t xml:space="preserve">This unit covers management of regulatory compliance - a management role with responsibility for regulatory officers who enforce and promote </w:t>
      </w:r>
      <w:r w:rsidRPr="007A2AB2">
        <w:t>compliance with legislation. It includes interpreting and advising on enabling and related legislation; developing and implementing strategies to promote long-term voluntary compliance and develop a culture of compliance in the community; and providing str</w:t>
      </w:r>
      <w:r w:rsidRPr="007A2AB2">
        <w:t>ategic advice on compliance matters.</w:t>
      </w:r>
    </w:p>
    <w:p w:rsidR="00000000" w:rsidRPr="007A2AB2" w:rsidP="007A2AB2">
      <w:pPr>
        <w:pStyle w:val="BodyText"/>
      </w:pPr>
      <w:r w:rsidRPr="007A2AB2">
        <w:t>In practice, managing regulatory compliance may overlap with other public sector work activities such as managing ethical behaviour; managing diversity, risk, resources; persuading and influencing opinion.</w:t>
      </w:r>
    </w:p>
    <w:p w:rsidR="00CC3641" w:rsidP="007A2AB2">
      <w:pPr>
        <w:pStyle w:val="BodyText"/>
      </w:pPr>
      <w:r w:rsidRPr="007A2AB2">
        <w:t>No licensing,</w:t>
      </w:r>
      <w:r w:rsidRPr="007A2AB2">
        <w:t xml:space="preserve"> legislative, regulatory or certification requirements apply to this unit at the time of endorsement.</w:t>
      </w:r>
    </w:p>
    <w:p w:rsidR="00CC3641" w:rsidP="007A2AB2">
      <w:pPr>
        <w:pStyle w:val="BodyText"/>
      </w:pPr>
    </w:p>
    <w:p w:rsidR="00000000" w:rsidRPr="007A2AB2" w:rsidP="007A2AB2">
      <w:pPr>
        <w:pStyle w:val="Heading1"/>
      </w:pPr>
      <w:bookmarkStart w:id="3" w:name="O_499005"/>
      <w:bookmarkEnd w:id="3"/>
      <w:r w:rsidRPr="007A2AB2">
        <w:t>Application of the Unit</w:t>
      </w:r>
    </w:p>
    <w:p w:rsidR="00000000" w:rsidRPr="007A2AB2" w:rsidP="007A2AB2">
      <w:pPr>
        <w:pStyle w:val="BodyText"/>
      </w:pPr>
      <w:r w:rsidRPr="007A2AB2">
        <w:t>Not applicable.</w:t>
      </w: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4" w:name="O_498999"/>
      <w:bookmarkEnd w:id="4"/>
      <w:r w:rsidRPr="007A2AB2">
        <w:t>Licensing/Regulatory Information</w:t>
      </w:r>
    </w:p>
    <w:p w:rsidR="00000000" w:rsidRPr="007A2AB2" w:rsidP="007A2AB2">
      <w:pPr>
        <w:pStyle w:val="BodyText"/>
      </w:pPr>
      <w:r w:rsidRPr="007A2AB2">
        <w:t>Not applicable.</w:t>
      </w: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5" w:name="O_498995"/>
      <w:bookmarkEnd w:id="5"/>
      <w:r w:rsidRPr="007A2AB2">
        <w:t>Pre-Requisite</w:t>
      </w:r>
      <w:r w:rsidRPr="007A2AB2">
        <w:t>s</w:t>
      </w:r>
    </w:p>
    <w:p w:rsidR="00000000" w:rsidRPr="007A2AB2" w:rsidP="007A2AB2">
      <w:pPr>
        <w:pStyle w:val="BodyText"/>
      </w:pPr>
      <w:r w:rsidRPr="007A2AB2">
        <w:t>Not applicable.</w:t>
      </w: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6" w:name="O_499001"/>
      <w:bookmarkEnd w:id="6"/>
      <w:r w:rsidRPr="007A2AB2">
        <w:t>Employability Skills Information</w:t>
      </w:r>
    </w:p>
    <w:p w:rsidR="00000000" w:rsidRPr="007A2AB2" w:rsidP="007A2AB2">
      <w:pPr>
        <w:pStyle w:val="BodyText"/>
      </w:pPr>
      <w:r w:rsidRPr="007A2AB2">
        <w:t>This unit contains employability skills.</w:t>
      </w: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7" w:name="O_499002"/>
      <w:bookmarkEnd w:id="7"/>
      <w:r w:rsidRPr="007A2AB2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t>Together, performance</w:t>
            </w:r>
            <w:r w:rsidRPr="007A2AB2">
              <w:t xml:space="preserve"> criteria specify the requirements for competent performance. Text in</w:t>
            </w:r>
            <w:r w:rsidRPr="007A2AB2">
              <w:rPr>
                <w:rStyle w:val="BoldandItalics"/>
              </w:rPr>
              <w:t xml:space="preserve"> bold italics</w:t>
            </w:r>
            <w:r w:rsidRPr="007A2AB2">
              <w:t xml:space="preserve">  is explained in the Range Statement following.</w:t>
            </w:r>
          </w:p>
        </w:tc>
      </w:tr>
    </w:tbl>
    <w:p w:rsidR="00000000" w:rsidRPr="007A2AB2" w:rsidP="007A2AB2">
      <w:pPr>
        <w:pStyle w:val="BodyText"/>
      </w:pP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8" w:name="O_499003"/>
      <w:bookmarkEnd w:id="8"/>
      <w:r w:rsidRPr="007A2AB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SpecialBold"/>
              </w:rPr>
              <w:t>PERFORMANCE CRITERIA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List"/>
              <w:rPr>
                <w:lang w:val="en-NZ"/>
              </w:rPr>
            </w:pPr>
            <w:r w:rsidRPr="007A2AB2">
              <w:rPr>
                <w:rStyle w:val="SpecialBold"/>
              </w:rPr>
              <w:t>1</w:t>
            </w:r>
            <w:r w:rsidRPr="007A2AB2">
              <w:t>.</w:t>
            </w:r>
            <w:r w:rsidRPr="007A2AB2">
              <w:tab/>
            </w:r>
            <w:r w:rsidRPr="007A2AB2">
              <w:rPr>
                <w:rStyle w:val="SpecialBold"/>
              </w:rPr>
              <w:t>Interpret and advise on enabling and related legislation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"/>
            </w:pPr>
            <w:r w:rsidRPr="007A2AB2">
              <w:t>1.1</w:t>
            </w:r>
            <w:r w:rsidRPr="007A2AB2">
              <w:tab/>
              <w:t xml:space="preserve">Non-routine or </w:t>
            </w:r>
            <w:r w:rsidRPr="007A2AB2">
              <w:rPr>
                <w:rStyle w:val="BoldandItalics"/>
              </w:rPr>
              <w:t xml:space="preserve">complex matters </w:t>
            </w:r>
            <w:r w:rsidRPr="007A2AB2">
              <w:t xml:space="preserve">related to enabling and related </w:t>
            </w:r>
            <w:r w:rsidRPr="007A2AB2">
              <w:rPr>
                <w:rStyle w:val="BoldandItalics"/>
              </w:rPr>
              <w:t xml:space="preserve">legislation </w:t>
            </w:r>
            <w:r w:rsidRPr="007A2AB2">
              <w:t>are resolved or referred in accordance with organisational procedures.</w:t>
            </w:r>
          </w:p>
          <w:p w:rsidR="00000000" w:rsidRPr="007A2AB2" w:rsidP="007A2AB2">
            <w:pPr>
              <w:pStyle w:val="List"/>
            </w:pPr>
            <w:r w:rsidRPr="007A2AB2">
              <w:t>1.2</w:t>
            </w:r>
            <w:r w:rsidRPr="007A2AB2">
              <w:tab/>
              <w:t xml:space="preserve">Advice is provided to clients and staff that </w:t>
            </w:r>
            <w:r w:rsidRPr="007A2AB2">
              <w:t>is timely, consistent and constructive, and within level of authority.</w:t>
            </w:r>
          </w:p>
          <w:p w:rsidR="00000000" w:rsidRPr="007A2AB2" w:rsidP="007A2AB2">
            <w:pPr>
              <w:pStyle w:val="List"/>
            </w:pPr>
            <w:r w:rsidRPr="007A2AB2">
              <w:t>1.3</w:t>
            </w:r>
            <w:r w:rsidRPr="007A2AB2">
              <w:tab/>
              <w:t>Feedback is obtained on client level of understanding, and additional information or explanation is provided to clarify issues.</w:t>
            </w:r>
          </w:p>
          <w:p w:rsidR="00000000" w:rsidP="007A2AB2">
            <w:pPr>
              <w:pStyle w:val="List"/>
              <w:rPr>
                <w:lang w:val="en-NZ"/>
              </w:rPr>
            </w:pPr>
            <w:r w:rsidRPr="007A2AB2">
              <w:t>1.4</w:t>
            </w:r>
            <w:r w:rsidRPr="007A2AB2">
              <w:tab/>
              <w:t>Staff understanding of legislation and procedures</w:t>
            </w:r>
            <w:r w:rsidRPr="007A2AB2">
              <w:t xml:space="preserve"> is monitored and action to address professional development needs is timely and in accordance with organisational procedures.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List"/>
              <w:rPr>
                <w:lang w:val="en-NZ"/>
              </w:rPr>
            </w:pPr>
            <w:r w:rsidRPr="007A2AB2">
              <w:rPr>
                <w:rStyle w:val="SpecialBold"/>
              </w:rPr>
              <w:t>2</w:t>
            </w:r>
            <w:r w:rsidRPr="007A2AB2">
              <w:t>.</w:t>
            </w:r>
            <w:r w:rsidRPr="007A2AB2">
              <w:tab/>
            </w:r>
            <w:r w:rsidRPr="007A2AB2">
              <w:rPr>
                <w:rStyle w:val="SpecialBold"/>
              </w:rPr>
              <w:t>Develop and implement compliance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"/>
            </w:pPr>
            <w:r w:rsidRPr="007A2AB2">
              <w:t>2.1</w:t>
            </w:r>
            <w:r w:rsidRPr="007A2AB2">
              <w:tab/>
            </w:r>
            <w:r w:rsidRPr="007A2AB2">
              <w:rPr>
                <w:rStyle w:val="BoldandItalics"/>
              </w:rPr>
              <w:t xml:space="preserve">Strategies </w:t>
            </w:r>
            <w:r w:rsidRPr="007A2AB2">
              <w:t xml:space="preserve">and </w:t>
            </w:r>
            <w:r w:rsidRPr="007A2AB2">
              <w:rPr>
                <w:rStyle w:val="BoldandItalics"/>
              </w:rPr>
              <w:t xml:space="preserve">measures </w:t>
            </w:r>
            <w:r w:rsidRPr="007A2AB2">
              <w:t>to influence long-term voluntary compliance are identified and implemented to suit the audience and the context.</w:t>
            </w:r>
          </w:p>
          <w:p w:rsidR="00000000" w:rsidRPr="007A2AB2" w:rsidP="007A2AB2">
            <w:pPr>
              <w:pStyle w:val="List"/>
            </w:pPr>
            <w:r w:rsidRPr="007A2AB2">
              <w:t>2.2</w:t>
            </w:r>
            <w:r w:rsidRPr="007A2AB2">
              <w:tab/>
              <w:t>Information that is current and promotes the benefits of compliance is provided to clients.</w:t>
            </w:r>
          </w:p>
          <w:p w:rsidR="00000000" w:rsidRPr="007A2AB2" w:rsidP="007A2AB2">
            <w:pPr>
              <w:pStyle w:val="List"/>
            </w:pPr>
            <w:r w:rsidRPr="007A2AB2">
              <w:t>2.3</w:t>
            </w:r>
            <w:r w:rsidRPr="007A2AB2">
              <w:tab/>
              <w:t>Strategies are developed in accordance with</w:t>
            </w:r>
            <w:r w:rsidRPr="007A2AB2">
              <w:t xml:space="preserve"> government and organisational policy and practice. </w:t>
            </w:r>
          </w:p>
          <w:p w:rsidR="00000000" w:rsidP="007A2AB2">
            <w:pPr>
              <w:pStyle w:val="List"/>
              <w:rPr>
                <w:lang w:val="en-NZ"/>
              </w:rPr>
            </w:pPr>
            <w:r w:rsidRPr="007A2AB2">
              <w:t>2.4</w:t>
            </w:r>
            <w:r w:rsidRPr="007A2AB2">
              <w:tab/>
              <w:t>Information and strategies are adjusted in response to feedback gathered from a range of stakeholders.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List"/>
              <w:rPr>
                <w:lang w:val="en-NZ"/>
              </w:rPr>
            </w:pPr>
            <w:r w:rsidRPr="007A2AB2">
              <w:rPr>
                <w:rStyle w:val="SpecialBold"/>
              </w:rPr>
              <w:t>3</w:t>
            </w:r>
            <w:r w:rsidRPr="007A2AB2">
              <w:t>.</w:t>
            </w:r>
            <w:r w:rsidRPr="007A2AB2">
              <w:tab/>
            </w:r>
            <w:r w:rsidRPr="007A2AB2">
              <w:rPr>
                <w:rStyle w:val="SpecialBold"/>
              </w:rPr>
              <w:t>Provide strategic advice on compliance matters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"/>
            </w:pPr>
            <w:r w:rsidRPr="007A2AB2">
              <w:t>3.1</w:t>
            </w:r>
            <w:r w:rsidRPr="007A2AB2">
              <w:tab/>
              <w:t>Client/government information requirement</w:t>
            </w:r>
            <w:r w:rsidRPr="007A2AB2">
              <w:t>s are confirmed.</w:t>
            </w:r>
          </w:p>
          <w:p w:rsidR="00000000" w:rsidRPr="007A2AB2" w:rsidP="007A2AB2">
            <w:pPr>
              <w:pStyle w:val="List"/>
            </w:pPr>
            <w:r w:rsidRPr="007A2AB2">
              <w:t>3.2</w:t>
            </w:r>
            <w:r w:rsidRPr="007A2AB2">
              <w:tab/>
              <w:t>Advice is provided based on current information and meets the specific needs of clients in its range, depth and form of presentation.</w:t>
            </w:r>
          </w:p>
          <w:p w:rsidR="00000000" w:rsidRPr="007A2AB2" w:rsidP="007A2AB2">
            <w:pPr>
              <w:pStyle w:val="List"/>
            </w:pPr>
            <w:r w:rsidRPr="007A2AB2">
              <w:t>3.3</w:t>
            </w:r>
            <w:r w:rsidRPr="007A2AB2">
              <w:tab/>
              <w:t>Presentation standards are maintained in accordance with organisational guidelines.</w:t>
            </w:r>
          </w:p>
          <w:p w:rsidR="00000000" w:rsidRPr="007A2AB2" w:rsidP="007A2AB2">
            <w:pPr>
              <w:pStyle w:val="List"/>
            </w:pPr>
            <w:r w:rsidRPr="007A2AB2">
              <w:t>3.4</w:t>
            </w:r>
            <w:r w:rsidRPr="007A2AB2">
              <w:tab/>
              <w:t xml:space="preserve">Feedback </w:t>
            </w:r>
            <w:r w:rsidRPr="007A2AB2">
              <w:t>is obtained on how well the advice/information suits its purpose and audience, and is used to recommend further action.</w:t>
            </w:r>
          </w:p>
        </w:tc>
      </w:tr>
    </w:tbl>
    <w:p w:rsidR="00000000" w:rsidRPr="007A2AB2" w:rsidP="007A2AB2">
      <w:pPr>
        <w:pStyle w:val="BodyText"/>
      </w:pP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9" w:name="O_498994"/>
      <w:bookmarkEnd w:id="9"/>
      <w:r w:rsidRPr="007A2AB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This section describes the essential skills and knowledge and their level, required for</w:t>
            </w:r>
            <w:r w:rsidRPr="007A2AB2">
              <w:t xml:space="preserve"> this unit.</w:t>
            </w:r>
          </w:p>
        </w:tc>
      </w:tr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rPr>
                <w:rStyle w:val="SpecialBold"/>
              </w:rPr>
              <w:t>Skill requirements</w:t>
            </w:r>
          </w:p>
          <w:p w:rsidR="00000000" w:rsidRPr="007A2AB2" w:rsidP="007A2AB2">
            <w:pPr>
              <w:pStyle w:val="BodyText"/>
            </w:pPr>
            <w:r w:rsidRPr="007A2AB2">
              <w:t>Look for evidence that confirms skills in:</w:t>
            </w:r>
          </w:p>
          <w:p w:rsidR="00000000" w:rsidRPr="007A2AB2" w:rsidP="007A2AB2">
            <w:pPr>
              <w:pStyle w:val="ListBullet2"/>
            </w:pPr>
            <w:r w:rsidRPr="007A2AB2">
              <w:t>undertaking planning and information analysis</w:t>
            </w:r>
          </w:p>
          <w:p w:rsidR="00000000" w:rsidRPr="007A2AB2" w:rsidP="007A2AB2">
            <w:pPr>
              <w:pStyle w:val="ListBullet2"/>
            </w:pPr>
            <w:r w:rsidRPr="007A2AB2">
              <w:t>engaging in mentoring and coaching</w:t>
            </w:r>
          </w:p>
          <w:p w:rsidR="00000000" w:rsidRPr="007A2AB2" w:rsidP="007A2AB2">
            <w:pPr>
              <w:pStyle w:val="ListBullet2"/>
            </w:pPr>
            <w:r w:rsidRPr="007A2AB2">
              <w:t>interpreting complex written materials</w:t>
            </w:r>
          </w:p>
          <w:p w:rsidR="00000000" w:rsidRPr="007A2AB2" w:rsidP="007A2AB2">
            <w:pPr>
              <w:pStyle w:val="ListBullet2"/>
            </w:pPr>
            <w:r w:rsidRPr="007A2AB2">
              <w:t>preparing written reports requiring formal structure and language</w:t>
            </w:r>
          </w:p>
          <w:p w:rsidR="00000000" w:rsidRPr="007A2AB2" w:rsidP="007A2AB2">
            <w:pPr>
              <w:pStyle w:val="ListBullet2"/>
            </w:pPr>
            <w:r w:rsidRPr="007A2AB2">
              <w:t>providing oral advice to a range of audiences requiring adaptation of style and language</w:t>
            </w:r>
          </w:p>
          <w:p w:rsidR="00000000" w:rsidRPr="007A2AB2" w:rsidP="007A2AB2">
            <w:pPr>
              <w:pStyle w:val="ListBullet2"/>
            </w:pPr>
            <w:r w:rsidRPr="007A2AB2">
              <w:t>using active listening and questioning to confirm understanding</w:t>
            </w:r>
          </w:p>
          <w:p w:rsidR="00000000" w:rsidRPr="007A2AB2" w:rsidP="007A2AB2">
            <w:pPr>
              <w:pStyle w:val="ListBullet2"/>
            </w:pPr>
            <w:r w:rsidRPr="007A2AB2">
              <w:t>responding to diversity, including ge</w:t>
            </w:r>
            <w:r w:rsidRPr="007A2AB2">
              <w:t>nder and disability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 xml:space="preserve">applying occupational health and safety and environment legislation in the context of regulatory compliance management </w:t>
            </w:r>
          </w:p>
        </w:tc>
      </w:tr>
      <w:tr w:rsidTr="00CC3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rPr>
                <w:rStyle w:val="SpecialBold"/>
              </w:rPr>
              <w:t>Knowledge requirements</w:t>
            </w:r>
          </w:p>
          <w:p w:rsidR="00000000" w:rsidRPr="007A2AB2" w:rsidP="007A2AB2">
            <w:pPr>
              <w:pStyle w:val="BodyText"/>
            </w:pPr>
            <w:r w:rsidRPr="007A2AB2">
              <w:t>Look for evidence that confirms knowledge and understanding of:</w:t>
            </w:r>
          </w:p>
          <w:p w:rsidR="00000000" w:rsidRPr="007A2AB2" w:rsidP="007A2AB2">
            <w:pPr>
              <w:pStyle w:val="ListBullet2"/>
            </w:pPr>
            <w:r w:rsidRPr="007A2AB2">
              <w:t>enabling legislation</w:t>
            </w:r>
          </w:p>
          <w:p w:rsidR="00000000" w:rsidRPr="007A2AB2" w:rsidP="007A2AB2">
            <w:pPr>
              <w:pStyle w:val="ListBullet2"/>
            </w:pPr>
            <w:r w:rsidRPr="007A2AB2">
              <w:t xml:space="preserve">aspects of common law </w:t>
            </w:r>
          </w:p>
          <w:p w:rsidR="00000000" w:rsidRPr="007A2AB2" w:rsidP="007A2AB2">
            <w:pPr>
              <w:pStyle w:val="ListBullet2"/>
            </w:pPr>
            <w:r w:rsidRPr="007A2AB2">
              <w:t>strategic management of regulatory compliance</w:t>
            </w:r>
          </w:p>
          <w:p w:rsidR="00000000" w:rsidRPr="007A2AB2" w:rsidP="007A2AB2">
            <w:pPr>
              <w:pStyle w:val="ListBullet2"/>
            </w:pPr>
            <w:r w:rsidRPr="007A2AB2">
              <w:t>equal employment opportunity, equity and diversity principles</w:t>
            </w:r>
          </w:p>
          <w:p w:rsidR="00000000" w:rsidRPr="007A2AB2" w:rsidP="007A2AB2">
            <w:pPr>
              <w:pStyle w:val="ListBullet2"/>
            </w:pPr>
            <w:r w:rsidRPr="007A2AB2">
              <w:t>organisational reporting procedures</w:t>
            </w:r>
          </w:p>
          <w:p w:rsidR="00000000" w:rsidRPr="007A2AB2" w:rsidP="007A2AB2">
            <w:pPr>
              <w:pStyle w:val="ListBullet2"/>
            </w:pPr>
            <w:r w:rsidRPr="007A2AB2">
              <w:t>public sector policy and legislation including occupational health and safety and environ</w:t>
            </w:r>
            <w:r w:rsidRPr="007A2AB2">
              <w:t>ment relating to the management of regulatory compliance</w:t>
            </w:r>
          </w:p>
        </w:tc>
      </w:tr>
    </w:tbl>
    <w:p w:rsidR="00000000" w:rsidRPr="007A2AB2" w:rsidP="007A2AB2">
      <w:pPr>
        <w:pStyle w:val="BodyText"/>
      </w:pP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10" w:name="O_499000"/>
      <w:bookmarkEnd w:id="10"/>
      <w:r w:rsidRPr="007A2AB2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The Evidence Guide specifies the evidence required to demonstrate achievement in the unit of competency as a whole. It must be read in conjunction with the Unit desc</w:t>
            </w:r>
            <w:r w:rsidRPr="007A2AB2">
              <w:t>riptor, Performance Criteria, the Range Statement and the Assessment Guidelines for the Public Sector Training Package.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rPr>
                <w:rStyle w:val="SpecialBold"/>
              </w:rPr>
              <w:t>Units to be assessed together</w:t>
            </w:r>
            <w:r w:rsidRPr="007A2AB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Bullet2"/>
            </w:pPr>
            <w:r w:rsidRPr="007A2AB2">
              <w:rPr>
                <w:rStyle w:val="Emphasis"/>
              </w:rPr>
              <w:t>Pre</w:t>
            </w:r>
            <w:r w:rsidRPr="007A2AB2">
              <w:t>-</w:t>
            </w:r>
            <w:r w:rsidRPr="007A2AB2">
              <w:rPr>
                <w:rStyle w:val="Emphasis"/>
              </w:rPr>
              <w:t>requisite</w:t>
            </w:r>
            <w:r w:rsidRPr="007A2AB2">
              <w:t xml:space="preserve"> units that </w:t>
            </w:r>
            <w:r w:rsidRPr="007A2AB2">
              <w:rPr>
                <w:rStyle w:val="Underline"/>
              </w:rPr>
              <w:t>must</w:t>
            </w:r>
            <w:r w:rsidRPr="007A2AB2">
              <w:t xml:space="preserve"> be achieved </w:t>
            </w:r>
            <w:r w:rsidRPr="007A2AB2">
              <w:rPr>
                <w:rStyle w:val="Underline"/>
              </w:rPr>
              <w:t>prior</w:t>
            </w:r>
            <w:r w:rsidRPr="007A2AB2">
              <w:t xml:space="preserve"> to this unit:</w:t>
            </w:r>
            <w:r w:rsidRPr="007A2AB2">
              <w:rPr>
                <w:rStyle w:val="Emphasis"/>
              </w:rPr>
              <w:t>Nil</w:t>
            </w:r>
          </w:p>
          <w:p w:rsidR="00000000" w:rsidRPr="007A2AB2" w:rsidP="007A2AB2">
            <w:pPr>
              <w:pStyle w:val="ListBullet2"/>
            </w:pPr>
            <w:r w:rsidRPr="007A2AB2">
              <w:rPr>
                <w:rStyle w:val="Emphasis"/>
              </w:rPr>
              <w:t>Co</w:t>
            </w:r>
            <w:r w:rsidRPr="007A2AB2">
              <w:t>-</w:t>
            </w:r>
            <w:r w:rsidRPr="007A2AB2">
              <w:rPr>
                <w:rStyle w:val="Emphasis"/>
              </w:rPr>
              <w:t>requisite</w:t>
            </w:r>
            <w:r w:rsidRPr="007A2AB2">
              <w:t xml:space="preserve"> units that </w:t>
            </w:r>
            <w:r w:rsidRPr="007A2AB2">
              <w:rPr>
                <w:rStyle w:val="Underline"/>
              </w:rPr>
              <w:t>must</w:t>
            </w:r>
            <w:r w:rsidRPr="007A2AB2">
              <w:t xml:space="preserve"> be assessed </w:t>
            </w:r>
            <w:r w:rsidRPr="007A2AB2">
              <w:rPr>
                <w:rStyle w:val="Underline"/>
              </w:rPr>
              <w:t>with</w:t>
            </w:r>
            <w:r w:rsidRPr="007A2AB2">
              <w:t xml:space="preserve"> this unit:</w:t>
            </w:r>
            <w:r w:rsidRPr="007A2AB2">
              <w:rPr>
                <w:rStyle w:val="Emphasis"/>
              </w:rPr>
              <w:t>Nil</w:t>
            </w:r>
          </w:p>
          <w:p w:rsidR="00000000" w:rsidRPr="007A2AB2" w:rsidP="007A2AB2">
            <w:pPr>
              <w:pStyle w:val="ListBullet2"/>
            </w:pPr>
            <w:r w:rsidRPr="007A2AB2">
              <w:rPr>
                <w:rStyle w:val="Emphasis"/>
              </w:rPr>
              <w:t>Co</w:t>
            </w:r>
            <w:r w:rsidRPr="007A2AB2">
              <w:t>-</w:t>
            </w:r>
            <w:r w:rsidRPr="007A2AB2">
              <w:rPr>
                <w:rStyle w:val="Emphasis"/>
              </w:rPr>
              <w:t>assessed units</w:t>
            </w:r>
            <w:r w:rsidRPr="007A2AB2">
              <w:t xml:space="preserve"> that </w:t>
            </w:r>
            <w:r w:rsidRPr="007A2AB2">
              <w:rPr>
                <w:rStyle w:val="Underline"/>
              </w:rPr>
              <w:t>may</w:t>
            </w:r>
            <w:r w:rsidRPr="007A2AB2">
              <w:t xml:space="preserve"> be assessed with this unit to increase the efficiency and realism of the assessment process include, but are not limited to:</w:t>
            </w:r>
          </w:p>
          <w:p w:rsidR="00000000" w:rsidRPr="007A2AB2" w:rsidP="007A2AB2">
            <w:pPr>
              <w:pStyle w:val="ListBullet3"/>
            </w:pPr>
            <w:r w:rsidRPr="007A2AB2">
              <w:t xml:space="preserve">PSPETHC601B Maintain and enhance confidence in public service </w:t>
            </w:r>
          </w:p>
          <w:p w:rsidR="00000000" w:rsidRPr="007A2AB2" w:rsidP="007A2AB2">
            <w:pPr>
              <w:pStyle w:val="ListBullet3"/>
            </w:pPr>
            <w:r w:rsidRPr="007A2AB2">
              <w:t>PSPGOV601B Apply government systems</w:t>
            </w:r>
          </w:p>
          <w:p w:rsidR="00000000" w:rsidRPr="007A2AB2" w:rsidP="007A2AB2">
            <w:pPr>
              <w:pStyle w:val="ListBullet3"/>
            </w:pPr>
            <w:r w:rsidRPr="007A2AB2">
              <w:t xml:space="preserve">PSPLEGN601B Manage compliance with legislation in the public sector </w:t>
            </w:r>
          </w:p>
          <w:p w:rsidR="00000000" w:rsidRPr="007A2AB2" w:rsidP="007A2AB2">
            <w:pPr>
              <w:pStyle w:val="ListBullet3"/>
            </w:pPr>
            <w:r w:rsidRPr="007A2AB2">
              <w:t xml:space="preserve">PSPMNGT602B Manage resources </w:t>
            </w:r>
          </w:p>
          <w:p w:rsidR="00000000" w:rsidRPr="007A2AB2" w:rsidP="007A2AB2">
            <w:pPr>
              <w:pStyle w:val="ListBullet3"/>
            </w:pPr>
            <w:r w:rsidRPr="007A2AB2">
              <w:t>PSPMNGT605B Manage diversity</w:t>
            </w:r>
          </w:p>
          <w:p w:rsidR="00000000" w:rsidRPr="007A2AB2" w:rsidP="007A2AB2">
            <w:pPr>
              <w:pStyle w:val="ListBullet3"/>
            </w:pPr>
            <w:r w:rsidRPr="007A2AB2">
              <w:t>PSPMNGT608B Manage risk</w:t>
            </w:r>
          </w:p>
          <w:p w:rsidR="00000000" w:rsidRPr="007A2AB2" w:rsidP="007A2AB2">
            <w:pPr>
              <w:pStyle w:val="ListBullet3"/>
            </w:pPr>
            <w:r w:rsidRPr="007A2AB2">
              <w:t>PSPPOL603A Manage policy implementation</w:t>
            </w:r>
          </w:p>
          <w:p w:rsidR="00000000" w:rsidP="007A2AB2">
            <w:pPr>
              <w:pStyle w:val="ListBullet3"/>
              <w:rPr>
                <w:lang w:val="en-NZ"/>
              </w:rPr>
            </w:pPr>
            <w:r w:rsidRPr="007A2AB2">
              <w:t>PSPREG602B Evaluate regulato</w:t>
            </w:r>
            <w:r w:rsidRPr="007A2AB2">
              <w:t>ry compliance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t>In addition to integrated demonstration of the elements and their related performance criteria, look for evidence that confirms:</w:t>
            </w:r>
          </w:p>
          <w:p w:rsidR="00000000" w:rsidRPr="007A2AB2" w:rsidP="007A2AB2">
            <w:pPr>
              <w:pStyle w:val="ListBullet2"/>
            </w:pPr>
            <w:r w:rsidRPr="007A2AB2">
              <w:t xml:space="preserve">the knowledge requirements of this unit </w:t>
            </w:r>
          </w:p>
          <w:p w:rsidR="00000000" w:rsidRPr="007A2AB2" w:rsidP="007A2AB2">
            <w:pPr>
              <w:pStyle w:val="ListBullet2"/>
            </w:pPr>
            <w:r w:rsidRPr="007A2AB2">
              <w:t>the skill requirements of this unit</w:t>
            </w:r>
          </w:p>
          <w:p w:rsidR="00000000" w:rsidRPr="007A2AB2" w:rsidP="007A2AB2">
            <w:pPr>
              <w:pStyle w:val="ListBullet2"/>
            </w:pPr>
            <w:r w:rsidRPr="007A2AB2">
              <w:t>application of the Employability Skills as they relate to this unit (see Employability Summaries in Qualifications Framework)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>management of regulatory compliance in a range of (3 or more) contexts (or occasions over time)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SpecialBold"/>
              </w:rPr>
              <w:t>Resources required to carry out a</w:t>
            </w:r>
            <w:r w:rsidRPr="007A2AB2">
              <w:rPr>
                <w:rStyle w:val="SpecialBold"/>
              </w:rPr>
              <w:t>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t>These resources include:</w:t>
            </w:r>
          </w:p>
          <w:p w:rsidR="00000000" w:rsidRPr="007A2AB2" w:rsidP="007A2AB2">
            <w:pPr>
              <w:pStyle w:val="ListBullet2"/>
            </w:pPr>
            <w:r w:rsidRPr="007A2AB2">
              <w:t>legislation, policy, procedures and protocols relating to regulatory compliance in the public sector</w:t>
            </w:r>
          </w:p>
          <w:p w:rsidR="00000000" w:rsidRPr="007A2AB2" w:rsidP="007A2AB2">
            <w:pPr>
              <w:pStyle w:val="ListBullet2"/>
            </w:pPr>
            <w:r w:rsidRPr="007A2AB2">
              <w:t>enabling legislation</w:t>
            </w:r>
          </w:p>
          <w:p w:rsidR="00000000" w:rsidRPr="007A2AB2" w:rsidP="007A2AB2">
            <w:pPr>
              <w:pStyle w:val="ListBullet2"/>
            </w:pPr>
            <w:r w:rsidRPr="007A2AB2">
              <w:t>relevant aspects of common law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>case studies and workplace scenarios to capture the range of situat</w:t>
            </w:r>
            <w:r w:rsidRPr="007A2AB2">
              <w:t>ions likely to be encountered when managing regulatory compliance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t xml:space="preserve">Valid assessment of this unit requires: </w:t>
            </w:r>
          </w:p>
          <w:p w:rsidR="00000000" w:rsidRPr="007A2AB2" w:rsidP="007A2AB2">
            <w:pPr>
              <w:pStyle w:val="ListBullet2"/>
            </w:pPr>
            <w:r w:rsidRPr="007A2AB2">
              <w:t xml:space="preserve">a workplace environment or one that closely resembles normal work practice and replicates the range of conditions </w:t>
            </w:r>
            <w:r w:rsidRPr="007A2AB2">
              <w:t>likely to be encountered when managing regulatory compliance, including coping with difficulties, irregularities and breakdowns in routine</w:t>
            </w:r>
          </w:p>
          <w:p w:rsidR="00000000" w:rsidRPr="007A2AB2" w:rsidP="007A2AB2">
            <w:pPr>
              <w:pStyle w:val="ListBullet2"/>
            </w:pPr>
            <w:r w:rsidRPr="007A2AB2">
              <w:t>management of regulatory compliance in a range of (3 or more) contexts (or occasions over time)</w:t>
            </w:r>
          </w:p>
          <w:p w:rsidR="00000000" w:rsidRPr="007A2AB2" w:rsidP="007A2AB2">
            <w:pPr>
              <w:pStyle w:val="BodyText"/>
            </w:pPr>
            <w:r w:rsidRPr="007A2AB2">
              <w:t>Assessment methods should reflect workplace demands, such as literacy, and the needs of particular groups, such as:</w:t>
            </w:r>
          </w:p>
          <w:p w:rsidR="00000000" w:rsidRPr="007A2AB2" w:rsidP="007A2AB2">
            <w:pPr>
              <w:pStyle w:val="ListBullet2"/>
            </w:pPr>
            <w:r w:rsidRPr="007A2AB2">
              <w:t>people with disabilities</w:t>
            </w:r>
          </w:p>
          <w:p w:rsidR="00000000" w:rsidRPr="007A2AB2" w:rsidP="007A2AB2">
            <w:pPr>
              <w:pStyle w:val="ListBullet2"/>
            </w:pPr>
            <w:r w:rsidRPr="007A2AB2">
              <w:t>people from culturally and linguistically diverse backgrounds</w:t>
            </w:r>
          </w:p>
          <w:p w:rsidR="00000000" w:rsidRPr="007A2AB2" w:rsidP="007A2AB2">
            <w:pPr>
              <w:pStyle w:val="ListBullet2"/>
            </w:pPr>
            <w:r w:rsidRPr="007A2AB2">
              <w:t>Aboriginal and Torres Strait Islander people</w:t>
            </w:r>
          </w:p>
          <w:p w:rsidR="00000000" w:rsidRPr="007A2AB2" w:rsidP="007A2AB2">
            <w:pPr>
              <w:pStyle w:val="ListBullet2"/>
            </w:pPr>
            <w:r w:rsidRPr="007A2AB2">
              <w:t>women</w:t>
            </w:r>
          </w:p>
          <w:p w:rsidR="00000000" w:rsidRPr="007A2AB2" w:rsidP="007A2AB2">
            <w:pPr>
              <w:pStyle w:val="ListBullet2"/>
            </w:pPr>
            <w:r w:rsidRPr="007A2AB2">
              <w:t>y</w:t>
            </w:r>
            <w:r w:rsidRPr="007A2AB2">
              <w:t>oung people</w:t>
            </w:r>
          </w:p>
          <w:p w:rsidR="00000000" w:rsidRPr="007A2AB2" w:rsidP="007A2AB2">
            <w:pPr>
              <w:pStyle w:val="ListBullet2"/>
            </w:pPr>
            <w:r w:rsidRPr="007A2AB2">
              <w:t>older people</w:t>
            </w:r>
          </w:p>
          <w:p w:rsidR="00000000" w:rsidRPr="007A2AB2" w:rsidP="007A2AB2">
            <w:pPr>
              <w:pStyle w:val="ListBullet2"/>
            </w:pPr>
            <w:r w:rsidRPr="007A2AB2">
              <w:t>people in rural and remote locations</w:t>
            </w:r>
          </w:p>
          <w:p w:rsidR="00000000" w:rsidRPr="007A2AB2" w:rsidP="007A2AB2">
            <w:pPr>
              <w:pStyle w:val="BodyText"/>
            </w:pPr>
            <w:r w:rsidRPr="007A2AB2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7A2AB2" w:rsidP="007A2AB2">
            <w:pPr>
              <w:pStyle w:val="ListBullet2"/>
            </w:pPr>
            <w:r w:rsidRPr="007A2AB2">
              <w:t>case studies</w:t>
            </w:r>
          </w:p>
          <w:p w:rsidR="00000000" w:rsidRPr="007A2AB2" w:rsidP="007A2AB2">
            <w:pPr>
              <w:pStyle w:val="ListBullet2"/>
            </w:pPr>
            <w:r w:rsidRPr="007A2AB2">
              <w:t xml:space="preserve">portfolios </w:t>
            </w:r>
          </w:p>
          <w:p w:rsidR="00000000" w:rsidRPr="007A2AB2" w:rsidP="007A2AB2">
            <w:pPr>
              <w:pStyle w:val="ListBullet2"/>
            </w:pPr>
            <w:r w:rsidRPr="007A2AB2">
              <w:t>projects</w:t>
            </w:r>
          </w:p>
          <w:p w:rsidR="00000000" w:rsidRPr="007A2AB2" w:rsidP="007A2AB2">
            <w:pPr>
              <w:pStyle w:val="ListBullet2"/>
            </w:pPr>
            <w:r w:rsidRPr="007A2AB2">
              <w:t>questioni</w:t>
            </w:r>
            <w:r w:rsidRPr="007A2AB2">
              <w:t>ng</w:t>
            </w:r>
          </w:p>
          <w:p w:rsidR="00000000" w:rsidRPr="007A2AB2" w:rsidP="007A2AB2">
            <w:pPr>
              <w:pStyle w:val="ListBullet2"/>
            </w:pPr>
            <w:r w:rsidRPr="007A2AB2">
              <w:t>scenarios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>authenticated evidence from the workplace and/or training courses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BodyText"/>
            </w:pPr>
            <w:r w:rsidRPr="007A2AB2">
              <w:t xml:space="preserve">Evidence must be gathered over time in a range of contexts to ensure the person can achieve the unit outcome and apply the competency in </w:t>
            </w:r>
            <w:r w:rsidRPr="007A2AB2">
              <w:t>different situations or environments</w:t>
            </w:r>
          </w:p>
        </w:tc>
      </w:tr>
    </w:tbl>
    <w:p w:rsidR="00000000" w:rsidRPr="007A2AB2" w:rsidP="007A2AB2">
      <w:pPr>
        <w:pStyle w:val="BodyText"/>
      </w:pP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11" w:name="O_498997"/>
      <w:bookmarkEnd w:id="11"/>
      <w:r w:rsidRPr="007A2AB2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t>The Range Statement provides information about the context in which the unit of competency is carried out. The variables cater for differences between States and Territories and the Co</w:t>
            </w:r>
            <w:r w:rsidRPr="007A2AB2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7A2AB2">
              <w:rPr>
                <w:rStyle w:val="BoldandItalics"/>
              </w:rPr>
              <w:t>bold italics</w:t>
            </w:r>
            <w:r w:rsidRPr="007A2AB2">
              <w:t xml:space="preserve"> in the Perform</w:t>
            </w:r>
            <w:r w:rsidRPr="007A2AB2">
              <w:t>ance Criteria is explained here.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BoldandItalics"/>
              </w:rPr>
              <w:t>Complex matters</w:t>
            </w:r>
            <w:r w:rsidRPr="007A2AB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Bullet2"/>
            </w:pPr>
            <w:r w:rsidRPr="007A2AB2">
              <w:t>conflicting legislation</w:t>
            </w:r>
          </w:p>
          <w:p w:rsidR="00000000" w:rsidRPr="007A2AB2" w:rsidP="007A2AB2">
            <w:pPr>
              <w:pStyle w:val="ListBullet2"/>
            </w:pPr>
            <w:r w:rsidRPr="007A2AB2">
              <w:t>unclear or ambiguous guidelines</w:t>
            </w:r>
          </w:p>
          <w:p w:rsidR="00000000" w:rsidRPr="007A2AB2" w:rsidP="007A2AB2">
            <w:pPr>
              <w:pStyle w:val="ListBullet2"/>
            </w:pPr>
            <w:r w:rsidRPr="007A2AB2">
              <w:t>use of legal precedents</w:t>
            </w:r>
          </w:p>
          <w:p w:rsidR="00000000" w:rsidRPr="007A2AB2" w:rsidP="007A2AB2">
            <w:pPr>
              <w:pStyle w:val="ListBullet2"/>
            </w:pPr>
            <w:r w:rsidRPr="007A2AB2">
              <w:t>regional or national issues</w:t>
            </w:r>
          </w:p>
          <w:p w:rsidR="00000000" w:rsidRPr="007A2AB2" w:rsidP="007A2AB2">
            <w:pPr>
              <w:pStyle w:val="ListBullet2"/>
            </w:pPr>
            <w:r w:rsidRPr="007A2AB2">
              <w:t>issues not previously encountered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>'red herring' issues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BoldandItalics"/>
              </w:rPr>
              <w:t xml:space="preserve">Legislation </w:t>
            </w:r>
            <w:r w:rsidRPr="007A2AB2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Bullet2"/>
            </w:pPr>
            <w:r w:rsidRPr="007A2AB2">
              <w:t>enabling legislation, such as that dealing with:</w:t>
            </w:r>
          </w:p>
          <w:p w:rsidR="00000000" w:rsidRPr="007A2AB2" w:rsidP="007A2AB2">
            <w:pPr>
              <w:pStyle w:val="ListBullet2"/>
            </w:pPr>
            <w:r w:rsidRPr="007A2AB2">
              <w:t>audit, customs and excise, quarantine, fisheries, agriculture, land management, conservation, coastal management, environmental protection, environment, insurance, legal administration (sheriffs, young offen</w:t>
            </w:r>
            <w:r w:rsidRPr="007A2AB2">
              <w:t>ders), workers compensation, occupational safety and health, workplace relations</w:t>
            </w:r>
          </w:p>
          <w:p w:rsidR="00000000" w:rsidRPr="007A2AB2" w:rsidP="007A2AB2">
            <w:pPr>
              <w:pStyle w:val="ListBullet2"/>
            </w:pPr>
            <w:r w:rsidRPr="007A2AB2">
              <w:t>public sector management, financial management</w:t>
            </w:r>
          </w:p>
          <w:p w:rsidR="00000000" w:rsidRPr="007A2AB2" w:rsidP="007A2AB2">
            <w:pPr>
              <w:pStyle w:val="ListBullet2"/>
            </w:pPr>
            <w:r w:rsidRPr="007A2AB2">
              <w:t>auditor general</w:t>
            </w:r>
          </w:p>
          <w:p w:rsidR="00000000" w:rsidRPr="007A2AB2" w:rsidP="007A2AB2">
            <w:pPr>
              <w:pStyle w:val="ListBullet2"/>
            </w:pPr>
            <w:r w:rsidRPr="007A2AB2">
              <w:t>planning, construction, transport, energy, mining, resource management, communications</w:t>
            </w:r>
          </w:p>
          <w:p w:rsidR="00000000" w:rsidRPr="007A2AB2" w:rsidP="007A2AB2">
            <w:pPr>
              <w:pStyle w:val="ListBullet2"/>
            </w:pPr>
            <w:r w:rsidRPr="007A2AB2">
              <w:t>family services, employme</w:t>
            </w:r>
            <w:r w:rsidRPr="007A2AB2">
              <w:t>nt, equal employment opportunity and anti-discrimination</w:t>
            </w:r>
          </w:p>
          <w:p w:rsidR="00000000" w:rsidRPr="007A2AB2" w:rsidP="007A2AB2">
            <w:pPr>
              <w:pStyle w:val="ListBullet2"/>
            </w:pPr>
            <w:r w:rsidRPr="007A2AB2">
              <w:t>aspects of common law</w:t>
            </w:r>
          </w:p>
          <w:p w:rsidR="00000000" w:rsidRPr="007A2AB2" w:rsidP="007A2AB2">
            <w:pPr>
              <w:pStyle w:val="ListBullet2"/>
            </w:pPr>
            <w:r w:rsidRPr="007A2AB2">
              <w:t>contract law</w:t>
            </w:r>
          </w:p>
          <w:p w:rsidR="00000000" w:rsidRPr="007A2AB2" w:rsidP="007A2AB2">
            <w:pPr>
              <w:pStyle w:val="ListBullet2"/>
            </w:pPr>
            <w:r w:rsidRPr="007A2AB2">
              <w:t>administrative law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>equal employment opportunity and anti-discrimination law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BoldandItalics"/>
              </w:rPr>
              <w:t xml:space="preserve">Strategies </w:t>
            </w:r>
            <w:r w:rsidRPr="007A2AB2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Bullet2"/>
            </w:pPr>
            <w:r w:rsidRPr="007A2AB2">
              <w:t>public education campaigns</w:t>
            </w:r>
          </w:p>
          <w:p w:rsidR="00000000" w:rsidRPr="007A2AB2" w:rsidP="007A2AB2">
            <w:pPr>
              <w:pStyle w:val="ListBullet2"/>
            </w:pPr>
            <w:r w:rsidRPr="007A2AB2">
              <w:t>culture change programs</w:t>
            </w:r>
          </w:p>
          <w:p w:rsidR="00000000" w:rsidRPr="007A2AB2" w:rsidP="007A2AB2">
            <w:pPr>
              <w:pStyle w:val="ListBullet2"/>
            </w:pPr>
            <w:r w:rsidRPr="007A2AB2">
              <w:t>redesign of organisational documents</w:t>
            </w:r>
          </w:p>
          <w:p w:rsidR="00000000" w:rsidRPr="007A2AB2" w:rsidP="007A2AB2">
            <w:pPr>
              <w:pStyle w:val="ListBullet2"/>
            </w:pPr>
            <w:r w:rsidRPr="007A2AB2">
              <w:t>incentive programs</w:t>
            </w:r>
          </w:p>
          <w:p w:rsidR="00000000" w:rsidRPr="007A2AB2" w:rsidP="007A2AB2">
            <w:pPr>
              <w:pStyle w:val="ListBullet2"/>
            </w:pPr>
            <w:r w:rsidRPr="007A2AB2">
              <w:t>web site</w:t>
            </w:r>
          </w:p>
          <w:p w:rsidR="00000000" w:rsidRPr="007A2AB2" w:rsidP="007A2AB2">
            <w:pPr>
              <w:pStyle w:val="ListBullet2"/>
            </w:pPr>
            <w:r w:rsidRPr="007A2AB2">
              <w:t>help desk</w:t>
            </w:r>
          </w:p>
          <w:p w:rsidR="00000000" w:rsidRPr="007A2AB2" w:rsidP="007A2AB2">
            <w:pPr>
              <w:pStyle w:val="ListBullet2"/>
            </w:pPr>
            <w:r w:rsidRPr="007A2AB2">
              <w:t>staff training</w:t>
            </w:r>
          </w:p>
          <w:p w:rsidR="00000000" w:rsidRPr="007A2AB2" w:rsidP="007A2AB2">
            <w:pPr>
              <w:pStyle w:val="ListBullet2"/>
            </w:pPr>
            <w:r w:rsidRPr="007A2AB2">
              <w:t>policy changes</w:t>
            </w:r>
          </w:p>
          <w:p w:rsidR="00000000" w:rsidP="007A2AB2">
            <w:pPr>
              <w:pStyle w:val="ListBullet2"/>
              <w:rPr>
                <w:lang w:val="en-NZ"/>
              </w:rPr>
            </w:pPr>
            <w:r w:rsidRPr="007A2AB2">
              <w:t>awareness-raising consultations with client groups</w:t>
            </w:r>
          </w:p>
        </w:tc>
      </w:tr>
      <w:tr w:rsidTr="00CC36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AB2">
            <w:pPr>
              <w:pStyle w:val="BodyText"/>
              <w:rPr>
                <w:lang w:val="en-NZ"/>
              </w:rPr>
            </w:pPr>
            <w:r w:rsidRPr="007A2AB2">
              <w:rPr>
                <w:rStyle w:val="BoldandItalics"/>
              </w:rPr>
              <w:t xml:space="preserve">Measures </w:t>
            </w:r>
            <w:r w:rsidRPr="007A2AB2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AB2" w:rsidP="007A2AB2">
            <w:pPr>
              <w:pStyle w:val="ListBullet2"/>
            </w:pPr>
            <w:r w:rsidRPr="007A2AB2">
              <w:t xml:space="preserve">evaluation criteria against strategic goals/targets/required policy outcomes </w:t>
            </w:r>
          </w:p>
          <w:p w:rsidR="00000000" w:rsidRPr="007A2AB2" w:rsidP="007A2AB2">
            <w:pPr>
              <w:pStyle w:val="ListBullet2"/>
            </w:pPr>
            <w:r w:rsidRPr="007A2AB2">
              <w:t>quantitative, such as:</w:t>
            </w:r>
          </w:p>
          <w:p w:rsidR="00000000" w:rsidRPr="007A2AB2" w:rsidP="007A2AB2">
            <w:pPr>
              <w:pStyle w:val="ListBullet3"/>
            </w:pPr>
            <w:r w:rsidRPr="007A2AB2">
              <w:t>reported injuries/deaths, workers compensation claims and premiums (workplace safety)</w:t>
            </w:r>
          </w:p>
          <w:p w:rsidR="00000000" w:rsidRPr="007A2AB2" w:rsidP="007A2AB2">
            <w:pPr>
              <w:pStyle w:val="ListBullet3"/>
            </w:pPr>
            <w:r w:rsidRPr="007A2AB2">
              <w:t>illegal imports (customs)</w:t>
            </w:r>
          </w:p>
          <w:p w:rsidR="00000000" w:rsidRPr="007A2AB2" w:rsidP="007A2AB2">
            <w:pPr>
              <w:pStyle w:val="ListBullet3"/>
            </w:pPr>
            <w:r w:rsidRPr="007A2AB2">
              <w:t>exotic diseases (quarantine)</w:t>
            </w:r>
          </w:p>
          <w:p w:rsidR="00000000" w:rsidRPr="007A2AB2" w:rsidP="007A2AB2">
            <w:pPr>
              <w:pStyle w:val="ListBullet3"/>
            </w:pPr>
            <w:r w:rsidRPr="007A2AB2">
              <w:t>amount of land affected by salinity (land management)</w:t>
            </w:r>
          </w:p>
          <w:p w:rsidR="00000000" w:rsidRPr="007A2AB2" w:rsidP="007A2AB2">
            <w:pPr>
              <w:pStyle w:val="ListBullet2"/>
            </w:pPr>
            <w:r w:rsidRPr="007A2AB2">
              <w:t>qualitative, such as:</w:t>
            </w:r>
          </w:p>
          <w:p w:rsidR="00000000" w:rsidRPr="007A2AB2" w:rsidP="007A2AB2">
            <w:pPr>
              <w:pStyle w:val="ListBullet3"/>
            </w:pPr>
            <w:r w:rsidRPr="007A2AB2">
              <w:t>client satisfaction (relevant to all regulatory areas)</w:t>
            </w:r>
          </w:p>
        </w:tc>
      </w:tr>
    </w:tbl>
    <w:p w:rsidR="00CC3641" w:rsidP="007A2AB2">
      <w:pPr>
        <w:pStyle w:val="BodyText"/>
      </w:pPr>
    </w:p>
    <w:p w:rsidR="00CC3641" w:rsidP="007A2AB2">
      <w:pPr>
        <w:pStyle w:val="BodyText"/>
      </w:pPr>
    </w:p>
    <w:p w:rsidR="00000000" w:rsidRPr="007A2AB2" w:rsidP="007A2AB2">
      <w:pPr>
        <w:pStyle w:val="Heading1"/>
      </w:pPr>
      <w:bookmarkStart w:id="12" w:name="O_498993"/>
      <w:bookmarkEnd w:id="12"/>
      <w:r w:rsidRPr="007A2AB2">
        <w:t>Unit Sector(s)</w:t>
      </w:r>
    </w:p>
    <w:p w:rsidR="00000000" w:rsidRPr="007A2AB2" w:rsidP="007A2AB2">
      <w:pPr>
        <w:pStyle w:val="BodyText"/>
      </w:pPr>
      <w:r w:rsidRPr="007A2AB2">
        <w:t>Not applicable.</w:t>
      </w:r>
    </w:p>
    <w:p w:rsidR="00000000" w:rsidRPr="007A2AB2" w:rsidP="007A2AB2">
      <w:pPr>
        <w:pStyle w:val="AllowPageBreak"/>
      </w:pPr>
    </w:p>
    <w:p w:rsidR="00000000" w:rsidRPr="007A2AB2" w:rsidP="007A2AB2">
      <w:pPr>
        <w:pStyle w:val="Heading1"/>
      </w:pPr>
      <w:bookmarkStart w:id="13" w:name="O_499004"/>
      <w:bookmarkEnd w:id="13"/>
      <w:r w:rsidRPr="007A2AB2">
        <w:t>Competency field</w:t>
      </w:r>
    </w:p>
    <w:p w:rsidR="00000000" w:rsidRPr="007A2AB2" w:rsidP="007A2AB2">
      <w:pPr>
        <w:pStyle w:val="BodyText"/>
      </w:pPr>
      <w:r w:rsidRPr="007A2AB2">
        <w:t>Regulatory.</w:t>
      </w:r>
    </w:p>
    <w:p w:rsidR="00000000" w:rsidRPr="007A2AB2" w:rsidP="007A2AB2"/>
    <w:sectPr w:rsidSect="007A2A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3641" w:rsidP="00CC364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641" w:rsidP="007A2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3641" w:rsidP="007A2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3641" w:rsidP="007A2A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AB2" w:rsidRPr="00CC3641" w:rsidP="00CC364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641" w:rsidRPr="002D2AF8" w:rsidP="007A2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PSPREG601B Manage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CC3641" w:rsidP="007A2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8A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FC6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AB2"/>
  </w:style>
  <w:style w:type="character" w:customStyle="1" w:styleId="Heading1Char">
    <w:name w:val="Heading 1 Char"/>
    <w:basedOn w:val="DefaultParagraphFont"/>
    <w:link w:val="Heading1"/>
    <w:rsid w:val="007A2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A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AB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A2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AB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A2AB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A2AB2"/>
    <w:rPr>
      <w:b/>
      <w:spacing w:val="0"/>
    </w:rPr>
  </w:style>
  <w:style w:type="paragraph" w:styleId="ListBullet2">
    <w:name w:val="List Bullet 2"/>
    <w:basedOn w:val="List2"/>
    <w:rsid w:val="007A2AB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2AB2"/>
    <w:rPr>
      <w:i/>
    </w:rPr>
  </w:style>
  <w:style w:type="paragraph" w:customStyle="1" w:styleId="SuperHeading">
    <w:name w:val="SuperHeading"/>
    <w:basedOn w:val="Normal"/>
    <w:rsid w:val="007A2A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A2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2AB2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7A2AB2"/>
    <w:rPr>
      <w:u w:val="single"/>
    </w:rPr>
  </w:style>
  <w:style w:type="character" w:customStyle="1" w:styleId="BoldandItalics">
    <w:name w:val="Bold and Italics"/>
    <w:qFormat/>
    <w:rsid w:val="007A2A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A2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A2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A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A2AB2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2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A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AB2"/>
  </w:style>
  <w:style w:type="paragraph" w:styleId="TableofFigures">
    <w:name w:val="table of figures"/>
    <w:basedOn w:val="Normal"/>
    <w:next w:val="Normal"/>
    <w:semiHidden/>
    <w:rsid w:val="007A2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AB2"/>
    <w:pPr>
      <w:numPr>
        <w:numId w:val="11"/>
      </w:numPr>
    </w:pPr>
  </w:style>
  <w:style w:type="character" w:customStyle="1" w:styleId="WingdingSymbols">
    <w:name w:val="Wingding Symbols"/>
    <w:rsid w:val="007A2AB2"/>
    <w:rPr>
      <w:rFonts w:ascii="Wingdings" w:hAnsi="Wingdings"/>
    </w:rPr>
  </w:style>
  <w:style w:type="paragraph" w:customStyle="1" w:styleId="TableHeading">
    <w:name w:val="Table Heading"/>
    <w:basedOn w:val="HeadingBase"/>
    <w:rsid w:val="007A2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AB2"/>
    <w:rPr>
      <w:color w:val="0033CC"/>
      <w:u w:val="none"/>
    </w:rPr>
  </w:style>
  <w:style w:type="paragraph" w:customStyle="1" w:styleId="BodyTextRight">
    <w:name w:val="Body Text Right"/>
    <w:basedOn w:val="BodyText"/>
    <w:rsid w:val="007A2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A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AB2"/>
    <w:rPr>
      <w:sz w:val="32"/>
    </w:rPr>
  </w:style>
  <w:style w:type="paragraph" w:customStyle="1" w:styleId="HeadingProcedure">
    <w:name w:val="Heading Procedure"/>
    <w:basedOn w:val="HeadingBase"/>
    <w:next w:val="Normal"/>
    <w:rsid w:val="007A2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AB2"/>
    <w:pPr>
      <w:spacing w:before="60" w:after="60"/>
    </w:pPr>
  </w:style>
  <w:style w:type="paragraph" w:styleId="ListContinue">
    <w:name w:val="List Continue"/>
    <w:basedOn w:val="List"/>
    <w:rsid w:val="007A2AB2"/>
    <w:pPr>
      <w:ind w:firstLine="0"/>
    </w:pPr>
  </w:style>
  <w:style w:type="paragraph" w:customStyle="1" w:styleId="ListNote">
    <w:name w:val="List Note"/>
    <w:basedOn w:val="List"/>
    <w:rsid w:val="007A2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AB2"/>
    <w:rPr>
      <w:rFonts w:ascii="Courier New" w:hAnsi="Courier New"/>
    </w:rPr>
  </w:style>
  <w:style w:type="paragraph" w:customStyle="1" w:styleId="NoteBullet">
    <w:name w:val="Note Bullet"/>
    <w:basedOn w:val="Note"/>
    <w:rsid w:val="007A2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A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2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AB2"/>
    <w:rPr>
      <w:b/>
      <w:smallCaps/>
    </w:rPr>
  </w:style>
  <w:style w:type="paragraph" w:customStyle="1" w:styleId="TableListNumber">
    <w:name w:val="Table List Number"/>
    <w:basedOn w:val="ListNumber"/>
    <w:rsid w:val="007A2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AB2"/>
    <w:pPr>
      <w:numPr>
        <w:numId w:val="9"/>
      </w:numPr>
    </w:pPr>
  </w:style>
  <w:style w:type="paragraph" w:customStyle="1" w:styleId="ListAlpha2">
    <w:name w:val="List Alpha 2"/>
    <w:basedOn w:val="List2"/>
    <w:rsid w:val="007A2AB2"/>
    <w:pPr>
      <w:numPr>
        <w:numId w:val="8"/>
      </w:numPr>
    </w:pPr>
  </w:style>
  <w:style w:type="paragraph" w:styleId="List2">
    <w:name w:val="List 2"/>
    <w:basedOn w:val="BodyText"/>
    <w:rsid w:val="007A2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A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2AB2"/>
    <w:pPr>
      <w:numPr>
        <w:numId w:val="3"/>
      </w:numPr>
    </w:pPr>
  </w:style>
  <w:style w:type="paragraph" w:styleId="ListBullet5">
    <w:name w:val="List Bullet 5"/>
    <w:basedOn w:val="List5"/>
    <w:rsid w:val="007A2AB2"/>
    <w:pPr>
      <w:numPr>
        <w:numId w:val="4"/>
      </w:numPr>
    </w:pPr>
  </w:style>
  <w:style w:type="paragraph" w:styleId="ListContinue2">
    <w:name w:val="List Continue 2"/>
    <w:basedOn w:val="List2"/>
    <w:rsid w:val="007A2AB2"/>
    <w:pPr>
      <w:ind w:firstLine="0"/>
    </w:pPr>
  </w:style>
  <w:style w:type="paragraph" w:styleId="ListContinue3">
    <w:name w:val="List Continue 3"/>
    <w:basedOn w:val="List3"/>
    <w:rsid w:val="007A2AB2"/>
    <w:pPr>
      <w:ind w:left="1021" w:firstLine="0"/>
    </w:pPr>
  </w:style>
  <w:style w:type="paragraph" w:styleId="ListContinue4">
    <w:name w:val="List Continue 4"/>
    <w:basedOn w:val="List4"/>
    <w:rsid w:val="007A2AB2"/>
    <w:pPr>
      <w:ind w:firstLine="0"/>
    </w:pPr>
  </w:style>
  <w:style w:type="paragraph" w:styleId="ListContinue5">
    <w:name w:val="List Continue 5"/>
    <w:basedOn w:val="List5"/>
    <w:rsid w:val="007A2AB2"/>
    <w:pPr>
      <w:ind w:firstLine="0"/>
    </w:pPr>
  </w:style>
  <w:style w:type="paragraph" w:styleId="ListNumber3">
    <w:name w:val="List Number 3"/>
    <w:basedOn w:val="List3"/>
    <w:rsid w:val="007A2AB2"/>
    <w:pPr>
      <w:numPr>
        <w:numId w:val="5"/>
      </w:numPr>
    </w:pPr>
  </w:style>
  <w:style w:type="paragraph" w:styleId="ListNumber4">
    <w:name w:val="List Number 4"/>
    <w:basedOn w:val="List4"/>
    <w:rsid w:val="007A2AB2"/>
    <w:pPr>
      <w:numPr>
        <w:numId w:val="6"/>
      </w:numPr>
    </w:pPr>
  </w:style>
  <w:style w:type="paragraph" w:styleId="ListNumber5">
    <w:name w:val="List Number 5"/>
    <w:basedOn w:val="List5"/>
    <w:rsid w:val="007A2AB2"/>
    <w:pPr>
      <w:numPr>
        <w:numId w:val="7"/>
      </w:numPr>
    </w:pPr>
  </w:style>
  <w:style w:type="paragraph" w:styleId="BlockText">
    <w:name w:val="Block Text"/>
    <w:basedOn w:val="Normal"/>
    <w:rsid w:val="007A2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AB2"/>
    <w:rPr>
      <w:sz w:val="16"/>
      <w:vertAlign w:val="superscript"/>
    </w:rPr>
  </w:style>
  <w:style w:type="character" w:customStyle="1" w:styleId="Symbols">
    <w:name w:val="Symbols"/>
    <w:basedOn w:val="DefaultParagraphFont"/>
    <w:rsid w:val="007A2AB2"/>
    <w:rPr>
      <w:rFonts w:ascii="Symbol" w:hAnsi="Symbol"/>
    </w:rPr>
  </w:style>
  <w:style w:type="character" w:customStyle="1" w:styleId="MenuOptions">
    <w:name w:val="Menu Options"/>
    <w:basedOn w:val="DefaultParagraphFont"/>
    <w:rsid w:val="007A2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AB2"/>
    <w:rPr>
      <w:b/>
    </w:rPr>
  </w:style>
  <w:style w:type="character" w:customStyle="1" w:styleId="Underlined">
    <w:name w:val="Underlined"/>
    <w:basedOn w:val="DefaultParagraphFont"/>
    <w:rsid w:val="007A2AB2"/>
    <w:rPr>
      <w:u w:val="single"/>
    </w:rPr>
  </w:style>
  <w:style w:type="paragraph" w:customStyle="1" w:styleId="TableBodyTextRight">
    <w:name w:val="Table Body Text Right"/>
    <w:basedOn w:val="TableBodyText"/>
    <w:rsid w:val="007A2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AB2"/>
    <w:rPr>
      <w:sz w:val="18"/>
    </w:rPr>
  </w:style>
  <w:style w:type="paragraph" w:customStyle="1" w:styleId="BodySmallRight">
    <w:name w:val="Body Small Right"/>
    <w:basedOn w:val="BodyTextRight"/>
    <w:rsid w:val="007A2AB2"/>
    <w:rPr>
      <w:sz w:val="18"/>
      <w:szCs w:val="18"/>
    </w:rPr>
  </w:style>
  <w:style w:type="paragraph" w:customStyle="1" w:styleId="MarginEdition">
    <w:name w:val="Margin Edition"/>
    <w:basedOn w:val="MarginNote"/>
    <w:rsid w:val="007A2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AB2"/>
    <w:rPr>
      <w:sz w:val="2"/>
      <w:szCs w:val="2"/>
    </w:rPr>
  </w:style>
  <w:style w:type="character" w:customStyle="1" w:styleId="Small">
    <w:name w:val="Small"/>
    <w:basedOn w:val="DefaultParagraphFont"/>
    <w:rsid w:val="007A2AB2"/>
    <w:rPr>
      <w:sz w:val="16"/>
    </w:rPr>
  </w:style>
  <w:style w:type="paragraph" w:customStyle="1" w:styleId="WideTable">
    <w:name w:val="Wide Table"/>
    <w:basedOn w:val="Normal"/>
    <w:rsid w:val="007A2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AB2"/>
  </w:style>
  <w:style w:type="paragraph" w:styleId="Quote">
    <w:name w:val="Quote"/>
    <w:basedOn w:val="Heading1"/>
    <w:link w:val="QuoteChar"/>
    <w:qFormat/>
    <w:rsid w:val="007A2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AB2"/>
    <w:pPr>
      <w:pageBreakBefore/>
    </w:pPr>
  </w:style>
  <w:style w:type="paragraph" w:customStyle="1" w:styleId="Border">
    <w:name w:val="Border"/>
    <w:basedOn w:val="Normal"/>
    <w:qFormat/>
    <w:rsid w:val="007A2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AB2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7A2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A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A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1253</Words>
  <Characters>8145</Characters>
  <Application>Microsoft Office Word</Application>
  <DocSecurity>0</DocSecurity>
  <Lines>266</Lines>
  <Paragraphs>159</Paragraphs>
  <ScaleCrop>false</ScaleCrop>
  <Company>Author-it Software Corporation Ltd.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PSPREG601B Manage regulatory compliance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2012-11-01T17:58:00Z</dcterms:created>
  <dcterms:modified xsi:type="dcterms:W3CDTF">2012-11-01T17:58:00Z</dcterms:modified>
</cp:coreProperties>
</file>