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1F3C" w:rsidP="00001F3C">
      <w:pPr>
        <w:pStyle w:val="Title"/>
      </w:pPr>
      <w:bookmarkStart w:id="0" w:name="_GoBack"/>
      <w:bookmarkEnd w:id="0"/>
      <w:r>
        <w:fldChar w:fldCharType="begin"/>
      </w:r>
      <w:r>
        <w:instrText xml:space="preserve"> TITLE   \* MERGEFORMAT </w:instrText>
      </w:r>
      <w:r>
        <w:fldChar w:fldCharType="separate"/>
      </w:r>
      <w:r>
        <w:t>PSPREG501B Conduct prosecutions</w:t>
      </w:r>
      <w:r>
        <w:fldChar w:fldCharType="end"/>
      </w:r>
    </w:p>
    <w:p w:rsidR="00001F3C" w:rsidP="00001F3C">
      <w:pPr>
        <w:pStyle w:val="Version"/>
        <w:sectPr w:rsidSect="00E451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E45194" w:rsidP="00E45194">
      <w:pPr>
        <w:pStyle w:val="SuperHeading"/>
      </w:pPr>
      <w:r w:rsidRPr="00E45194">
        <w:t>PSPREG501B Conduct prosecutions</w:t>
      </w:r>
    </w:p>
    <w:p w:rsidR="00000000" w:rsidRPr="00E45194" w:rsidP="00E45194">
      <w:pPr>
        <w:pStyle w:val="SuperHeading"/>
      </w:pPr>
    </w:p>
    <w:p w:rsidR="00000000" w:rsidRPr="00E45194" w:rsidP="00E45194">
      <w:pPr>
        <w:pStyle w:val="Heading1"/>
      </w:pPr>
      <w:bookmarkStart w:id="1" w:name="O_498844"/>
      <w:bookmarkEnd w:id="1"/>
      <w:r w:rsidRPr="00E45194">
        <w:t>Modification History</w:t>
      </w:r>
    </w:p>
    <w:tbl>
      <w:tblPr>
        <w:tblW w:w="0" w:type="auto"/>
        <w:tblLayout w:type="fixed"/>
        <w:tblCellMar>
          <w:left w:w="62" w:type="dxa"/>
          <w:right w:w="62" w:type="dxa"/>
        </w:tblCellMar>
        <w:tblLook w:val="0000"/>
      </w:tblPr>
      <w:tblGrid>
        <w:gridCol w:w="3052"/>
        <w:gridCol w:w="3052"/>
        <w:gridCol w:w="3052"/>
      </w:tblGrid>
      <w:tr w:rsidTr="00001F3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194" w:rsidP="00E45194">
            <w:pPr>
              <w:pStyle w:val="BodyText"/>
            </w:pPr>
            <w:r w:rsidRPr="00E45194">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194" w:rsidP="00E45194">
            <w:pPr>
              <w:pStyle w:val="BodyText"/>
            </w:pPr>
            <w:r w:rsidRPr="00E45194">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194">
            <w:pPr>
              <w:pStyle w:val="BodyText"/>
              <w:rPr>
                <w:lang w:val="en-NZ"/>
              </w:rPr>
            </w:pPr>
            <w:r w:rsidRPr="00E45194">
              <w:rPr>
                <w:rStyle w:val="SpecialBold"/>
              </w:rPr>
              <w:t>Comments</w:t>
            </w:r>
          </w:p>
        </w:tc>
      </w:tr>
      <w:tr w:rsidTr="00001F3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194">
            <w:pPr>
              <w:pStyle w:val="BodyText"/>
              <w:rPr>
                <w:lang w:val="en-NZ"/>
              </w:rPr>
            </w:pPr>
            <w:r w:rsidRPr="00E45194">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194">
            <w:pPr>
              <w:pStyle w:val="BodyText"/>
              <w:rPr>
                <w:lang w:val="en-NZ"/>
              </w:rPr>
            </w:pPr>
            <w:r w:rsidRPr="00E45194">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194">
            <w:pPr>
              <w:pStyle w:val="BodyText"/>
              <w:rPr>
                <w:lang w:val="en-NZ"/>
              </w:rPr>
            </w:pPr>
            <w:r w:rsidRPr="00E45194">
              <w:t xml:space="preserve">Unit descriptor, application of unit, evidence guide and </w:t>
            </w:r>
            <w:r w:rsidRPr="00E45194">
              <w:t xml:space="preserve">range statement edited. </w:t>
            </w:r>
          </w:p>
        </w:tc>
      </w:tr>
      <w:tr w:rsidTr="00001F3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194">
            <w:pPr>
              <w:pStyle w:val="BodyText"/>
              <w:rPr>
                <w:lang w:val="en-NZ"/>
              </w:rPr>
            </w:pPr>
            <w:r w:rsidRPr="00E45194">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194">
            <w:pPr>
              <w:pStyle w:val="BodyText"/>
              <w:rPr>
                <w:lang w:val="en-NZ"/>
              </w:rPr>
            </w:pPr>
            <w:r w:rsidRPr="00E45194">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194">
            <w:pPr>
              <w:pStyle w:val="BodyText"/>
              <w:rPr>
                <w:lang w:val="en-NZ"/>
              </w:rPr>
            </w:pPr>
            <w:r w:rsidRPr="00E45194">
              <w:t>Layout adjusted. No changes to content.</w:t>
            </w:r>
          </w:p>
        </w:tc>
      </w:tr>
      <w:tr w:rsidTr="00001F3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194">
            <w:pPr>
              <w:pStyle w:val="BodyText"/>
              <w:rPr>
                <w:lang w:val="en-NZ"/>
              </w:rPr>
            </w:pPr>
            <w:r w:rsidRPr="00E45194">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5194">
            <w:pPr>
              <w:pStyle w:val="BodyText"/>
              <w:rPr>
                <w:lang w:val="en-NZ"/>
              </w:rPr>
            </w:pPr>
            <w:r w:rsidRPr="00E45194">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5194" w:rsidP="00E45194">
            <w:pPr>
              <w:pStyle w:val="BodyText"/>
            </w:pPr>
            <w:r w:rsidRPr="00E45194">
              <w:t>Primary release.</w:t>
            </w:r>
          </w:p>
        </w:tc>
      </w:tr>
    </w:tbl>
    <w:p w:rsidR="00001F3C" w:rsidP="00E45194">
      <w:pPr>
        <w:pStyle w:val="BodyText"/>
      </w:pPr>
    </w:p>
    <w:p w:rsidR="00001F3C" w:rsidP="00E45194">
      <w:pPr>
        <w:pStyle w:val="BodyText"/>
      </w:pPr>
    </w:p>
    <w:p w:rsidR="00000000" w:rsidRPr="00E45194" w:rsidP="00E45194">
      <w:pPr>
        <w:pStyle w:val="Heading1"/>
      </w:pPr>
      <w:bookmarkStart w:id="2" w:name="O_498845"/>
      <w:bookmarkEnd w:id="2"/>
      <w:r w:rsidRPr="00E45194">
        <w:t>Unit Descriptor</w:t>
      </w:r>
    </w:p>
    <w:p w:rsidR="00000000" w:rsidRPr="00E45194" w:rsidP="00E45194">
      <w:pPr>
        <w:pStyle w:val="BodyText"/>
      </w:pPr>
      <w:r w:rsidRPr="00E45194">
        <w:t>This unit describes the performance outcomes, skills and knowledge required to review a brief of evidence and prosecute offences while acting as the prosecutor in court.</w:t>
      </w:r>
    </w:p>
    <w:p w:rsidR="00000000" w:rsidRPr="00E45194" w:rsidP="00E45194">
      <w:pPr>
        <w:pStyle w:val="BodyText"/>
      </w:pPr>
      <w:r w:rsidRPr="00E45194">
        <w:t xml:space="preserve">No licensing, legislative, regulatory or certification requirements are applicable to </w:t>
      </w:r>
      <w:r w:rsidRPr="00E45194">
        <w:t>this unit at the time of publication.</w:t>
      </w:r>
    </w:p>
    <w:p w:rsidR="00000000" w:rsidRPr="00E45194" w:rsidP="00E45194">
      <w:pPr>
        <w:pStyle w:val="AllowPageBreak"/>
      </w:pPr>
    </w:p>
    <w:p w:rsidR="00000000" w:rsidRPr="00E45194" w:rsidP="00E45194">
      <w:pPr>
        <w:pStyle w:val="Heading1"/>
      </w:pPr>
      <w:bookmarkStart w:id="3" w:name="O_498857"/>
      <w:bookmarkEnd w:id="3"/>
      <w:r w:rsidRPr="00E45194">
        <w:t>Application of the Unit</w:t>
      </w:r>
    </w:p>
    <w:p w:rsidR="00000000" w:rsidRPr="00E45194" w:rsidP="00E45194">
      <w:pPr>
        <w:pStyle w:val="BodyText"/>
      </w:pPr>
      <w:r w:rsidRPr="00E45194">
        <w:t>This unit applies to individuals in a range of non-police regulatory work environments who prosecute offenders under the enabling legislation.</w:t>
      </w:r>
    </w:p>
    <w:p w:rsidR="00000000" w:rsidRPr="00E45194" w:rsidP="00E45194">
      <w:pPr>
        <w:pStyle w:val="AllowPageBreak"/>
      </w:pPr>
    </w:p>
    <w:p w:rsidR="00000000" w:rsidRPr="00E45194" w:rsidP="00E45194">
      <w:pPr>
        <w:pStyle w:val="Heading1"/>
      </w:pPr>
      <w:bookmarkStart w:id="4" w:name="O_498849"/>
      <w:bookmarkEnd w:id="4"/>
      <w:r w:rsidRPr="00E45194">
        <w:t>Lic</w:t>
      </w:r>
      <w:r w:rsidRPr="00E45194">
        <w:t>ensing/Regulatory Information</w:t>
      </w:r>
    </w:p>
    <w:p w:rsidR="00000000" w:rsidRPr="00E45194" w:rsidP="00E45194">
      <w:pPr>
        <w:pStyle w:val="BodyText"/>
      </w:pPr>
      <w:r w:rsidRPr="00E45194">
        <w:t>Not applicable.</w:t>
      </w:r>
    </w:p>
    <w:p w:rsidR="00000000" w:rsidRPr="00E45194" w:rsidP="00E45194">
      <w:pPr>
        <w:pStyle w:val="AllowPageBreak"/>
      </w:pPr>
    </w:p>
    <w:p w:rsidR="00000000" w:rsidRPr="00E45194" w:rsidP="00E45194">
      <w:pPr>
        <w:pStyle w:val="Heading1"/>
      </w:pPr>
      <w:bookmarkStart w:id="5" w:name="O_498850"/>
      <w:bookmarkEnd w:id="5"/>
      <w:r w:rsidRPr="00E45194">
        <w:t>Pre-Requisites</w:t>
      </w:r>
    </w:p>
    <w:p w:rsidR="00000000" w:rsidRPr="00E45194" w:rsidP="00E45194">
      <w:pPr>
        <w:pStyle w:val="BodyText"/>
      </w:pPr>
      <w:r w:rsidRPr="00E45194">
        <w:t>Not applicable.</w:t>
      </w:r>
    </w:p>
    <w:p w:rsidR="00000000" w:rsidRPr="00E45194" w:rsidP="00E45194">
      <w:pPr>
        <w:pStyle w:val="AllowPageBreak"/>
      </w:pPr>
    </w:p>
    <w:p w:rsidR="00000000" w:rsidRPr="00E45194" w:rsidP="00E45194">
      <w:pPr>
        <w:pStyle w:val="Heading1"/>
      </w:pPr>
      <w:bookmarkStart w:id="6" w:name="O_498853"/>
      <w:bookmarkEnd w:id="6"/>
      <w:r w:rsidRPr="00E45194">
        <w:t>Employability Skills Information</w:t>
      </w:r>
    </w:p>
    <w:p w:rsidR="00000000" w:rsidRPr="00E45194" w:rsidP="00E45194">
      <w:pPr>
        <w:pStyle w:val="BodyText"/>
      </w:pPr>
      <w:r w:rsidRPr="00E45194">
        <w:t>This unit contains employability skills.</w:t>
      </w:r>
    </w:p>
    <w:p w:rsidR="00000000" w:rsidRPr="00E45194" w:rsidP="00E45194">
      <w:pPr>
        <w:pStyle w:val="AllowPageBreak"/>
      </w:pPr>
    </w:p>
    <w:p w:rsidR="00000000" w:rsidRPr="00E45194" w:rsidP="00E45194">
      <w:pPr>
        <w:pStyle w:val="Heading1"/>
      </w:pPr>
      <w:bookmarkStart w:id="7" w:name="O_498854"/>
      <w:bookmarkEnd w:id="7"/>
      <w:r w:rsidRPr="00E45194">
        <w:t>Elements and Performance Criteria Pre-Content</w:t>
      </w:r>
    </w:p>
    <w:tbl>
      <w:tblPr>
        <w:tblW w:w="9322" w:type="dxa"/>
        <w:tblLayout w:type="fixed"/>
        <w:tblCellMar>
          <w:left w:w="62" w:type="dxa"/>
          <w:right w:w="62" w:type="dxa"/>
        </w:tblCellMar>
        <w:tblLook w:val="0000"/>
      </w:tblPr>
      <w:tblGrid>
        <w:gridCol w:w="2660"/>
        <w:gridCol w:w="6662"/>
      </w:tblGrid>
      <w:tr w:rsidTr="00001F3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45194">
            <w:pPr>
              <w:pStyle w:val="BodyText"/>
              <w:rPr>
                <w:lang w:val="en-NZ"/>
              </w:rPr>
            </w:pPr>
            <w:r w:rsidRPr="00E45194">
              <w:t>Elements</w:t>
            </w:r>
            <w:r w:rsidRPr="00E45194">
              <w:t xml:space="preserve">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E45194" w:rsidP="00E45194">
            <w:pPr>
              <w:pStyle w:val="BodyText"/>
            </w:pPr>
            <w:r w:rsidRPr="00E45194">
              <w:t xml:space="preserve">Together, performance criteria specify the requirements for competent performance. Text in </w:t>
            </w:r>
            <w:r w:rsidRPr="00E45194">
              <w:rPr>
                <w:rStyle w:val="BoldandItalics"/>
              </w:rPr>
              <w:t xml:space="preserve">bold italics </w:t>
            </w:r>
            <w:r w:rsidRPr="00E45194">
              <w:t xml:space="preserve"> is explained in the Range Statement following.</w:t>
            </w:r>
          </w:p>
        </w:tc>
      </w:tr>
    </w:tbl>
    <w:p w:rsidR="00000000" w:rsidRPr="00E45194" w:rsidP="00E45194">
      <w:pPr>
        <w:pStyle w:val="BodyText"/>
      </w:pPr>
    </w:p>
    <w:p w:rsidR="00000000" w:rsidRPr="00E45194" w:rsidP="00E45194">
      <w:pPr>
        <w:pStyle w:val="AllowPageBreak"/>
      </w:pPr>
    </w:p>
    <w:p w:rsidR="00000000" w:rsidRPr="00E45194" w:rsidP="00E45194">
      <w:pPr>
        <w:pStyle w:val="Heading1"/>
      </w:pPr>
      <w:bookmarkStart w:id="8" w:name="O_498855"/>
      <w:bookmarkEnd w:id="8"/>
      <w:r w:rsidRPr="00E45194">
        <w:t>Elements and Performance Criteria</w:t>
      </w:r>
    </w:p>
    <w:tbl>
      <w:tblPr>
        <w:tblW w:w="9322" w:type="dxa"/>
        <w:tblLayout w:type="fixed"/>
        <w:tblCellMar>
          <w:left w:w="62" w:type="dxa"/>
          <w:right w:w="62" w:type="dxa"/>
        </w:tblCellMar>
        <w:tblLook w:val="0000"/>
      </w:tblPr>
      <w:tblGrid>
        <w:gridCol w:w="2660"/>
        <w:gridCol w:w="6662"/>
      </w:tblGrid>
      <w:tr w:rsidTr="00001F3C">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E45194" w:rsidP="00E45194">
            <w:pPr>
              <w:pStyle w:val="BodyText"/>
            </w:pPr>
            <w:r w:rsidRPr="00E4519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45194">
            <w:pPr>
              <w:pStyle w:val="BodyText"/>
              <w:rPr>
                <w:lang w:val="en-NZ"/>
              </w:rPr>
            </w:pPr>
            <w:r w:rsidRPr="00E45194">
              <w:rPr>
                <w:rStyle w:val="SpecialBold"/>
              </w:rPr>
              <w:t>PERFORMANCE CRITERIA</w:t>
            </w:r>
          </w:p>
        </w:tc>
      </w:tr>
      <w:tr w:rsidTr="00001F3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45194">
            <w:pPr>
              <w:pStyle w:val="List"/>
              <w:rPr>
                <w:lang w:val="en-NZ"/>
              </w:rPr>
            </w:pPr>
            <w:r w:rsidRPr="00E45194">
              <w:rPr>
                <w:rStyle w:val="SpecialBold"/>
              </w:rPr>
              <w:t>1</w:t>
            </w:r>
            <w:r w:rsidRPr="00E45194">
              <w:t>.</w:t>
            </w:r>
            <w:r w:rsidRPr="00E45194">
              <w:tab/>
            </w:r>
            <w:r w:rsidRPr="00E45194">
              <w:rPr>
                <w:rStyle w:val="SpecialBold"/>
              </w:rPr>
              <w:t>Prepare for prosecution</w:t>
            </w:r>
          </w:p>
        </w:tc>
        <w:tc>
          <w:tcPr>
            <w:tcW w:w="6662" w:type="dxa"/>
            <w:tcBorders>
              <w:top w:val="nil"/>
              <w:left w:val="nil"/>
              <w:bottom w:val="nil"/>
              <w:right w:val="nil"/>
            </w:tcBorders>
            <w:tcMar>
              <w:top w:w="0" w:type="dxa"/>
              <w:left w:w="62" w:type="dxa"/>
              <w:bottom w:w="0" w:type="dxa"/>
              <w:right w:w="62" w:type="dxa"/>
            </w:tcMar>
          </w:tcPr>
          <w:p w:rsidR="00000000" w:rsidRPr="00E45194" w:rsidP="00E45194">
            <w:pPr>
              <w:pStyle w:val="List"/>
            </w:pPr>
            <w:r w:rsidRPr="00E45194">
              <w:t>1.1</w:t>
            </w:r>
            <w:r w:rsidRPr="00E45194">
              <w:tab/>
            </w:r>
            <w:r w:rsidRPr="00E45194">
              <w:rPr>
                <w:rStyle w:val="BoldandItalics"/>
              </w:rPr>
              <w:t xml:space="preserve">Brief </w:t>
            </w:r>
            <w:r w:rsidRPr="00E45194">
              <w:t xml:space="preserve">of evidence is reviewed and clarified with the apprehending officer, where necessary, prior to court </w:t>
            </w:r>
            <w:r w:rsidRPr="00E45194">
              <w:rPr>
                <w:rStyle w:val="BoldandItalics"/>
              </w:rPr>
              <w:t>proceedings</w:t>
            </w:r>
            <w:r w:rsidRPr="00E45194">
              <w:rPr>
                <w:rStyle w:val="Emphasis"/>
              </w:rPr>
              <w:t>.</w:t>
            </w:r>
          </w:p>
          <w:p w:rsidR="00000000" w:rsidRPr="00E45194" w:rsidP="00E45194">
            <w:pPr>
              <w:pStyle w:val="List"/>
            </w:pPr>
            <w:r w:rsidRPr="00E45194">
              <w:t>1.2</w:t>
            </w:r>
            <w:r w:rsidRPr="00E45194">
              <w:tab/>
            </w:r>
            <w:r w:rsidRPr="00E45194">
              <w:t>Precedents are identified as relevant.</w:t>
            </w:r>
          </w:p>
          <w:p w:rsidR="00000000" w:rsidRPr="00E45194" w:rsidP="00E45194">
            <w:pPr>
              <w:pStyle w:val="List"/>
            </w:pPr>
            <w:r w:rsidRPr="00E45194">
              <w:t>1.3</w:t>
            </w:r>
            <w:r w:rsidRPr="00E45194">
              <w:tab/>
              <w:t>Questions are prepared to address the facts of the brief.</w:t>
            </w:r>
          </w:p>
          <w:p w:rsidR="00000000" w:rsidRPr="00E45194" w:rsidP="00E45194">
            <w:pPr>
              <w:pStyle w:val="List"/>
            </w:pPr>
            <w:r w:rsidRPr="00E45194">
              <w:t>1.4</w:t>
            </w:r>
            <w:r w:rsidRPr="00E45194">
              <w:tab/>
              <w:t>Personnel involved are fully briefed in accordance with legal and organisational requirements.</w:t>
            </w:r>
          </w:p>
          <w:p w:rsidR="00000000" w:rsidP="00E45194">
            <w:pPr>
              <w:pStyle w:val="List"/>
              <w:rPr>
                <w:lang w:val="en-NZ"/>
              </w:rPr>
            </w:pPr>
            <w:r w:rsidRPr="00E45194">
              <w:t>1.5</w:t>
            </w:r>
            <w:r w:rsidRPr="00E45194">
              <w:tab/>
              <w:t>Parameters for negotiating out of court are agreed p</w:t>
            </w:r>
            <w:r w:rsidRPr="00E45194">
              <w:t>rior to prosecution with authorised organisational personnel.</w:t>
            </w:r>
          </w:p>
        </w:tc>
      </w:tr>
      <w:tr w:rsidTr="00001F3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45194">
            <w:pPr>
              <w:pStyle w:val="List"/>
              <w:rPr>
                <w:lang w:val="en-NZ"/>
              </w:rPr>
            </w:pPr>
            <w:r w:rsidRPr="00E45194">
              <w:rPr>
                <w:rStyle w:val="SpecialBold"/>
              </w:rPr>
              <w:t>2</w:t>
            </w:r>
            <w:r w:rsidRPr="00E45194">
              <w:t>.</w:t>
            </w:r>
            <w:r w:rsidRPr="00E45194">
              <w:tab/>
            </w:r>
            <w:r w:rsidRPr="00E45194">
              <w:rPr>
                <w:rStyle w:val="SpecialBold"/>
              </w:rPr>
              <w:t>Conduct a prosecution</w:t>
            </w:r>
          </w:p>
        </w:tc>
        <w:tc>
          <w:tcPr>
            <w:tcW w:w="6662" w:type="dxa"/>
            <w:tcBorders>
              <w:top w:val="nil"/>
              <w:left w:val="nil"/>
              <w:bottom w:val="nil"/>
              <w:right w:val="nil"/>
            </w:tcBorders>
            <w:tcMar>
              <w:top w:w="0" w:type="dxa"/>
              <w:left w:w="62" w:type="dxa"/>
              <w:bottom w:w="0" w:type="dxa"/>
              <w:right w:w="62" w:type="dxa"/>
            </w:tcMar>
          </w:tcPr>
          <w:p w:rsidR="00000000" w:rsidRPr="00E45194" w:rsidP="00E45194">
            <w:pPr>
              <w:pStyle w:val="List"/>
            </w:pPr>
            <w:r w:rsidRPr="00E45194">
              <w:t>2.1</w:t>
            </w:r>
            <w:r w:rsidRPr="00E45194">
              <w:rPr>
                <w:rStyle w:val="BoldandItalics"/>
              </w:rPr>
              <w:tab/>
              <w:t xml:space="preserve">Evidentiary procedures </w:t>
            </w:r>
            <w:r w:rsidRPr="00E45194">
              <w:t xml:space="preserve">are followed and prosecution is conducted according to court processes, </w:t>
            </w:r>
            <w:r w:rsidRPr="00E45194">
              <w:rPr>
                <w:rStyle w:val="BoldandItalics"/>
              </w:rPr>
              <w:t xml:space="preserve">protocols </w:t>
            </w:r>
            <w:r w:rsidRPr="00E45194">
              <w:t>and organisational instructions.</w:t>
            </w:r>
          </w:p>
          <w:p w:rsidR="00000000" w:rsidRPr="00E45194" w:rsidP="00E45194">
            <w:pPr>
              <w:pStyle w:val="List"/>
            </w:pPr>
            <w:r w:rsidRPr="00E45194">
              <w:t>2.2</w:t>
            </w:r>
            <w:r w:rsidRPr="00E45194">
              <w:tab/>
              <w:t xml:space="preserve">Personal presentation </w:t>
            </w:r>
            <w:r w:rsidRPr="00E45194">
              <w:t>is maintained in accordance with organisational requirements.</w:t>
            </w:r>
          </w:p>
          <w:p w:rsidR="00000000" w:rsidRPr="00E45194" w:rsidP="00E45194">
            <w:pPr>
              <w:pStyle w:val="List"/>
            </w:pPr>
            <w:r w:rsidRPr="00E45194">
              <w:t>2.3</w:t>
            </w:r>
            <w:r w:rsidRPr="00E45194">
              <w:tab/>
              <w:t>File endorsements are completed in accordance with legislative and organisational requirements.</w:t>
            </w:r>
          </w:p>
          <w:p w:rsidR="00000000" w:rsidRPr="00E45194" w:rsidP="00E45194">
            <w:pPr>
              <w:pStyle w:val="List"/>
            </w:pPr>
            <w:r w:rsidRPr="00E45194">
              <w:t>2.4</w:t>
            </w:r>
            <w:r w:rsidRPr="00E45194">
              <w:tab/>
            </w:r>
            <w:r w:rsidRPr="00E45194">
              <w:rPr>
                <w:rStyle w:val="BoldandItalics"/>
              </w:rPr>
              <w:t xml:space="preserve">Matters </w:t>
            </w:r>
            <w:r w:rsidRPr="00E45194">
              <w:t xml:space="preserve">arising from proceedings are followed up/completed in accordance with legislative </w:t>
            </w:r>
            <w:r w:rsidRPr="00E45194">
              <w:t>and organisational requirements.</w:t>
            </w:r>
          </w:p>
          <w:p w:rsidR="00000000" w:rsidRPr="00E45194" w:rsidP="00E45194">
            <w:pPr>
              <w:pStyle w:val="List"/>
            </w:pPr>
            <w:r w:rsidRPr="00E45194">
              <w:t>2.5</w:t>
            </w:r>
            <w:r w:rsidRPr="00E45194">
              <w:tab/>
              <w:t xml:space="preserve">The outcome of the prosecution is reviewed to provide timely input/recommendations for handling future </w:t>
            </w:r>
            <w:r w:rsidRPr="00E45194">
              <w:rPr>
                <w:rStyle w:val="BoldandItalics"/>
              </w:rPr>
              <w:t>cases</w:t>
            </w:r>
            <w:r w:rsidRPr="00E45194">
              <w:rPr>
                <w:rStyle w:val="Emphasis"/>
              </w:rPr>
              <w:t>.</w:t>
            </w:r>
          </w:p>
        </w:tc>
      </w:tr>
    </w:tbl>
    <w:p w:rsidR="00000000" w:rsidRPr="00E45194" w:rsidP="00E45194">
      <w:pPr>
        <w:pStyle w:val="BodyText"/>
      </w:pPr>
    </w:p>
    <w:p w:rsidR="00000000" w:rsidRPr="00E45194" w:rsidP="00E45194">
      <w:pPr>
        <w:pStyle w:val="AllowPageBreak"/>
      </w:pPr>
    </w:p>
    <w:p w:rsidR="00000000" w:rsidRPr="00E45194" w:rsidP="00E45194">
      <w:pPr>
        <w:pStyle w:val="Heading1"/>
      </w:pPr>
      <w:bookmarkStart w:id="9" w:name="O_498851"/>
      <w:bookmarkEnd w:id="9"/>
      <w:r w:rsidRPr="00E45194">
        <w:t>Required Skills and Knowledge</w:t>
      </w:r>
    </w:p>
    <w:tbl>
      <w:tblPr>
        <w:tblW w:w="0" w:type="auto"/>
        <w:tblLayout w:type="fixed"/>
        <w:tblCellMar>
          <w:left w:w="62" w:type="dxa"/>
          <w:right w:w="62" w:type="dxa"/>
        </w:tblCellMar>
        <w:tblLook w:val="0000"/>
      </w:tblPr>
      <w:tblGrid>
        <w:gridCol w:w="8553"/>
      </w:tblGrid>
      <w:tr w:rsidTr="00001F3C">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E45194">
            <w:pPr>
              <w:pStyle w:val="BodyText"/>
              <w:rPr>
                <w:lang w:val="en-NZ"/>
              </w:rPr>
            </w:pPr>
            <w:r w:rsidRPr="00E45194">
              <w:t>This section describes the essential skills and knowledge and their level, required for this unit.</w:t>
            </w:r>
          </w:p>
        </w:tc>
      </w:tr>
      <w:tr w:rsidTr="00001F3C">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E45194" w:rsidP="00E45194">
            <w:pPr>
              <w:pStyle w:val="BodyText"/>
            </w:pPr>
            <w:r w:rsidRPr="00E45194">
              <w:rPr>
                <w:rStyle w:val="SpecialBold"/>
              </w:rPr>
              <w:t>Skill requirements</w:t>
            </w:r>
          </w:p>
          <w:p w:rsidR="00000000" w:rsidRPr="00E45194" w:rsidP="00E45194">
            <w:pPr>
              <w:pStyle w:val="BodyText"/>
            </w:pPr>
            <w:r w:rsidRPr="00E45194">
              <w:t>Look for evidence that confirms skills in:</w:t>
            </w:r>
          </w:p>
          <w:p w:rsidR="00000000" w:rsidRPr="00E45194" w:rsidP="00E45194">
            <w:pPr>
              <w:pStyle w:val="ListBullet2"/>
            </w:pPr>
            <w:r w:rsidRPr="00E45194">
              <w:t>making presentations including participating in complex oral exchanges in briefing sessions a</w:t>
            </w:r>
            <w:r w:rsidRPr="00E45194">
              <w:t>nd in court</w:t>
            </w:r>
          </w:p>
          <w:p w:rsidR="00000000" w:rsidRPr="00E45194" w:rsidP="00E45194">
            <w:pPr>
              <w:pStyle w:val="ListBullet2"/>
            </w:pPr>
            <w:r w:rsidRPr="00E45194">
              <w:t>reading complex, lengthy documents to ascertain key elements</w:t>
            </w:r>
          </w:p>
          <w:p w:rsidR="00000000" w:rsidRPr="00E45194" w:rsidP="00E45194">
            <w:pPr>
              <w:pStyle w:val="ListBullet2"/>
            </w:pPr>
            <w:r w:rsidRPr="00E45194">
              <w:t>undertaking research to identify precedents</w:t>
            </w:r>
          </w:p>
          <w:p w:rsidR="00000000" w:rsidRPr="00E45194" w:rsidP="00E45194">
            <w:pPr>
              <w:pStyle w:val="ListBullet2"/>
            </w:pPr>
            <w:r w:rsidRPr="00E45194">
              <w:t>compiling and putting questions</w:t>
            </w:r>
          </w:p>
          <w:p w:rsidR="00000000" w:rsidRPr="00E45194" w:rsidP="00E45194">
            <w:pPr>
              <w:pStyle w:val="ListBullet2"/>
            </w:pPr>
            <w:r w:rsidRPr="00E45194">
              <w:t>responding to diversity, including gender and disability</w:t>
            </w:r>
          </w:p>
          <w:p w:rsidR="00000000" w:rsidP="00E45194">
            <w:pPr>
              <w:pStyle w:val="ListBullet2"/>
              <w:rPr>
                <w:lang w:val="en-NZ"/>
              </w:rPr>
            </w:pPr>
            <w:r w:rsidRPr="00E45194">
              <w:t>applying procedures relating to occupational healt</w:t>
            </w:r>
            <w:r w:rsidRPr="00E45194">
              <w:t>h and safety and environment in the context of prosecuting duties</w:t>
            </w:r>
          </w:p>
        </w:tc>
      </w:tr>
      <w:tr w:rsidTr="00001F3C">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E45194" w:rsidP="00E45194">
            <w:pPr>
              <w:pStyle w:val="BodyText"/>
            </w:pPr>
            <w:r w:rsidRPr="00E45194">
              <w:rPr>
                <w:rStyle w:val="SpecialBold"/>
              </w:rPr>
              <w:t>Knowledge requirements</w:t>
            </w:r>
          </w:p>
          <w:p w:rsidR="00000000" w:rsidRPr="00E45194" w:rsidP="00E45194">
            <w:pPr>
              <w:pStyle w:val="BodyText"/>
            </w:pPr>
            <w:r w:rsidRPr="00E45194">
              <w:t>Look for evidence that confirms knowledge and understanding of:</w:t>
            </w:r>
          </w:p>
          <w:p w:rsidR="00000000" w:rsidRPr="00E45194" w:rsidP="00E45194">
            <w:pPr>
              <w:pStyle w:val="ListBullet2"/>
            </w:pPr>
            <w:r w:rsidRPr="00E45194">
              <w:t>court prosecution process, procedures and protocols</w:t>
            </w:r>
          </w:p>
          <w:p w:rsidR="00000000" w:rsidRPr="00E45194" w:rsidP="00E45194">
            <w:pPr>
              <w:pStyle w:val="ListBullet2"/>
            </w:pPr>
            <w:r w:rsidRPr="00E45194">
              <w:t xml:space="preserve">court conduct </w:t>
            </w:r>
          </w:p>
          <w:p w:rsidR="00000000" w:rsidRPr="00E45194" w:rsidP="00E45194">
            <w:pPr>
              <w:pStyle w:val="ListBullet2"/>
            </w:pPr>
            <w:r w:rsidRPr="00E45194">
              <w:t>enabling legislation and offences</w:t>
            </w:r>
          </w:p>
          <w:p w:rsidR="00000000" w:rsidRPr="00E45194" w:rsidP="00E45194">
            <w:pPr>
              <w:pStyle w:val="ListBullet2"/>
            </w:pPr>
            <w:r w:rsidRPr="00E45194">
              <w:t>sections of the Evidence Act</w:t>
            </w:r>
          </w:p>
          <w:p w:rsidR="00000000" w:rsidRPr="00E45194" w:rsidP="00E45194">
            <w:pPr>
              <w:pStyle w:val="ListBullet2"/>
            </w:pPr>
            <w:r w:rsidRPr="00E45194">
              <w:t>types of evidence</w:t>
            </w:r>
          </w:p>
          <w:p w:rsidR="00000000" w:rsidRPr="00E45194" w:rsidP="00E45194">
            <w:pPr>
              <w:pStyle w:val="ListBullet2"/>
            </w:pPr>
            <w:r w:rsidRPr="00E45194">
              <w:t xml:space="preserve">rules of evidence </w:t>
            </w:r>
          </w:p>
          <w:p w:rsidR="00000000" w:rsidRPr="00E45194" w:rsidP="00E45194">
            <w:pPr>
              <w:pStyle w:val="ListBullet2"/>
            </w:pPr>
            <w:r w:rsidRPr="00E45194">
              <w:t>possible defences</w:t>
            </w:r>
          </w:p>
          <w:p w:rsidR="00000000" w:rsidRPr="00E45194" w:rsidP="00E45194">
            <w:pPr>
              <w:pStyle w:val="ListBullet2"/>
            </w:pPr>
            <w:r w:rsidRPr="00E45194">
              <w:t>burden of proof</w:t>
            </w:r>
          </w:p>
          <w:p w:rsidR="00000000" w:rsidRPr="00E45194" w:rsidP="00E45194">
            <w:pPr>
              <w:pStyle w:val="ListBullet2"/>
            </w:pPr>
            <w:r w:rsidRPr="00E45194">
              <w:t>role of expert witnesses</w:t>
            </w:r>
          </w:p>
          <w:p w:rsidR="00000000" w:rsidRPr="00E45194" w:rsidP="00E45194">
            <w:pPr>
              <w:pStyle w:val="ListBullet2"/>
            </w:pPr>
            <w:r w:rsidRPr="00E45194">
              <w:t xml:space="preserve">hearsay </w:t>
            </w:r>
          </w:p>
          <w:p w:rsidR="00000000" w:rsidRPr="00E45194" w:rsidP="00E45194">
            <w:pPr>
              <w:pStyle w:val="ListBullet2"/>
            </w:pPr>
            <w:r w:rsidRPr="00E45194">
              <w:t>equal employment opportunity, equity and diversity principles</w:t>
            </w:r>
          </w:p>
          <w:p w:rsidR="00000000" w:rsidRPr="00E45194" w:rsidP="00E45194">
            <w:pPr>
              <w:pStyle w:val="ListBullet2"/>
            </w:pPr>
            <w:r w:rsidRPr="00E45194">
              <w:t>public sector legislation relating to occupational health an</w:t>
            </w:r>
            <w:r w:rsidRPr="00E45194">
              <w:t>d safety and environment in the context of conducting prosecutions</w:t>
            </w:r>
          </w:p>
        </w:tc>
      </w:tr>
    </w:tbl>
    <w:p w:rsidR="00000000" w:rsidRPr="00E45194" w:rsidP="00E45194">
      <w:pPr>
        <w:pStyle w:val="BodyText"/>
      </w:pPr>
    </w:p>
    <w:p w:rsidR="00000000" w:rsidRPr="00E45194" w:rsidP="00E45194">
      <w:pPr>
        <w:pStyle w:val="AllowPageBreak"/>
      </w:pPr>
    </w:p>
    <w:p w:rsidR="00000000" w:rsidRPr="00E45194" w:rsidP="00E45194">
      <w:pPr>
        <w:pStyle w:val="Heading1"/>
      </w:pPr>
      <w:bookmarkStart w:id="10" w:name="O_498848"/>
      <w:bookmarkEnd w:id="10"/>
      <w:r w:rsidRPr="00E45194">
        <w:t>Evidence Guide</w:t>
      </w:r>
    </w:p>
    <w:tbl>
      <w:tblPr>
        <w:tblW w:w="9322" w:type="dxa"/>
        <w:tblLayout w:type="fixed"/>
        <w:tblCellMar>
          <w:left w:w="62" w:type="dxa"/>
          <w:right w:w="62" w:type="dxa"/>
        </w:tblCellMar>
        <w:tblLook w:val="0000"/>
      </w:tblPr>
      <w:tblGrid>
        <w:gridCol w:w="2582"/>
        <w:gridCol w:w="6740"/>
      </w:tblGrid>
      <w:tr w:rsidTr="00001F3C">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E45194">
            <w:pPr>
              <w:pStyle w:val="BodyText"/>
              <w:rPr>
                <w:lang w:val="en-NZ"/>
              </w:rPr>
            </w:pPr>
            <w:r w:rsidRPr="00E45194">
              <w:t xml:space="preserve">The Evidence Guide specifies the evidence required to demonstrate achievement in the unit of competency as a whole. It must be read in </w:t>
            </w:r>
            <w:r w:rsidRPr="00E45194">
              <w:t>conjunction with the Unit descriptor, Performance Criteria, the Range Statement and the Assessment Guidelines for the Public Sector Training Package.</w:t>
            </w:r>
          </w:p>
        </w:tc>
      </w:tr>
      <w:tr w:rsidTr="00001F3C">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E45194">
            <w:pPr>
              <w:pStyle w:val="BodyText"/>
              <w:rPr>
                <w:lang w:val="en-NZ"/>
              </w:rPr>
            </w:pPr>
            <w:r w:rsidRPr="00E45194">
              <w:rPr>
                <w:rStyle w:val="SpecialBold"/>
              </w:rPr>
              <w:t>Critical aspects for assessment and evidence required to demonstrate competency in this unit</w:t>
            </w:r>
          </w:p>
        </w:tc>
        <w:tc>
          <w:tcPr>
            <w:tcW w:w="6740" w:type="dxa"/>
            <w:tcBorders>
              <w:top w:val="nil"/>
              <w:left w:val="nil"/>
              <w:bottom w:val="nil"/>
              <w:right w:val="nil"/>
            </w:tcBorders>
            <w:tcMar>
              <w:top w:w="0" w:type="dxa"/>
              <w:left w:w="62" w:type="dxa"/>
              <w:bottom w:w="0" w:type="dxa"/>
              <w:right w:w="62" w:type="dxa"/>
            </w:tcMar>
          </w:tcPr>
          <w:p w:rsidR="00000000" w:rsidRPr="00E45194" w:rsidP="00E45194">
            <w:pPr>
              <w:pStyle w:val="BodyText"/>
            </w:pPr>
            <w:r w:rsidRPr="00E45194">
              <w:t xml:space="preserve">In addition to integrated demonstration of the elements and their related performance criteria, look for evidence that confirms consistency of performance in conducting prosecutions. </w:t>
            </w:r>
          </w:p>
          <w:p w:rsidR="00000000" w:rsidRPr="00E45194" w:rsidP="00E45194">
            <w:pPr>
              <w:pStyle w:val="BodyText"/>
            </w:pPr>
            <w:r w:rsidRPr="00E45194">
              <w:t>This will include evidence of:</w:t>
            </w:r>
          </w:p>
          <w:p w:rsidR="00000000" w:rsidRPr="00E45194" w:rsidP="00E45194">
            <w:pPr>
              <w:pStyle w:val="ListBullet2"/>
            </w:pPr>
            <w:r w:rsidRPr="00E45194">
              <w:t>Conducting at least three actual or simu</w:t>
            </w:r>
            <w:r w:rsidRPr="00E45194">
              <w:t>lated prosecutions on three separate occasions or for three different situations/contexts.</w:t>
            </w:r>
          </w:p>
          <w:p w:rsidR="00000000" w:rsidP="00E45194">
            <w:pPr>
              <w:pStyle w:val="ListBullet2"/>
              <w:rPr>
                <w:lang w:val="en-NZ"/>
              </w:rPr>
            </w:pPr>
            <w:r w:rsidRPr="00E45194">
              <w:t>adhering to legal, ethical and organisational requirements relating to prosecutions</w:t>
            </w:r>
          </w:p>
        </w:tc>
      </w:tr>
      <w:tr w:rsidTr="00001F3C">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RPr="00E45194" w:rsidP="00E45194">
            <w:pPr>
              <w:pStyle w:val="BodyText"/>
            </w:pPr>
            <w:r w:rsidRPr="00E45194">
              <w:rPr>
                <w:rStyle w:val="SpecialBold"/>
              </w:rPr>
              <w:t>Context of and specific resources for assessment</w:t>
            </w:r>
          </w:p>
          <w:p w:rsidR="00000000">
            <w:pPr>
              <w:pStyle w:val="BodyText"/>
              <w:keepNext w:val="0"/>
              <w:keepLines w:val="0"/>
              <w:contextualSpacing w:val="0"/>
              <w:rPr>
                <w:rFonts w:ascii="Tahoma" w:hAnsi="Tahoma"/>
                <w:color w:val="000000"/>
                <w:sz w:val="20"/>
                <w:lang w:val="en-NZ"/>
              </w:rPr>
            </w:pPr>
          </w:p>
        </w:tc>
        <w:tc>
          <w:tcPr>
            <w:tcW w:w="6740" w:type="dxa"/>
            <w:tcBorders>
              <w:top w:val="nil"/>
              <w:left w:val="nil"/>
              <w:bottom w:val="nil"/>
              <w:right w:val="nil"/>
            </w:tcBorders>
            <w:tcMar>
              <w:top w:w="0" w:type="dxa"/>
              <w:left w:w="62" w:type="dxa"/>
              <w:bottom w:w="0" w:type="dxa"/>
              <w:right w:w="62" w:type="dxa"/>
            </w:tcMar>
          </w:tcPr>
          <w:p w:rsidR="00000000" w:rsidRPr="00E45194" w:rsidP="00E45194">
            <w:pPr>
              <w:pStyle w:val="BodyText"/>
            </w:pPr>
            <w:r w:rsidRPr="00E45194">
              <w:t xml:space="preserve">Assessment must ensure access </w:t>
            </w:r>
            <w:r w:rsidRPr="00E45194">
              <w:t>to a real or simulated workplace environment that closely resembles normal work practice and replicates the range of conditions likely to be encountered while conducting prosecutions, including coping with difficulties, irregularities and breakdowns in rou</w:t>
            </w:r>
            <w:r w:rsidRPr="00E45194">
              <w:t xml:space="preserve">tine. </w:t>
            </w:r>
          </w:p>
          <w:p w:rsidR="00000000" w:rsidRPr="00E45194" w:rsidP="00E45194">
            <w:pPr>
              <w:pStyle w:val="BodyText"/>
            </w:pPr>
            <w:r w:rsidRPr="00E45194">
              <w:t>Access is required to resources such as:</w:t>
            </w:r>
          </w:p>
          <w:p w:rsidR="00000000" w:rsidRPr="00E45194" w:rsidP="00E45194">
            <w:pPr>
              <w:pStyle w:val="ListBullet2"/>
            </w:pPr>
            <w:r w:rsidRPr="00E45194">
              <w:t>applicable legislation, policies and procedures</w:t>
            </w:r>
          </w:p>
          <w:p w:rsidR="00000000" w:rsidRPr="00E45194" w:rsidP="00E45194">
            <w:pPr>
              <w:pStyle w:val="ListBullet2"/>
            </w:pPr>
            <w:r w:rsidRPr="00E45194">
              <w:t>case studies and workplace scenarios to capture the range of requirements for situations likely to be encountered</w:t>
            </w:r>
          </w:p>
          <w:p w:rsidR="00000000" w:rsidP="00E45194">
            <w:pPr>
              <w:pStyle w:val="ListBullet2"/>
              <w:rPr>
                <w:lang w:val="en-NZ"/>
              </w:rPr>
            </w:pPr>
            <w:r w:rsidRPr="00E45194">
              <w:t>mock court</w:t>
            </w:r>
          </w:p>
        </w:tc>
      </w:tr>
      <w:tr w:rsidTr="00001F3C">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RPr="00E45194" w:rsidP="00E45194">
            <w:pPr>
              <w:pStyle w:val="BodyText"/>
            </w:pPr>
            <w:r w:rsidRPr="00E45194">
              <w:rPr>
                <w:rStyle w:val="SpecialBold"/>
              </w:rPr>
              <w:t>Method of assessment</w:t>
            </w:r>
          </w:p>
          <w:p w:rsidR="00000000">
            <w:pPr>
              <w:pStyle w:val="BodyText"/>
              <w:keepNext w:val="0"/>
              <w:keepLines w:val="0"/>
              <w:contextualSpacing w:val="0"/>
              <w:rPr>
                <w:rFonts w:ascii="Tahoma" w:hAnsi="Tahoma"/>
                <w:color w:val="000000"/>
                <w:sz w:val="20"/>
                <w:lang w:val="en-NZ"/>
              </w:rPr>
            </w:pPr>
          </w:p>
        </w:tc>
        <w:tc>
          <w:tcPr>
            <w:tcW w:w="6740" w:type="dxa"/>
            <w:tcBorders>
              <w:top w:val="nil"/>
              <w:left w:val="nil"/>
              <w:bottom w:val="nil"/>
              <w:right w:val="nil"/>
            </w:tcBorders>
            <w:tcMar>
              <w:top w:w="0" w:type="dxa"/>
              <w:left w:w="62" w:type="dxa"/>
              <w:bottom w:w="0" w:type="dxa"/>
              <w:right w:w="62" w:type="dxa"/>
            </w:tcMar>
          </w:tcPr>
          <w:p w:rsidR="00000000" w:rsidRPr="00E45194" w:rsidP="00E45194">
            <w:pPr>
              <w:pStyle w:val="BodyText"/>
            </w:pPr>
            <w:r w:rsidRPr="00E45194">
              <w:t xml:space="preserve">Assessment methods suitable for valid and reliable assessment of this unit of competency may include, but are not limited to, a combination of 2 or more of: </w:t>
            </w:r>
          </w:p>
          <w:p w:rsidR="00000000" w:rsidRPr="00E45194" w:rsidP="00E45194">
            <w:pPr>
              <w:pStyle w:val="ListBullet2"/>
            </w:pPr>
            <w:r w:rsidRPr="00E45194">
              <w:t>case studies</w:t>
            </w:r>
          </w:p>
          <w:p w:rsidR="00000000" w:rsidRPr="00E45194" w:rsidP="00E45194">
            <w:pPr>
              <w:pStyle w:val="ListBullet2"/>
            </w:pPr>
            <w:r w:rsidRPr="00E45194">
              <w:t xml:space="preserve">demonstration </w:t>
            </w:r>
          </w:p>
          <w:p w:rsidR="00000000" w:rsidRPr="00E45194" w:rsidP="00E45194">
            <w:pPr>
              <w:pStyle w:val="ListBullet2"/>
            </w:pPr>
            <w:r w:rsidRPr="00E45194">
              <w:t>observation</w:t>
            </w:r>
          </w:p>
          <w:p w:rsidR="00000000" w:rsidRPr="00E45194" w:rsidP="00E45194">
            <w:pPr>
              <w:pStyle w:val="ListBullet2"/>
            </w:pPr>
            <w:r w:rsidRPr="00E45194">
              <w:t>written or oral questions</w:t>
            </w:r>
          </w:p>
          <w:p w:rsidR="00000000" w:rsidRPr="00E45194" w:rsidP="00E45194">
            <w:pPr>
              <w:pStyle w:val="ListBullet2"/>
            </w:pPr>
            <w:r w:rsidRPr="00E45194">
              <w:t>scenarios</w:t>
            </w:r>
          </w:p>
          <w:p w:rsidR="00000000" w:rsidRPr="00E45194" w:rsidP="00E45194">
            <w:pPr>
              <w:pStyle w:val="ListBullet2"/>
            </w:pPr>
            <w:r w:rsidRPr="00E45194">
              <w:t>simulation or role pl</w:t>
            </w:r>
            <w:r w:rsidRPr="00E45194">
              <w:t>ays</w:t>
            </w:r>
          </w:p>
          <w:p w:rsidR="00000000" w:rsidP="00E45194">
            <w:pPr>
              <w:pStyle w:val="ListBullet2"/>
              <w:rPr>
                <w:lang w:val="en-NZ"/>
              </w:rPr>
            </w:pPr>
            <w:r w:rsidRPr="00E45194">
              <w:t>authenticated evidence from the workplace and/or training courses</w:t>
            </w:r>
          </w:p>
        </w:tc>
      </w:tr>
      <w:tr w:rsidTr="00001F3C">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E45194">
            <w:pPr>
              <w:pStyle w:val="BodyText"/>
              <w:rPr>
                <w:lang w:val="en-NZ"/>
              </w:rPr>
            </w:pPr>
            <w:r w:rsidRPr="00E45194">
              <w:rPr>
                <w:rStyle w:val="SpecialBold"/>
              </w:rPr>
              <w:t>Guidance information for assessment</w:t>
            </w:r>
          </w:p>
        </w:tc>
        <w:tc>
          <w:tcPr>
            <w:tcW w:w="6740" w:type="dxa"/>
            <w:tcBorders>
              <w:top w:val="nil"/>
              <w:left w:val="nil"/>
              <w:bottom w:val="nil"/>
              <w:right w:val="nil"/>
            </w:tcBorders>
            <w:tcMar>
              <w:top w:w="0" w:type="dxa"/>
              <w:left w:w="62" w:type="dxa"/>
              <w:bottom w:w="0" w:type="dxa"/>
              <w:right w:w="62" w:type="dxa"/>
            </w:tcMar>
          </w:tcPr>
          <w:p w:rsidR="00000000" w:rsidRPr="00E45194" w:rsidP="00E45194">
            <w:pPr>
              <w:pStyle w:val="BodyText"/>
            </w:pPr>
            <w:r w:rsidRPr="00E45194">
              <w:t>Assessment methods should reflect workplace demands, such as literacy, and the needs of particular groups, such as:</w:t>
            </w:r>
          </w:p>
          <w:p w:rsidR="00000000" w:rsidRPr="00E45194" w:rsidP="00E45194">
            <w:pPr>
              <w:pStyle w:val="ListBullet2"/>
            </w:pPr>
            <w:r w:rsidRPr="00E45194">
              <w:t>people with disabilities</w:t>
            </w:r>
          </w:p>
          <w:p w:rsidR="00000000" w:rsidRPr="00E45194" w:rsidP="00E45194">
            <w:pPr>
              <w:pStyle w:val="ListBullet2"/>
            </w:pPr>
            <w:r w:rsidRPr="00E45194">
              <w:t>people from culturally and linguistically diverse backgrounds</w:t>
            </w:r>
          </w:p>
          <w:p w:rsidR="00000000" w:rsidRPr="00E45194" w:rsidP="00E45194">
            <w:pPr>
              <w:pStyle w:val="ListBullet2"/>
            </w:pPr>
            <w:r w:rsidRPr="00E45194">
              <w:t>Aboriginal and Torres Strait Islander people</w:t>
            </w:r>
          </w:p>
          <w:p w:rsidR="00000000" w:rsidRPr="00E45194" w:rsidP="00E45194">
            <w:pPr>
              <w:pStyle w:val="ListBullet2"/>
            </w:pPr>
            <w:r w:rsidRPr="00E45194">
              <w:t>women</w:t>
            </w:r>
          </w:p>
          <w:p w:rsidR="00000000" w:rsidRPr="00E45194" w:rsidP="00E45194">
            <w:pPr>
              <w:pStyle w:val="ListBullet2"/>
            </w:pPr>
            <w:r w:rsidRPr="00E45194">
              <w:t>young people</w:t>
            </w:r>
          </w:p>
          <w:p w:rsidR="00000000" w:rsidRPr="00E45194" w:rsidP="00E45194">
            <w:pPr>
              <w:pStyle w:val="ListBullet2"/>
            </w:pPr>
            <w:r w:rsidRPr="00E45194">
              <w:t>older people</w:t>
            </w:r>
          </w:p>
          <w:p w:rsidR="00000000" w:rsidP="00E45194">
            <w:pPr>
              <w:pStyle w:val="ListBullet2"/>
              <w:rPr>
                <w:lang w:val="en-NZ"/>
              </w:rPr>
            </w:pPr>
            <w:r w:rsidRPr="00E45194">
              <w:t>people in rural and remote locations</w:t>
            </w:r>
          </w:p>
        </w:tc>
      </w:tr>
      <w:tr w:rsidTr="00001F3C">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E45194">
            <w:pPr>
              <w:pStyle w:val="BodyText"/>
              <w:rPr>
                <w:lang w:val="en-NZ"/>
              </w:rPr>
            </w:pPr>
            <w:r w:rsidRPr="00E45194">
              <w:rPr>
                <w:rStyle w:val="SpecialBold"/>
              </w:rPr>
              <w:t xml:space="preserve">For consistency of assessment </w:t>
            </w:r>
          </w:p>
        </w:tc>
        <w:tc>
          <w:tcPr>
            <w:tcW w:w="6740" w:type="dxa"/>
            <w:tcBorders>
              <w:top w:val="nil"/>
              <w:left w:val="nil"/>
              <w:bottom w:val="nil"/>
              <w:right w:val="nil"/>
            </w:tcBorders>
            <w:tcMar>
              <w:top w:w="0" w:type="dxa"/>
              <w:left w:w="62" w:type="dxa"/>
              <w:bottom w:w="0" w:type="dxa"/>
              <w:right w:w="62" w:type="dxa"/>
            </w:tcMar>
          </w:tcPr>
          <w:p w:rsidR="00000000" w:rsidRPr="00E45194" w:rsidP="00E45194">
            <w:pPr>
              <w:pStyle w:val="ListBullet2"/>
            </w:pPr>
            <w:r w:rsidRPr="00E45194">
              <w:t xml:space="preserve">Evidence must be gathered over time in a range </w:t>
            </w:r>
            <w:r w:rsidRPr="00E45194">
              <w:t>of contexts to ensure the person can achieve the unit outcome and apply the competency in different situations or environments</w:t>
            </w:r>
          </w:p>
        </w:tc>
      </w:tr>
    </w:tbl>
    <w:p w:rsidR="00000000" w:rsidRPr="00E45194" w:rsidP="00E45194">
      <w:pPr>
        <w:pStyle w:val="BodyText"/>
      </w:pPr>
    </w:p>
    <w:p w:rsidR="00000000" w:rsidRPr="00E45194" w:rsidP="00E45194">
      <w:pPr>
        <w:pStyle w:val="AllowPageBreak"/>
      </w:pPr>
    </w:p>
    <w:p w:rsidR="00000000" w:rsidRPr="00E45194" w:rsidP="00E45194">
      <w:pPr>
        <w:pStyle w:val="Heading1"/>
      </w:pPr>
      <w:bookmarkStart w:id="11" w:name="O_498846"/>
      <w:bookmarkEnd w:id="11"/>
      <w:r w:rsidRPr="00E45194">
        <w:t>Range Statement</w:t>
      </w:r>
    </w:p>
    <w:tbl>
      <w:tblPr>
        <w:tblW w:w="9322" w:type="dxa"/>
        <w:tblLayout w:type="fixed"/>
        <w:tblCellMar>
          <w:left w:w="62" w:type="dxa"/>
          <w:right w:w="62" w:type="dxa"/>
        </w:tblCellMar>
        <w:tblLook w:val="0000"/>
      </w:tblPr>
      <w:tblGrid>
        <w:gridCol w:w="2660"/>
        <w:gridCol w:w="6662"/>
      </w:tblGrid>
      <w:tr w:rsidTr="00001F3C">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E45194">
            <w:pPr>
              <w:pStyle w:val="BodyText"/>
              <w:rPr>
                <w:lang w:val="en-NZ"/>
              </w:rPr>
            </w:pPr>
            <w:r w:rsidRPr="00E45194">
              <w:t>The Range Statement provides information about the context in which the unit of competency is carried out. The variables cater for differences between States and Territories and the Commonwealth, and between organisations and workplaces. They allow for dif</w:t>
            </w:r>
            <w:r w:rsidRPr="00E45194">
              <w:t xml:space="preserve">ferent work requirements, work practices and knowledge. The Range Statement also provides a focus for assessment. It relates to the unit as a whole. Text in </w:t>
            </w:r>
            <w:r w:rsidRPr="00E45194">
              <w:rPr>
                <w:rStyle w:val="BoldandItalics"/>
              </w:rPr>
              <w:t>bold italics</w:t>
            </w:r>
            <w:r w:rsidRPr="00E45194">
              <w:t xml:space="preserve"> in the Performance Criteria is explained here.</w:t>
            </w:r>
          </w:p>
        </w:tc>
      </w:tr>
      <w:tr w:rsidTr="00001F3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45194">
            <w:pPr>
              <w:pStyle w:val="BodyText"/>
              <w:rPr>
                <w:lang w:val="en-NZ"/>
              </w:rPr>
            </w:pPr>
            <w:r w:rsidRPr="00E45194">
              <w:rPr>
                <w:rStyle w:val="BoldandItalics"/>
              </w:rPr>
              <w:t xml:space="preserve">Briefs </w:t>
            </w:r>
            <w:r w:rsidRPr="00E45194">
              <w:t>may include:</w:t>
            </w:r>
          </w:p>
        </w:tc>
        <w:tc>
          <w:tcPr>
            <w:tcW w:w="6662" w:type="dxa"/>
            <w:tcBorders>
              <w:top w:val="nil"/>
              <w:left w:val="nil"/>
              <w:bottom w:val="nil"/>
              <w:right w:val="nil"/>
            </w:tcBorders>
            <w:tcMar>
              <w:top w:w="0" w:type="dxa"/>
              <w:left w:w="62" w:type="dxa"/>
              <w:bottom w:w="0" w:type="dxa"/>
              <w:right w:w="62" w:type="dxa"/>
            </w:tcMar>
          </w:tcPr>
          <w:p w:rsidR="00000000" w:rsidRPr="00E45194" w:rsidP="00E45194">
            <w:pPr>
              <w:pStyle w:val="ListBullet2"/>
            </w:pPr>
            <w:r w:rsidRPr="00E45194">
              <w:t>charges</w:t>
            </w:r>
          </w:p>
          <w:p w:rsidR="00000000" w:rsidRPr="00E45194" w:rsidP="00E45194">
            <w:pPr>
              <w:pStyle w:val="ListBullet2"/>
            </w:pPr>
            <w:r w:rsidRPr="00E45194">
              <w:t>exhibits</w:t>
            </w:r>
          </w:p>
          <w:p w:rsidR="00000000" w:rsidRPr="00E45194" w:rsidP="00E45194">
            <w:pPr>
              <w:pStyle w:val="ListBullet2"/>
            </w:pPr>
            <w:r w:rsidRPr="00E45194">
              <w:t>exhibit list</w:t>
            </w:r>
          </w:p>
          <w:p w:rsidR="00000000" w:rsidRPr="00E45194" w:rsidP="00E45194">
            <w:pPr>
              <w:pStyle w:val="ListBullet2"/>
            </w:pPr>
            <w:r w:rsidRPr="00E45194">
              <w:t>evidence records</w:t>
            </w:r>
          </w:p>
          <w:p w:rsidR="00000000" w:rsidRPr="00E45194" w:rsidP="00E45194">
            <w:pPr>
              <w:pStyle w:val="ListBullet2"/>
            </w:pPr>
            <w:r w:rsidRPr="00E45194">
              <w:t>investigators' reports</w:t>
            </w:r>
          </w:p>
          <w:p w:rsidR="00000000" w:rsidRPr="00E45194" w:rsidP="00E45194">
            <w:pPr>
              <w:pStyle w:val="ListBullet2"/>
            </w:pPr>
            <w:r w:rsidRPr="00E45194">
              <w:t>witness list</w:t>
            </w:r>
          </w:p>
          <w:p w:rsidR="00000000" w:rsidRPr="00E45194" w:rsidP="00E45194">
            <w:pPr>
              <w:pStyle w:val="ListBullet2"/>
            </w:pPr>
            <w:r w:rsidRPr="00E45194">
              <w:t>witness statements</w:t>
            </w:r>
          </w:p>
          <w:p w:rsidR="00000000" w:rsidRPr="00E45194" w:rsidP="00E45194">
            <w:pPr>
              <w:pStyle w:val="ListBullet2"/>
            </w:pPr>
            <w:r w:rsidRPr="00E45194">
              <w:t>precedents</w:t>
            </w:r>
          </w:p>
          <w:p w:rsidR="00000000" w:rsidRPr="00E45194" w:rsidP="00E45194">
            <w:pPr>
              <w:pStyle w:val="ListBullet2"/>
            </w:pPr>
            <w:r w:rsidRPr="00E45194">
              <w:t>forfeiture orders</w:t>
            </w:r>
          </w:p>
          <w:p w:rsidR="00000000" w:rsidRPr="00E45194" w:rsidP="00E45194">
            <w:pPr>
              <w:pStyle w:val="ListBullet2"/>
            </w:pPr>
            <w:r w:rsidRPr="00E45194">
              <w:t>extracts</w:t>
            </w:r>
          </w:p>
          <w:p w:rsidR="00000000" w:rsidRPr="00E45194" w:rsidP="00E45194">
            <w:pPr>
              <w:pStyle w:val="ListBullet2"/>
            </w:pPr>
            <w:r w:rsidRPr="00E45194">
              <w:t>prior convictions</w:t>
            </w:r>
          </w:p>
          <w:p w:rsidR="00000000" w:rsidRPr="00E45194" w:rsidP="00E45194">
            <w:pPr>
              <w:pStyle w:val="ListBullet2"/>
            </w:pPr>
            <w:r w:rsidRPr="00E45194">
              <w:t>informant’s unsuitable dates for attendance</w:t>
            </w:r>
          </w:p>
          <w:p w:rsidR="00000000" w:rsidP="00E45194">
            <w:pPr>
              <w:pStyle w:val="ListBullet2"/>
              <w:rPr>
                <w:lang w:val="en-NZ"/>
              </w:rPr>
            </w:pPr>
            <w:r w:rsidRPr="00E45194">
              <w:t>recommended actions</w:t>
            </w:r>
          </w:p>
        </w:tc>
      </w:tr>
      <w:tr w:rsidTr="00001F3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45194">
            <w:pPr>
              <w:pStyle w:val="BodyText"/>
              <w:rPr>
                <w:lang w:val="en-NZ"/>
              </w:rPr>
            </w:pPr>
            <w:r w:rsidRPr="00E45194">
              <w:rPr>
                <w:rStyle w:val="BoldandItalics"/>
              </w:rPr>
              <w:t xml:space="preserve">Proceedings </w:t>
            </w:r>
            <w:r w:rsidRPr="00E45194">
              <w:t>may include:</w:t>
            </w:r>
          </w:p>
        </w:tc>
        <w:tc>
          <w:tcPr>
            <w:tcW w:w="6662" w:type="dxa"/>
            <w:tcBorders>
              <w:top w:val="nil"/>
              <w:left w:val="nil"/>
              <w:bottom w:val="nil"/>
              <w:right w:val="nil"/>
            </w:tcBorders>
            <w:tcMar>
              <w:top w:w="0" w:type="dxa"/>
              <w:left w:w="62" w:type="dxa"/>
              <w:bottom w:w="0" w:type="dxa"/>
              <w:right w:w="62" w:type="dxa"/>
            </w:tcMar>
          </w:tcPr>
          <w:p w:rsidR="00000000" w:rsidRPr="00E45194" w:rsidP="00E45194">
            <w:pPr>
              <w:pStyle w:val="ListBullet2"/>
            </w:pPr>
            <w:r w:rsidRPr="00E45194">
              <w:t>court hearings</w:t>
            </w:r>
          </w:p>
          <w:p w:rsidR="00000000" w:rsidRPr="00E45194" w:rsidP="00E45194">
            <w:pPr>
              <w:pStyle w:val="ListBullet2"/>
            </w:pPr>
            <w:r w:rsidRPr="00E45194">
              <w:t>tribunals</w:t>
            </w:r>
          </w:p>
          <w:p w:rsidR="00000000" w:rsidRPr="00E45194" w:rsidP="00E45194">
            <w:pPr>
              <w:pStyle w:val="ListBullet2"/>
            </w:pPr>
            <w:r w:rsidRPr="00E45194">
              <w:t>trials</w:t>
            </w:r>
          </w:p>
          <w:p w:rsidR="00000000" w:rsidP="00E45194">
            <w:pPr>
              <w:pStyle w:val="ListBullet2"/>
              <w:rPr>
                <w:lang w:val="en-NZ"/>
              </w:rPr>
            </w:pPr>
            <w:r w:rsidRPr="00E45194">
              <w:t xml:space="preserve">pre-trial conferences </w:t>
            </w:r>
          </w:p>
        </w:tc>
      </w:tr>
      <w:tr w:rsidTr="00001F3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45194">
            <w:pPr>
              <w:pStyle w:val="BodyText"/>
              <w:rPr>
                <w:lang w:val="en-NZ"/>
              </w:rPr>
            </w:pPr>
            <w:r w:rsidRPr="00E45194">
              <w:rPr>
                <w:rStyle w:val="BoldandItalics"/>
              </w:rPr>
              <w:t>Evidentiary procedures</w:t>
            </w:r>
            <w:r w:rsidRPr="00E4519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P="00E45194">
            <w:pPr>
              <w:pStyle w:val="ListBullet2"/>
              <w:rPr>
                <w:lang w:val="en-NZ"/>
              </w:rPr>
            </w:pPr>
            <w:r w:rsidRPr="00E45194">
              <w:t>aspects of evidence in chief, cross-examination and re-examination</w:t>
            </w:r>
          </w:p>
        </w:tc>
      </w:tr>
      <w:tr w:rsidTr="00001F3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45194">
            <w:pPr>
              <w:pStyle w:val="BodyText"/>
              <w:rPr>
                <w:lang w:val="en-NZ"/>
              </w:rPr>
            </w:pPr>
            <w:r w:rsidRPr="00E45194">
              <w:rPr>
                <w:rStyle w:val="BoldandItalics"/>
              </w:rPr>
              <w:t xml:space="preserve">Protocols </w:t>
            </w:r>
            <w:r w:rsidRPr="00E45194">
              <w:t>may include:</w:t>
            </w:r>
          </w:p>
        </w:tc>
        <w:tc>
          <w:tcPr>
            <w:tcW w:w="6662" w:type="dxa"/>
            <w:tcBorders>
              <w:top w:val="nil"/>
              <w:left w:val="nil"/>
              <w:bottom w:val="nil"/>
              <w:right w:val="nil"/>
            </w:tcBorders>
            <w:tcMar>
              <w:top w:w="0" w:type="dxa"/>
              <w:left w:w="62" w:type="dxa"/>
              <w:bottom w:w="0" w:type="dxa"/>
              <w:right w:w="62" w:type="dxa"/>
            </w:tcMar>
          </w:tcPr>
          <w:p w:rsidR="00000000" w:rsidRPr="00E45194" w:rsidP="00E45194">
            <w:pPr>
              <w:pStyle w:val="ListBullet2"/>
            </w:pPr>
            <w:r w:rsidRPr="00E45194">
              <w:t>court proceedings</w:t>
            </w:r>
          </w:p>
          <w:p w:rsidR="00000000" w:rsidRPr="00E45194" w:rsidP="00E45194">
            <w:pPr>
              <w:pStyle w:val="ListBullet2"/>
            </w:pPr>
            <w:r w:rsidRPr="00E45194">
              <w:t>standards of dress</w:t>
            </w:r>
          </w:p>
          <w:p w:rsidR="00000000" w:rsidP="00E45194">
            <w:pPr>
              <w:pStyle w:val="ListBullet2"/>
              <w:rPr>
                <w:lang w:val="en-NZ"/>
              </w:rPr>
            </w:pPr>
            <w:r w:rsidRPr="00E45194">
              <w:t>forms of address</w:t>
            </w:r>
          </w:p>
        </w:tc>
      </w:tr>
      <w:tr w:rsidTr="00001F3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45194">
            <w:pPr>
              <w:pStyle w:val="BodyText"/>
              <w:rPr>
                <w:lang w:val="en-NZ"/>
              </w:rPr>
            </w:pPr>
            <w:r w:rsidRPr="00E45194">
              <w:rPr>
                <w:rStyle w:val="BoldandItalics"/>
              </w:rPr>
              <w:t>Matters arising</w:t>
            </w:r>
            <w:r w:rsidRPr="00E4519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E45194" w:rsidP="00E45194">
            <w:pPr>
              <w:pStyle w:val="ListBullet2"/>
            </w:pPr>
            <w:r w:rsidRPr="00E45194">
              <w:t>completing documentation/reports</w:t>
            </w:r>
          </w:p>
          <w:p w:rsidR="00000000" w:rsidRPr="00E45194" w:rsidP="00E45194">
            <w:pPr>
              <w:pStyle w:val="ListBullet2"/>
            </w:pPr>
            <w:r w:rsidRPr="00E45194">
              <w:t>dealing with exhibits</w:t>
            </w:r>
          </w:p>
          <w:p w:rsidR="00000000" w:rsidRPr="00E45194" w:rsidP="00E45194">
            <w:pPr>
              <w:pStyle w:val="ListBullet2"/>
            </w:pPr>
            <w:r w:rsidRPr="00E45194">
              <w:t>notifying outcomes</w:t>
            </w:r>
          </w:p>
          <w:p w:rsidR="00000000" w:rsidRPr="00E45194" w:rsidP="00E45194">
            <w:pPr>
              <w:pStyle w:val="ListBullet2"/>
            </w:pPr>
            <w:r w:rsidRPr="00E45194">
              <w:t>arranging for witness fees</w:t>
            </w:r>
          </w:p>
          <w:p w:rsidR="00000000" w:rsidP="00E45194">
            <w:pPr>
              <w:pStyle w:val="ListBullet2"/>
              <w:rPr>
                <w:lang w:val="en-NZ"/>
              </w:rPr>
            </w:pPr>
            <w:r w:rsidRPr="00E45194">
              <w:t>appeal proceedings</w:t>
            </w:r>
          </w:p>
        </w:tc>
      </w:tr>
      <w:tr w:rsidTr="00001F3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45194">
            <w:pPr>
              <w:pStyle w:val="BodyText"/>
              <w:rPr>
                <w:lang w:val="en-NZ"/>
              </w:rPr>
            </w:pPr>
            <w:r w:rsidRPr="00E45194">
              <w:rPr>
                <w:rStyle w:val="BoldandItalics"/>
              </w:rPr>
              <w:t xml:space="preserve">Cases </w:t>
            </w:r>
            <w:r w:rsidRPr="00E45194">
              <w:t>may include:</w:t>
            </w:r>
          </w:p>
        </w:tc>
        <w:tc>
          <w:tcPr>
            <w:tcW w:w="6662" w:type="dxa"/>
            <w:tcBorders>
              <w:top w:val="nil"/>
              <w:left w:val="nil"/>
              <w:bottom w:val="nil"/>
              <w:right w:val="nil"/>
            </w:tcBorders>
            <w:tcMar>
              <w:top w:w="0" w:type="dxa"/>
              <w:left w:w="62" w:type="dxa"/>
              <w:bottom w:w="0" w:type="dxa"/>
              <w:right w:w="62" w:type="dxa"/>
            </w:tcMar>
          </w:tcPr>
          <w:p w:rsidR="00000000" w:rsidRPr="00E45194" w:rsidP="00E45194">
            <w:pPr>
              <w:pStyle w:val="ListBullet2"/>
            </w:pPr>
            <w:r w:rsidRPr="00E45194">
              <w:t>ex parte</w:t>
            </w:r>
          </w:p>
          <w:p w:rsidR="00000000" w:rsidRPr="00E45194" w:rsidP="00E45194">
            <w:pPr>
              <w:pStyle w:val="ListBullet2"/>
            </w:pPr>
            <w:r w:rsidRPr="00E45194">
              <w:t>plea of guilty</w:t>
            </w:r>
          </w:p>
          <w:p w:rsidR="00000000" w:rsidRPr="00E45194" w:rsidP="00E45194">
            <w:pPr>
              <w:pStyle w:val="ListBullet2"/>
            </w:pPr>
            <w:r w:rsidRPr="00E45194">
              <w:t>argued matters</w:t>
            </w:r>
          </w:p>
        </w:tc>
      </w:tr>
    </w:tbl>
    <w:p w:rsidR="00001F3C" w:rsidP="00E45194">
      <w:pPr>
        <w:pStyle w:val="BodyText"/>
      </w:pPr>
    </w:p>
    <w:p w:rsidR="00001F3C" w:rsidP="00E45194">
      <w:pPr>
        <w:pStyle w:val="BodyText"/>
      </w:pPr>
    </w:p>
    <w:p w:rsidR="00000000" w:rsidRPr="00E45194" w:rsidP="00E45194">
      <w:pPr>
        <w:pStyle w:val="Heading1"/>
      </w:pPr>
      <w:bookmarkStart w:id="12" w:name="O_498852"/>
      <w:bookmarkEnd w:id="12"/>
      <w:r w:rsidRPr="00E45194">
        <w:t>Unit Sector(s)</w:t>
      </w:r>
    </w:p>
    <w:p w:rsidR="00000000" w:rsidRPr="00E45194" w:rsidP="00E45194">
      <w:pPr>
        <w:pStyle w:val="BodyText"/>
      </w:pPr>
      <w:r w:rsidRPr="00E45194">
        <w:t>Not applicable.</w:t>
      </w:r>
    </w:p>
    <w:p w:rsidR="00000000" w:rsidRPr="00E45194" w:rsidP="00E45194">
      <w:pPr>
        <w:pStyle w:val="AllowPageBreak"/>
      </w:pPr>
    </w:p>
    <w:p w:rsidR="00000000" w:rsidRPr="00E45194" w:rsidP="00E45194">
      <w:pPr>
        <w:pStyle w:val="Heading1"/>
      </w:pPr>
      <w:bookmarkStart w:id="13" w:name="O_498856"/>
      <w:bookmarkEnd w:id="13"/>
      <w:r w:rsidRPr="00E45194">
        <w:t>Competency field</w:t>
      </w:r>
    </w:p>
    <w:p w:rsidR="00000000" w:rsidRPr="00E45194" w:rsidP="00E45194">
      <w:pPr>
        <w:pStyle w:val="BodyText"/>
      </w:pPr>
      <w:r w:rsidRPr="00E45194">
        <w:t>Regulatory.</w:t>
      </w:r>
    </w:p>
    <w:p w:rsidR="00000000" w:rsidRPr="00E45194" w:rsidP="00E45194"/>
    <w:sectPr w:rsidSect="00E451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1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1F3C" w:rsidP="00001F3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1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3C" w:rsidP="00E4519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01F3C" w:rsidP="00E451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01F3C" w:rsidP="00E451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1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194" w:rsidRPr="00001F3C" w:rsidP="00001F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1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3C" w:rsidRPr="002D2AF8" w:rsidP="00E45194">
    <w:pPr>
      <w:pStyle w:val="Header"/>
      <w:framePr w:wrap="around"/>
    </w:pPr>
    <w:r>
      <w:fldChar w:fldCharType="begin"/>
    </w:r>
    <w:r>
      <w:instrText xml:space="preserve"> TITLE   \* MERGEFORMAT </w:instrText>
    </w:r>
    <w:r>
      <w:fldChar w:fldCharType="separate"/>
    </w:r>
    <w:r>
      <w:t>PSPREG501B Conduct prosecutions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001F3C" w:rsidP="00E451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5E9F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49245D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1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5194"/>
    <w:pPr>
      <w:spacing w:before="360" w:after="60"/>
      <w:outlineLvl w:val="0"/>
    </w:pPr>
    <w:rPr>
      <w:sz w:val="32"/>
    </w:rPr>
  </w:style>
  <w:style w:type="paragraph" w:styleId="Heading2">
    <w:name w:val="heading 2"/>
    <w:basedOn w:val="HeadingBase"/>
    <w:next w:val="BodyText"/>
    <w:link w:val="Heading2Char"/>
    <w:qFormat/>
    <w:rsid w:val="00E45194"/>
    <w:pPr>
      <w:keepLines/>
      <w:spacing w:before="240" w:after="120"/>
      <w:outlineLvl w:val="1"/>
    </w:pPr>
    <w:rPr>
      <w:sz w:val="28"/>
      <w:szCs w:val="40"/>
    </w:rPr>
  </w:style>
  <w:style w:type="paragraph" w:styleId="Heading3">
    <w:name w:val="heading 3"/>
    <w:basedOn w:val="HeadingBase"/>
    <w:next w:val="BodyText"/>
    <w:link w:val="Heading3Char"/>
    <w:qFormat/>
    <w:rsid w:val="00E45194"/>
    <w:pPr>
      <w:spacing w:before="180" w:after="120"/>
      <w:outlineLvl w:val="2"/>
    </w:pPr>
    <w:rPr>
      <w:spacing w:val="-10"/>
      <w:kern w:val="32"/>
    </w:rPr>
  </w:style>
  <w:style w:type="paragraph" w:styleId="Heading4">
    <w:name w:val="heading 4"/>
    <w:basedOn w:val="HeadingBase"/>
    <w:next w:val="BodyText"/>
    <w:link w:val="Heading4Char"/>
    <w:qFormat/>
    <w:rsid w:val="00E45194"/>
    <w:pPr>
      <w:spacing w:before="160" w:after="120"/>
      <w:outlineLvl w:val="3"/>
    </w:pPr>
    <w:rPr>
      <w:sz w:val="22"/>
    </w:rPr>
  </w:style>
  <w:style w:type="paragraph" w:styleId="Heading5">
    <w:name w:val="heading 5"/>
    <w:basedOn w:val="HeadingBase"/>
    <w:next w:val="Normal"/>
    <w:link w:val="Heading5Char"/>
    <w:qFormat/>
    <w:rsid w:val="00E45194"/>
    <w:pPr>
      <w:spacing w:before="80"/>
      <w:outlineLvl w:val="4"/>
    </w:pPr>
    <w:rPr>
      <w:color w:val="918585"/>
      <w:sz w:val="20"/>
    </w:rPr>
  </w:style>
  <w:style w:type="paragraph" w:styleId="Heading6">
    <w:name w:val="heading 6"/>
    <w:basedOn w:val="HeadingBase"/>
    <w:next w:val="Normal"/>
    <w:link w:val="Heading6Char"/>
    <w:qFormat/>
    <w:rsid w:val="00E45194"/>
    <w:pPr>
      <w:spacing w:before="60"/>
      <w:outlineLvl w:val="5"/>
    </w:pPr>
    <w:rPr>
      <w:color w:val="918585"/>
      <w:sz w:val="20"/>
    </w:rPr>
  </w:style>
  <w:style w:type="paragraph" w:styleId="Heading7">
    <w:name w:val="heading 7"/>
    <w:basedOn w:val="Normal"/>
    <w:next w:val="Normal"/>
    <w:link w:val="Heading7Char"/>
    <w:qFormat/>
    <w:rsid w:val="00E45194"/>
    <w:pPr>
      <w:ind w:left="720"/>
      <w:outlineLvl w:val="6"/>
    </w:pPr>
    <w:rPr>
      <w:i/>
    </w:rPr>
  </w:style>
  <w:style w:type="paragraph" w:styleId="Heading8">
    <w:name w:val="heading 8"/>
    <w:basedOn w:val="Normal"/>
    <w:next w:val="Normal"/>
    <w:link w:val="Heading8Char"/>
    <w:qFormat/>
    <w:rsid w:val="00E45194"/>
    <w:pPr>
      <w:ind w:left="720"/>
      <w:outlineLvl w:val="7"/>
    </w:pPr>
    <w:rPr>
      <w:i/>
    </w:rPr>
  </w:style>
  <w:style w:type="paragraph" w:styleId="Heading9">
    <w:name w:val="heading 9"/>
    <w:basedOn w:val="Normal"/>
    <w:next w:val="Normal"/>
    <w:link w:val="Heading9Char"/>
    <w:qFormat/>
    <w:rsid w:val="00E45194"/>
    <w:pPr>
      <w:ind w:left="720"/>
      <w:outlineLvl w:val="8"/>
    </w:pPr>
    <w:rPr>
      <w:i/>
    </w:rPr>
  </w:style>
  <w:style w:type="character" w:default="1" w:styleId="DefaultParagraphFont">
    <w:name w:val="Default Paragraph Font"/>
    <w:uiPriority w:val="1"/>
    <w:unhideWhenUsed/>
    <w:rsid w:val="00E451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5194"/>
  </w:style>
  <w:style w:type="character" w:customStyle="1" w:styleId="Heading1Char">
    <w:name w:val="Heading 1 Char"/>
    <w:basedOn w:val="DefaultParagraphFont"/>
    <w:link w:val="Heading1"/>
    <w:rsid w:val="00E45194"/>
    <w:rPr>
      <w:rFonts w:ascii="Times New Roman" w:eastAsia="Times New Roman" w:hAnsi="Times New Roman" w:cs="Times New Roman"/>
      <w:b/>
      <w:sz w:val="32"/>
      <w:szCs w:val="20"/>
      <w:lang w:eastAsia="en-US"/>
    </w:rPr>
  </w:style>
  <w:style w:type="paragraph" w:styleId="BodyText">
    <w:name w:val="Body Text"/>
    <w:basedOn w:val="Normal"/>
    <w:link w:val="BodyTextChar"/>
    <w:rsid w:val="00E451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5194"/>
    <w:rPr>
      <w:rFonts w:ascii="Times New Roman" w:eastAsia="Times New Roman" w:hAnsi="Times New Roman" w:cs="Times New Roman"/>
      <w:sz w:val="24"/>
      <w:lang w:eastAsia="en-US"/>
    </w:rPr>
  </w:style>
  <w:style w:type="paragraph" w:styleId="Footer">
    <w:name w:val="footer"/>
    <w:basedOn w:val="Normal"/>
    <w:link w:val="FooterChar"/>
    <w:rsid w:val="00E451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5194"/>
    <w:rPr>
      <w:rFonts w:ascii="Times New Roman" w:eastAsia="Times New Roman" w:hAnsi="Times New Roman" w:cs="Times New Roman"/>
      <w:sz w:val="16"/>
      <w:lang w:eastAsia="en-US"/>
    </w:rPr>
  </w:style>
  <w:style w:type="paragraph" w:styleId="List">
    <w:name w:val="List"/>
    <w:basedOn w:val="BodyText"/>
    <w:next w:val="BodyText"/>
    <w:rsid w:val="00E45194"/>
    <w:pPr>
      <w:tabs>
        <w:tab w:val="left" w:pos="340"/>
      </w:tabs>
      <w:spacing w:before="60" w:after="60"/>
      <w:ind w:left="340" w:hanging="340"/>
    </w:pPr>
  </w:style>
  <w:style w:type="character" w:customStyle="1" w:styleId="SpecialBold">
    <w:name w:val="Special Bold"/>
    <w:basedOn w:val="DefaultParagraphFont"/>
    <w:rsid w:val="00E45194"/>
    <w:rPr>
      <w:b/>
      <w:spacing w:val="0"/>
    </w:rPr>
  </w:style>
  <w:style w:type="paragraph" w:styleId="ListBullet2">
    <w:name w:val="List Bullet 2"/>
    <w:basedOn w:val="List2"/>
    <w:rsid w:val="00E45194"/>
    <w:pPr>
      <w:numPr>
        <w:numId w:val="13"/>
      </w:numPr>
      <w:tabs>
        <w:tab w:val="clear" w:pos="680"/>
      </w:tabs>
    </w:pPr>
  </w:style>
  <w:style w:type="character" w:styleId="Emphasis">
    <w:name w:val="Emphasis"/>
    <w:basedOn w:val="DefaultParagraphFont"/>
    <w:qFormat/>
    <w:rsid w:val="00E45194"/>
    <w:rPr>
      <w:i/>
    </w:rPr>
  </w:style>
  <w:style w:type="paragraph" w:customStyle="1" w:styleId="SuperHeading">
    <w:name w:val="SuperHeading"/>
    <w:basedOn w:val="Normal"/>
    <w:rsid w:val="00E45194"/>
    <w:pPr>
      <w:spacing w:before="240" w:after="120"/>
      <w:outlineLvl w:val="0"/>
    </w:pPr>
    <w:rPr>
      <w:rFonts w:ascii="Times New Roman" w:hAnsi="Times New Roman"/>
      <w:b/>
      <w:sz w:val="28"/>
    </w:rPr>
  </w:style>
  <w:style w:type="paragraph" w:customStyle="1" w:styleId="AllowPageBreak">
    <w:name w:val="AllowPageBreak"/>
    <w:rsid w:val="00E451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45194"/>
    <w:rPr>
      <w:b/>
      <w:i/>
      <w:u w:val="none"/>
    </w:rPr>
  </w:style>
  <w:style w:type="character" w:customStyle="1" w:styleId="Heading2Char">
    <w:name w:val="Heading 2 Char"/>
    <w:basedOn w:val="DefaultParagraphFont"/>
    <w:link w:val="Heading2"/>
    <w:rsid w:val="00E451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51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51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51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51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51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51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5194"/>
    <w:rPr>
      <w:rFonts w:ascii="Courier New" w:eastAsia="Times New Roman" w:hAnsi="Courier New" w:cs="Times New Roman"/>
      <w:i/>
      <w:szCs w:val="20"/>
      <w:lang w:eastAsia="en-US"/>
    </w:rPr>
  </w:style>
  <w:style w:type="paragraph" w:customStyle="1" w:styleId="HeadingBase">
    <w:name w:val="Heading Base"/>
    <w:rsid w:val="00E451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5194"/>
    <w:pPr>
      <w:tabs>
        <w:tab w:val="right" w:leader="dot" w:pos="9072"/>
      </w:tabs>
      <w:ind w:left="567"/>
    </w:pPr>
    <w:rPr>
      <w:szCs w:val="22"/>
    </w:rPr>
  </w:style>
  <w:style w:type="paragraph" w:customStyle="1" w:styleId="TOCBase">
    <w:name w:val="TOC Base"/>
    <w:rsid w:val="00E451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5194"/>
    <w:pPr>
      <w:tabs>
        <w:tab w:val="right" w:leader="dot" w:pos="9072"/>
      </w:tabs>
      <w:spacing w:before="40" w:after="40"/>
      <w:ind w:left="284"/>
    </w:pPr>
    <w:rPr>
      <w:rFonts w:ascii="Times New Roman" w:hAnsi="Times New Roman"/>
    </w:rPr>
  </w:style>
  <w:style w:type="paragraph" w:styleId="TOC1">
    <w:name w:val="toc 1"/>
    <w:basedOn w:val="TOCBase"/>
    <w:next w:val="Normal"/>
    <w:rsid w:val="00E451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5194"/>
    <w:pPr>
      <w:spacing w:before="5040"/>
      <w:jc w:val="center"/>
    </w:pPr>
    <w:rPr>
      <w:sz w:val="48"/>
      <w:szCs w:val="72"/>
      <w:lang w:val="en-US"/>
    </w:rPr>
  </w:style>
  <w:style w:type="character" w:customStyle="1" w:styleId="TitleChar">
    <w:name w:val="Title Char"/>
    <w:basedOn w:val="DefaultParagraphFont"/>
    <w:link w:val="Title"/>
    <w:rsid w:val="00E451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5194"/>
    <w:pPr>
      <w:tabs>
        <w:tab w:val="left" w:pos="3600"/>
        <w:tab w:val="left" w:pos="3958"/>
      </w:tabs>
    </w:pPr>
  </w:style>
  <w:style w:type="paragraph" w:styleId="ListBullet">
    <w:name w:val="List Bullet"/>
    <w:basedOn w:val="List"/>
    <w:rsid w:val="00E45194"/>
    <w:pPr>
      <w:numPr>
        <w:numId w:val="12"/>
      </w:numPr>
      <w:tabs>
        <w:tab w:val="clear" w:pos="340"/>
      </w:tabs>
      <w:spacing w:before="40" w:after="40"/>
    </w:pPr>
  </w:style>
  <w:style w:type="paragraph" w:customStyle="1" w:styleId="Note">
    <w:name w:val="Note"/>
    <w:basedOn w:val="BodyText"/>
    <w:rsid w:val="00E451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5194"/>
    <w:pPr>
      <w:framePr w:wrap="auto" w:hAnchor="text" w:y="6049"/>
    </w:pPr>
    <w:rPr>
      <w:color w:val="000000"/>
      <w:sz w:val="40"/>
    </w:rPr>
  </w:style>
  <w:style w:type="paragraph" w:customStyle="1" w:styleId="TOCTitle">
    <w:name w:val="TOCTitle"/>
    <w:basedOn w:val="Heading1"/>
    <w:rsid w:val="00E45194"/>
    <w:pPr>
      <w:spacing w:after="240"/>
      <w:jc w:val="center"/>
      <w:outlineLvl w:val="9"/>
    </w:pPr>
    <w:rPr>
      <w:caps/>
    </w:rPr>
  </w:style>
  <w:style w:type="paragraph" w:customStyle="1" w:styleId="Version">
    <w:name w:val="Version"/>
    <w:rsid w:val="00E451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5194"/>
    <w:pPr>
      <w:keepNext w:val="0"/>
      <w:tabs>
        <w:tab w:val="right" w:pos="4176"/>
      </w:tabs>
      <w:ind w:left="198" w:hanging="198"/>
    </w:pPr>
    <w:rPr>
      <w:rFonts w:ascii="Garamond" w:hAnsi="Garamond"/>
    </w:rPr>
  </w:style>
  <w:style w:type="paragraph" w:styleId="IndexHeading">
    <w:name w:val="index heading"/>
    <w:basedOn w:val="Normal"/>
    <w:next w:val="Index1"/>
    <w:semiHidden/>
    <w:rsid w:val="00E45194"/>
    <w:pPr>
      <w:spacing w:before="120" w:after="120"/>
    </w:pPr>
    <w:rPr>
      <w:rFonts w:ascii="Arial" w:hAnsi="Arial"/>
      <w:b/>
      <w:color w:val="918585"/>
      <w:sz w:val="24"/>
    </w:rPr>
  </w:style>
  <w:style w:type="paragraph" w:styleId="Header">
    <w:name w:val="header"/>
    <w:basedOn w:val="Normal"/>
    <w:link w:val="HeaderChar"/>
    <w:rsid w:val="00E451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5194"/>
    <w:rPr>
      <w:rFonts w:ascii="Times New Roman" w:eastAsia="Times New Roman" w:hAnsi="Times New Roman" w:cs="Times New Roman"/>
      <w:sz w:val="16"/>
      <w:szCs w:val="20"/>
      <w:lang w:val="en-GB" w:eastAsia="en-US"/>
    </w:rPr>
  </w:style>
  <w:style w:type="paragraph" w:customStyle="1" w:styleId="Chapter">
    <w:name w:val="Chapter"/>
    <w:basedOn w:val="Normal"/>
    <w:rsid w:val="00E45194"/>
    <w:pPr>
      <w:spacing w:before="240"/>
    </w:pPr>
    <w:rPr>
      <w:rFonts w:ascii="Times New Roman" w:hAnsi="Times New Roman"/>
      <w:smallCaps/>
      <w:spacing w:val="80"/>
      <w:sz w:val="28"/>
    </w:rPr>
  </w:style>
  <w:style w:type="paragraph" w:customStyle="1" w:styleId="InChapter">
    <w:name w:val="InChapter"/>
    <w:basedOn w:val="Heading3"/>
    <w:rsid w:val="00E45194"/>
    <w:pPr>
      <w:spacing w:after="240"/>
      <w:outlineLvl w:val="9"/>
    </w:pPr>
    <w:rPr>
      <w:noProof/>
    </w:rPr>
  </w:style>
  <w:style w:type="paragraph" w:styleId="Index2">
    <w:name w:val="index 2"/>
    <w:basedOn w:val="Normal"/>
    <w:next w:val="Normal"/>
    <w:semiHidden/>
    <w:rsid w:val="00E45194"/>
    <w:pPr>
      <w:tabs>
        <w:tab w:val="right" w:pos="4176"/>
      </w:tabs>
      <w:ind w:left="568" w:hanging="284"/>
    </w:pPr>
    <w:rPr>
      <w:rFonts w:ascii="Garamond" w:hAnsi="Garamond"/>
    </w:rPr>
  </w:style>
  <w:style w:type="paragraph" w:customStyle="1" w:styleId="Byline">
    <w:name w:val="Byline"/>
    <w:rsid w:val="00E451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5194"/>
    <w:pPr>
      <w:tabs>
        <w:tab w:val="clear" w:pos="3600"/>
        <w:tab w:val="clear" w:pos="3958"/>
      </w:tabs>
      <w:jc w:val="right"/>
    </w:pPr>
  </w:style>
  <w:style w:type="paragraph" w:styleId="Caption">
    <w:name w:val="caption"/>
    <w:basedOn w:val="BodyText"/>
    <w:next w:val="Normal"/>
    <w:qFormat/>
    <w:rsid w:val="00E45194"/>
    <w:pPr>
      <w:framePr w:w="2268" w:hSpace="181" w:vSpace="181" w:wrap="around" w:vAnchor="text" w:hAnchor="page" w:x="1135" w:y="285" w:anchorLock="1"/>
    </w:pPr>
    <w:rPr>
      <w:i/>
    </w:rPr>
  </w:style>
  <w:style w:type="paragraph" w:customStyle="1" w:styleId="MiniTOCTitle">
    <w:name w:val="MiniTOCTitle"/>
    <w:basedOn w:val="Heading4"/>
    <w:rsid w:val="00E45194"/>
    <w:pPr>
      <w:spacing w:before="240"/>
      <w:outlineLvl w:val="9"/>
    </w:pPr>
    <w:rPr>
      <w:noProof/>
      <w:sz w:val="24"/>
    </w:rPr>
  </w:style>
  <w:style w:type="paragraph" w:customStyle="1" w:styleId="MiniTOCItem">
    <w:name w:val="MiniTOCItem"/>
    <w:basedOn w:val="ListBullet"/>
    <w:rsid w:val="00E45194"/>
    <w:pPr>
      <w:numPr>
        <w:numId w:val="0"/>
      </w:numPr>
      <w:tabs>
        <w:tab w:val="right" w:leader="dot" w:pos="6521"/>
      </w:tabs>
      <w:spacing w:before="0" w:after="0"/>
    </w:pPr>
  </w:style>
  <w:style w:type="paragraph" w:customStyle="1" w:styleId="TOFTitle">
    <w:name w:val="TOFTitle"/>
    <w:basedOn w:val="TOCTitle"/>
    <w:rsid w:val="00E45194"/>
  </w:style>
  <w:style w:type="paragraph" w:styleId="TableofFigures">
    <w:name w:val="table of figures"/>
    <w:basedOn w:val="Normal"/>
    <w:next w:val="Normal"/>
    <w:semiHidden/>
    <w:rsid w:val="00E45194"/>
    <w:pPr>
      <w:tabs>
        <w:tab w:val="right" w:leader="dot" w:pos="9072"/>
      </w:tabs>
      <w:ind w:left="970" w:hanging="403"/>
    </w:pPr>
    <w:rPr>
      <w:rFonts w:ascii="Times New Roman" w:hAnsi="Times New Roman"/>
      <w:b/>
    </w:rPr>
  </w:style>
  <w:style w:type="paragraph" w:styleId="ListNumber">
    <w:name w:val="List Number"/>
    <w:basedOn w:val="List"/>
    <w:rsid w:val="00E45194"/>
    <w:pPr>
      <w:numPr>
        <w:numId w:val="10"/>
      </w:numPr>
    </w:pPr>
  </w:style>
  <w:style w:type="character" w:customStyle="1" w:styleId="WingdingSymbols">
    <w:name w:val="Wingding Symbols"/>
    <w:rsid w:val="00E45194"/>
    <w:rPr>
      <w:rFonts w:ascii="Wingdings" w:hAnsi="Wingdings"/>
    </w:rPr>
  </w:style>
  <w:style w:type="paragraph" w:customStyle="1" w:styleId="TableHeading">
    <w:name w:val="Table Heading"/>
    <w:basedOn w:val="HeadingBase"/>
    <w:rsid w:val="00E45194"/>
    <w:pPr>
      <w:keepLines/>
      <w:pBdr>
        <w:bottom w:val="single" w:sz="6" w:space="1" w:color="918585"/>
      </w:pBdr>
      <w:spacing w:before="240"/>
    </w:pPr>
  </w:style>
  <w:style w:type="character" w:customStyle="1" w:styleId="HotSpot">
    <w:name w:val="HotSpot"/>
    <w:rsid w:val="00E45194"/>
    <w:rPr>
      <w:color w:val="0033CC"/>
      <w:u w:val="none"/>
    </w:rPr>
  </w:style>
  <w:style w:type="paragraph" w:customStyle="1" w:styleId="BodyTextRight">
    <w:name w:val="Body Text Right"/>
    <w:basedOn w:val="BodyText"/>
    <w:rsid w:val="00E45194"/>
    <w:pPr>
      <w:spacing w:before="0" w:after="0"/>
      <w:jc w:val="right"/>
    </w:pPr>
  </w:style>
  <w:style w:type="paragraph" w:styleId="Index3">
    <w:name w:val="index 3"/>
    <w:basedOn w:val="ListNumber2"/>
    <w:next w:val="Normal"/>
    <w:semiHidden/>
    <w:rsid w:val="00E45194"/>
    <w:pPr>
      <w:numPr>
        <w:numId w:val="0"/>
      </w:numPr>
      <w:tabs>
        <w:tab w:val="right" w:leader="dot" w:pos="4176"/>
      </w:tabs>
    </w:pPr>
  </w:style>
  <w:style w:type="paragraph" w:styleId="ListNumber2">
    <w:name w:val="List Number 2"/>
    <w:basedOn w:val="List2"/>
    <w:rsid w:val="00E45194"/>
    <w:pPr>
      <w:numPr>
        <w:numId w:val="9"/>
      </w:numPr>
      <w:tabs>
        <w:tab w:val="clear" w:pos="1060"/>
      </w:tabs>
    </w:pPr>
  </w:style>
  <w:style w:type="paragraph" w:customStyle="1" w:styleId="MarginNote">
    <w:name w:val="Margin Note"/>
    <w:basedOn w:val="BodyText"/>
    <w:rsid w:val="00E451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51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51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5194"/>
    <w:rPr>
      <w:sz w:val="32"/>
    </w:rPr>
  </w:style>
  <w:style w:type="paragraph" w:customStyle="1" w:styleId="HeadingProcedure">
    <w:name w:val="Heading Procedure"/>
    <w:basedOn w:val="HeadingBase"/>
    <w:next w:val="Normal"/>
    <w:rsid w:val="00E45194"/>
    <w:pPr>
      <w:tabs>
        <w:tab w:val="left" w:pos="0"/>
      </w:tabs>
      <w:spacing w:before="120" w:after="60"/>
    </w:pPr>
    <w:rPr>
      <w:i/>
      <w:color w:val="918585"/>
      <w:sz w:val="22"/>
    </w:rPr>
  </w:style>
  <w:style w:type="paragraph" w:customStyle="1" w:styleId="TableBodyText">
    <w:name w:val="Table Body Text"/>
    <w:basedOn w:val="BodyText"/>
    <w:rsid w:val="00E45194"/>
    <w:pPr>
      <w:spacing w:before="60" w:after="60"/>
    </w:pPr>
  </w:style>
  <w:style w:type="paragraph" w:styleId="ListContinue">
    <w:name w:val="List Continue"/>
    <w:basedOn w:val="List"/>
    <w:rsid w:val="00E45194"/>
    <w:pPr>
      <w:ind w:firstLine="0"/>
    </w:pPr>
  </w:style>
  <w:style w:type="paragraph" w:customStyle="1" w:styleId="ListNote">
    <w:name w:val="List Note"/>
    <w:basedOn w:val="List"/>
    <w:rsid w:val="00E45194"/>
    <w:pPr>
      <w:pBdr>
        <w:top w:val="single" w:sz="6" w:space="2" w:color="918585"/>
        <w:bottom w:val="single" w:sz="6" w:space="2" w:color="918585"/>
      </w:pBdr>
      <w:tabs>
        <w:tab w:val="left" w:pos="1021"/>
      </w:tabs>
      <w:ind w:firstLine="0"/>
    </w:pPr>
  </w:style>
  <w:style w:type="paragraph" w:customStyle="1" w:styleId="Warning">
    <w:name w:val="Warning"/>
    <w:basedOn w:val="BodyText"/>
    <w:rsid w:val="00E45194"/>
    <w:pPr>
      <w:shd w:val="clear" w:color="auto" w:fill="D9D9D9"/>
      <w:tabs>
        <w:tab w:val="left" w:pos="992"/>
      </w:tabs>
      <w:ind w:left="119" w:right="119"/>
    </w:pPr>
    <w:rPr>
      <w:sz w:val="20"/>
    </w:rPr>
  </w:style>
  <w:style w:type="paragraph" w:customStyle="1" w:styleId="MarginIcons">
    <w:name w:val="Margin Icons"/>
    <w:basedOn w:val="BodyText"/>
    <w:rsid w:val="00E451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5194"/>
    <w:rPr>
      <w:rFonts w:ascii="Courier New" w:hAnsi="Courier New"/>
    </w:rPr>
  </w:style>
  <w:style w:type="paragraph" w:customStyle="1" w:styleId="NoteBullet">
    <w:name w:val="Note Bullet"/>
    <w:basedOn w:val="Note"/>
    <w:rsid w:val="00E45194"/>
    <w:pPr>
      <w:tabs>
        <w:tab w:val="clear" w:pos="680"/>
      </w:tabs>
      <w:spacing w:before="60" w:after="60"/>
    </w:pPr>
  </w:style>
  <w:style w:type="paragraph" w:customStyle="1" w:styleId="SubHeading2">
    <w:name w:val="SubHeading2"/>
    <w:basedOn w:val="HeadingBase"/>
    <w:rsid w:val="00E45194"/>
    <w:pPr>
      <w:spacing w:before="240" w:after="60"/>
    </w:pPr>
    <w:rPr>
      <w:sz w:val="20"/>
    </w:rPr>
  </w:style>
  <w:style w:type="paragraph" w:customStyle="1" w:styleId="SubHeading1">
    <w:name w:val="SubHeading1"/>
    <w:basedOn w:val="HeadingBase"/>
    <w:rsid w:val="00E45194"/>
    <w:pPr>
      <w:spacing w:before="240" w:after="60"/>
    </w:pPr>
    <w:rPr>
      <w:color w:val="918585"/>
      <w:sz w:val="22"/>
    </w:rPr>
  </w:style>
  <w:style w:type="paragraph" w:customStyle="1" w:styleId="SideHeading">
    <w:name w:val="Side Heading"/>
    <w:basedOn w:val="HeadingBase"/>
    <w:rsid w:val="00E451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5194"/>
    <w:pPr>
      <w:tabs>
        <w:tab w:val="num" w:pos="360"/>
      </w:tabs>
    </w:pPr>
  </w:style>
  <w:style w:type="paragraph" w:styleId="PlainText">
    <w:name w:val="Plain Text"/>
    <w:basedOn w:val="Normal"/>
    <w:link w:val="PlainTextChar"/>
    <w:rsid w:val="00E45194"/>
    <w:rPr>
      <w:sz w:val="20"/>
    </w:rPr>
  </w:style>
  <w:style w:type="character" w:customStyle="1" w:styleId="PlainTextChar">
    <w:name w:val="Plain Text Char"/>
    <w:basedOn w:val="DefaultParagraphFont"/>
    <w:link w:val="PlainText"/>
    <w:rsid w:val="00E45194"/>
    <w:rPr>
      <w:rFonts w:ascii="Courier New" w:eastAsia="Times New Roman" w:hAnsi="Courier New" w:cs="Times New Roman"/>
      <w:sz w:val="20"/>
      <w:szCs w:val="20"/>
      <w:lang w:eastAsia="en-US"/>
    </w:rPr>
  </w:style>
  <w:style w:type="character" w:customStyle="1" w:styleId="MenuOption">
    <w:name w:val="Menu Option"/>
    <w:basedOn w:val="DefaultParagraphFont"/>
    <w:rsid w:val="00E45194"/>
    <w:rPr>
      <w:b/>
      <w:smallCaps/>
    </w:rPr>
  </w:style>
  <w:style w:type="paragraph" w:customStyle="1" w:styleId="TableListNumber">
    <w:name w:val="Table List Number"/>
    <w:basedOn w:val="ListNumber"/>
    <w:rsid w:val="00E45194"/>
    <w:pPr>
      <w:numPr>
        <w:numId w:val="0"/>
      </w:numPr>
    </w:pPr>
  </w:style>
  <w:style w:type="paragraph" w:styleId="TOC4">
    <w:name w:val="toc 4"/>
    <w:basedOn w:val="TOCBase"/>
    <w:next w:val="Normal"/>
    <w:semiHidden/>
    <w:rsid w:val="00E45194"/>
    <w:pPr>
      <w:tabs>
        <w:tab w:val="right" w:leader="dot" w:pos="9071"/>
      </w:tabs>
      <w:ind w:left="1701"/>
    </w:pPr>
  </w:style>
  <w:style w:type="paragraph" w:customStyle="1" w:styleId="ListAlpha">
    <w:name w:val="List Alpha"/>
    <w:basedOn w:val="List"/>
    <w:rsid w:val="00E45194"/>
    <w:pPr>
      <w:numPr>
        <w:numId w:val="8"/>
      </w:numPr>
    </w:pPr>
  </w:style>
  <w:style w:type="paragraph" w:customStyle="1" w:styleId="ListAlpha2">
    <w:name w:val="List Alpha 2"/>
    <w:basedOn w:val="List2"/>
    <w:rsid w:val="00E45194"/>
    <w:pPr>
      <w:numPr>
        <w:numId w:val="7"/>
      </w:numPr>
    </w:pPr>
  </w:style>
  <w:style w:type="paragraph" w:styleId="List2">
    <w:name w:val="List 2"/>
    <w:basedOn w:val="BodyText"/>
    <w:rsid w:val="00E45194"/>
    <w:pPr>
      <w:tabs>
        <w:tab w:val="left" w:pos="680"/>
      </w:tabs>
      <w:spacing w:before="60" w:after="60"/>
      <w:ind w:left="680" w:hanging="340"/>
    </w:pPr>
  </w:style>
  <w:style w:type="paragraph" w:styleId="List3">
    <w:name w:val="List 3"/>
    <w:basedOn w:val="BodyText"/>
    <w:rsid w:val="00E45194"/>
    <w:pPr>
      <w:tabs>
        <w:tab w:val="left" w:pos="1021"/>
      </w:tabs>
      <w:spacing w:before="60" w:after="60"/>
      <w:ind w:left="1020" w:hanging="340"/>
    </w:pPr>
  </w:style>
  <w:style w:type="paragraph" w:styleId="List4">
    <w:name w:val="List 4"/>
    <w:basedOn w:val="BodyText"/>
    <w:rsid w:val="00E45194"/>
    <w:pPr>
      <w:tabs>
        <w:tab w:val="left" w:pos="1361"/>
      </w:tabs>
      <w:spacing w:before="60" w:after="60"/>
      <w:ind w:left="1361" w:hanging="340"/>
    </w:pPr>
  </w:style>
  <w:style w:type="paragraph" w:styleId="List5">
    <w:name w:val="List 5"/>
    <w:basedOn w:val="BodyText"/>
    <w:rsid w:val="00E45194"/>
    <w:pPr>
      <w:tabs>
        <w:tab w:val="left" w:pos="1701"/>
      </w:tabs>
      <w:spacing w:before="60" w:after="60"/>
      <w:ind w:left="1701" w:hanging="340"/>
    </w:pPr>
  </w:style>
  <w:style w:type="paragraph" w:styleId="ListBullet3">
    <w:name w:val="List Bullet 3"/>
    <w:basedOn w:val="List3"/>
    <w:rsid w:val="00E45194"/>
    <w:pPr>
      <w:numPr>
        <w:numId w:val="14"/>
      </w:numPr>
      <w:tabs>
        <w:tab w:val="clear" w:pos="1021"/>
      </w:tabs>
      <w:ind w:left="1037" w:hanging="357"/>
    </w:pPr>
  </w:style>
  <w:style w:type="paragraph" w:styleId="ListBullet4">
    <w:name w:val="List Bullet 4"/>
    <w:basedOn w:val="List4"/>
    <w:rsid w:val="00E45194"/>
    <w:pPr>
      <w:numPr>
        <w:numId w:val="2"/>
      </w:numPr>
    </w:pPr>
  </w:style>
  <w:style w:type="paragraph" w:styleId="ListBullet5">
    <w:name w:val="List Bullet 5"/>
    <w:basedOn w:val="List5"/>
    <w:rsid w:val="00E45194"/>
    <w:pPr>
      <w:numPr>
        <w:numId w:val="3"/>
      </w:numPr>
    </w:pPr>
  </w:style>
  <w:style w:type="paragraph" w:styleId="ListContinue2">
    <w:name w:val="List Continue 2"/>
    <w:basedOn w:val="List2"/>
    <w:rsid w:val="00E45194"/>
    <w:pPr>
      <w:ind w:firstLine="0"/>
    </w:pPr>
  </w:style>
  <w:style w:type="paragraph" w:styleId="ListContinue3">
    <w:name w:val="List Continue 3"/>
    <w:basedOn w:val="List3"/>
    <w:rsid w:val="00E45194"/>
    <w:pPr>
      <w:ind w:left="1021" w:firstLine="0"/>
    </w:pPr>
  </w:style>
  <w:style w:type="paragraph" w:styleId="ListContinue4">
    <w:name w:val="List Continue 4"/>
    <w:basedOn w:val="List4"/>
    <w:rsid w:val="00E45194"/>
    <w:pPr>
      <w:ind w:firstLine="0"/>
    </w:pPr>
  </w:style>
  <w:style w:type="paragraph" w:styleId="ListContinue5">
    <w:name w:val="List Continue 5"/>
    <w:basedOn w:val="List5"/>
    <w:rsid w:val="00E45194"/>
    <w:pPr>
      <w:ind w:firstLine="0"/>
    </w:pPr>
  </w:style>
  <w:style w:type="paragraph" w:styleId="ListNumber3">
    <w:name w:val="List Number 3"/>
    <w:basedOn w:val="List3"/>
    <w:rsid w:val="00E45194"/>
    <w:pPr>
      <w:numPr>
        <w:numId w:val="4"/>
      </w:numPr>
    </w:pPr>
  </w:style>
  <w:style w:type="paragraph" w:styleId="ListNumber4">
    <w:name w:val="List Number 4"/>
    <w:basedOn w:val="List4"/>
    <w:rsid w:val="00E45194"/>
    <w:pPr>
      <w:numPr>
        <w:numId w:val="5"/>
      </w:numPr>
    </w:pPr>
  </w:style>
  <w:style w:type="paragraph" w:styleId="ListNumber5">
    <w:name w:val="List Number 5"/>
    <w:basedOn w:val="List5"/>
    <w:rsid w:val="00E45194"/>
    <w:pPr>
      <w:numPr>
        <w:numId w:val="6"/>
      </w:numPr>
    </w:pPr>
  </w:style>
  <w:style w:type="paragraph" w:styleId="BlockText">
    <w:name w:val="Block Text"/>
    <w:basedOn w:val="Normal"/>
    <w:rsid w:val="00E45194"/>
    <w:pPr>
      <w:spacing w:after="120"/>
      <w:ind w:left="1440" w:right="1440"/>
    </w:pPr>
  </w:style>
  <w:style w:type="character" w:customStyle="1" w:styleId="Subscript">
    <w:name w:val="Subscript"/>
    <w:basedOn w:val="DefaultParagraphFont"/>
    <w:rsid w:val="00E45194"/>
    <w:rPr>
      <w:sz w:val="16"/>
      <w:vertAlign w:val="subscript"/>
    </w:rPr>
  </w:style>
  <w:style w:type="character" w:customStyle="1" w:styleId="Superscript">
    <w:name w:val="Superscript"/>
    <w:basedOn w:val="DefaultParagraphFont"/>
    <w:rsid w:val="00E45194"/>
    <w:rPr>
      <w:sz w:val="16"/>
      <w:vertAlign w:val="superscript"/>
    </w:rPr>
  </w:style>
  <w:style w:type="character" w:customStyle="1" w:styleId="Symbols">
    <w:name w:val="Symbols"/>
    <w:basedOn w:val="DefaultParagraphFont"/>
    <w:rsid w:val="00E45194"/>
    <w:rPr>
      <w:rFonts w:ascii="Symbol" w:hAnsi="Symbol"/>
    </w:rPr>
  </w:style>
  <w:style w:type="character" w:customStyle="1" w:styleId="MenuOptions">
    <w:name w:val="Menu Options"/>
    <w:basedOn w:val="DefaultParagraphFont"/>
    <w:rsid w:val="00E45194"/>
    <w:rPr>
      <w:rFonts w:ascii="Arial Narrow" w:hAnsi="Arial Narrow"/>
      <w:smallCaps/>
    </w:rPr>
  </w:style>
  <w:style w:type="character" w:customStyle="1" w:styleId="Buttons">
    <w:name w:val="Buttons"/>
    <w:basedOn w:val="DefaultParagraphFont"/>
    <w:rsid w:val="00E45194"/>
    <w:rPr>
      <w:b/>
    </w:rPr>
  </w:style>
  <w:style w:type="character" w:customStyle="1" w:styleId="Underlined">
    <w:name w:val="Underlined"/>
    <w:basedOn w:val="DefaultParagraphFont"/>
    <w:rsid w:val="00E45194"/>
    <w:rPr>
      <w:u w:val="single"/>
    </w:rPr>
  </w:style>
  <w:style w:type="paragraph" w:customStyle="1" w:styleId="TableBodyTextRight">
    <w:name w:val="Table Body Text Right"/>
    <w:basedOn w:val="TableBodyText"/>
    <w:rsid w:val="00E45194"/>
    <w:pPr>
      <w:widowControl w:val="0"/>
      <w:autoSpaceDE w:val="0"/>
      <w:autoSpaceDN w:val="0"/>
      <w:adjustRightInd w:val="0"/>
      <w:jc w:val="right"/>
    </w:pPr>
    <w:rPr>
      <w:rFonts w:cs="Arial"/>
      <w:szCs w:val="18"/>
    </w:rPr>
  </w:style>
  <w:style w:type="paragraph" w:customStyle="1" w:styleId="CopyrightText">
    <w:name w:val="Copyright Text"/>
    <w:basedOn w:val="BodyText"/>
    <w:rsid w:val="00E45194"/>
    <w:rPr>
      <w:sz w:val="18"/>
    </w:rPr>
  </w:style>
  <w:style w:type="paragraph" w:customStyle="1" w:styleId="BodySmallRight">
    <w:name w:val="Body Small Right"/>
    <w:basedOn w:val="BodyTextRight"/>
    <w:rsid w:val="00E45194"/>
    <w:rPr>
      <w:sz w:val="18"/>
      <w:szCs w:val="18"/>
    </w:rPr>
  </w:style>
  <w:style w:type="paragraph" w:customStyle="1" w:styleId="MarginEdition">
    <w:name w:val="Margin Edition"/>
    <w:basedOn w:val="MarginNote"/>
    <w:rsid w:val="00E45194"/>
    <w:pPr>
      <w:spacing w:before="0" w:after="0"/>
    </w:pPr>
    <w:rPr>
      <w:rFonts w:ascii="Times New Roman" w:hAnsi="Times New Roman"/>
      <w:color w:val="999999"/>
    </w:rPr>
  </w:style>
  <w:style w:type="paragraph" w:customStyle="1" w:styleId="Spacer">
    <w:name w:val="Spacer"/>
    <w:basedOn w:val="Normal"/>
    <w:rsid w:val="00E45194"/>
    <w:rPr>
      <w:sz w:val="2"/>
      <w:szCs w:val="2"/>
    </w:rPr>
  </w:style>
  <w:style w:type="character" w:customStyle="1" w:styleId="Small">
    <w:name w:val="Small"/>
    <w:basedOn w:val="DefaultParagraphFont"/>
    <w:rsid w:val="00E45194"/>
    <w:rPr>
      <w:sz w:val="16"/>
    </w:rPr>
  </w:style>
  <w:style w:type="paragraph" w:customStyle="1" w:styleId="WideTable">
    <w:name w:val="Wide Table"/>
    <w:basedOn w:val="Normal"/>
    <w:rsid w:val="00E45194"/>
    <w:pPr>
      <w:ind w:left="-1418"/>
    </w:pPr>
    <w:rPr>
      <w:sz w:val="2"/>
      <w:szCs w:val="2"/>
    </w:rPr>
  </w:style>
  <w:style w:type="character" w:styleId="PageNumber">
    <w:name w:val="page number"/>
    <w:basedOn w:val="DefaultParagraphFont"/>
    <w:rsid w:val="00E45194"/>
  </w:style>
  <w:style w:type="paragraph" w:styleId="Quote">
    <w:name w:val="Quote"/>
    <w:basedOn w:val="Heading1"/>
    <w:link w:val="QuoteChar"/>
    <w:qFormat/>
    <w:rsid w:val="00E45194"/>
    <w:rPr>
      <w:b w:val="0"/>
      <w:sz w:val="72"/>
      <w:szCs w:val="72"/>
      <w:lang w:val="en-NZ"/>
    </w:rPr>
  </w:style>
  <w:style w:type="character" w:customStyle="1" w:styleId="QuoteChar">
    <w:name w:val="Quote Char"/>
    <w:basedOn w:val="DefaultParagraphFont"/>
    <w:link w:val="Quote"/>
    <w:rsid w:val="00E451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5194"/>
    <w:pPr>
      <w:pageBreakBefore/>
    </w:pPr>
  </w:style>
  <w:style w:type="paragraph" w:customStyle="1" w:styleId="Border">
    <w:name w:val="Border"/>
    <w:basedOn w:val="Normal"/>
    <w:qFormat/>
    <w:rsid w:val="00E451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5194"/>
    <w:rPr>
      <w:b/>
      <w:bCs/>
      <w:i/>
      <w:iCs/>
      <w:color w:val="auto"/>
    </w:rPr>
  </w:style>
  <w:style w:type="paragraph" w:styleId="IntenseQuote">
    <w:name w:val="Intense Quote"/>
    <w:basedOn w:val="Normal"/>
    <w:next w:val="Normal"/>
    <w:link w:val="IntenseQuoteChar"/>
    <w:uiPriority w:val="30"/>
    <w:qFormat/>
    <w:rsid w:val="00E451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51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5194"/>
    <w:rPr>
      <w:smallCaps/>
      <w:color w:val="auto"/>
      <w:u w:val="single"/>
    </w:rPr>
  </w:style>
  <w:style w:type="character" w:styleId="IntenseReference">
    <w:name w:val="Intense Reference"/>
    <w:basedOn w:val="DefaultParagraphFont"/>
    <w:uiPriority w:val="32"/>
    <w:qFormat/>
    <w:rsid w:val="00E45194"/>
    <w:rPr>
      <w:b/>
      <w:bCs/>
      <w:smallCaps/>
      <w:color w:val="auto"/>
      <w:spacing w:val="5"/>
      <w:u w:val="single"/>
    </w:rPr>
  </w:style>
  <w:style w:type="paragraph" w:customStyle="1" w:styleId="2ColumnHeading">
    <w:name w:val="2Column Heading"/>
    <w:basedOn w:val="BodyText"/>
    <w:qFormat/>
    <w:rsid w:val="00E45194"/>
    <w:pPr>
      <w:spacing w:after="60"/>
      <w:ind w:left="-2268"/>
    </w:pPr>
    <w:rPr>
      <w:b/>
    </w:rPr>
  </w:style>
  <w:style w:type="paragraph" w:customStyle="1" w:styleId="Heading1TOC">
    <w:name w:val="Heading1 TOC"/>
    <w:basedOn w:val="Normal"/>
    <w:qFormat/>
    <w:rsid w:val="00E45194"/>
    <w:pPr>
      <w:spacing w:before="240" w:after="120"/>
    </w:pPr>
    <w:rPr>
      <w:rFonts w:ascii="Times New Roman" w:hAnsi="Times New Roman"/>
      <w:b/>
      <w:sz w:val="32"/>
    </w:rPr>
  </w:style>
  <w:style w:type="paragraph" w:customStyle="1" w:styleId="Heading2TOC">
    <w:name w:val="Heading2 TOC"/>
    <w:basedOn w:val="Normal"/>
    <w:qFormat/>
    <w:rsid w:val="00E45194"/>
    <w:pPr>
      <w:spacing w:before="240" w:after="60"/>
    </w:pPr>
    <w:rPr>
      <w:rFonts w:ascii="Times New Roman" w:hAnsi="Times New Roman"/>
      <w:b/>
      <w:sz w:val="28"/>
    </w:rPr>
  </w:style>
  <w:style w:type="character" w:customStyle="1" w:styleId="Underline">
    <w:name w:val="Underline"/>
    <w:basedOn w:val="DefaultParagraphFont"/>
    <w:qFormat/>
    <w:rsid w:val="00E45194"/>
    <w:rPr>
      <w:u w:val="single"/>
    </w:rPr>
  </w:style>
  <w:style w:type="paragraph" w:styleId="BalloonText">
    <w:name w:val="Balloon Text"/>
    <w:basedOn w:val="Normal"/>
    <w:link w:val="BalloonTextChar"/>
    <w:rsid w:val="00E45194"/>
    <w:rPr>
      <w:rFonts w:ascii="Tahoma" w:hAnsi="Tahoma" w:cs="Tahoma"/>
      <w:sz w:val="16"/>
      <w:szCs w:val="16"/>
    </w:rPr>
  </w:style>
  <w:style w:type="character" w:customStyle="1" w:styleId="BalloonTextChar">
    <w:name w:val="Balloon Text Char"/>
    <w:basedOn w:val="DefaultParagraphFont"/>
    <w:link w:val="BalloonText"/>
    <w:rsid w:val="00E451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51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51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5194"/>
    <w:rPr>
      <w:b/>
      <w:color w:val="660033"/>
      <w:spacing w:val="0"/>
    </w:rPr>
  </w:style>
  <w:style w:type="paragraph" w:customStyle="1" w:styleId="Nameditemlist">
    <w:name w:val="Named item list"/>
    <w:basedOn w:val="BodyText"/>
    <w:qFormat/>
    <w:rsid w:val="00E451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949</Words>
  <Characters>6095</Characters>
  <Application>Microsoft Office Word</Application>
  <DocSecurity>0</DocSecurity>
  <Lines>226</Lines>
  <Paragraphs>143</Paragraphs>
  <ScaleCrop>false</ScaleCrop>
  <Company>Author-it Software Corporation Ltd.</Company>
  <LinksUpToDate>false</LinksUpToDate>
  <CharactersWithSpaces>6978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PSPREG501B Conduct prosecutions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2012-11-01T17:27:00Z</dcterms:created>
  <dcterms:modified xsi:type="dcterms:W3CDTF">2012-11-01T17:27:00Z</dcterms:modified>
</cp:coreProperties>
</file>