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45B" w:rsidP="006A545B">
      <w:pPr>
        <w:pStyle w:val="Title"/>
      </w:pPr>
      <w:bookmarkStart w:id="0" w:name="_GoBack"/>
      <w:bookmarkEnd w:id="0"/>
      <w:r>
        <w:fldChar w:fldCharType="begin"/>
      </w:r>
      <w:r>
        <w:instrText xml:space="preserve"> TITLE   \* MERGEFORMAT </w:instrText>
      </w:r>
      <w:r>
        <w:fldChar w:fldCharType="separate"/>
      </w:r>
      <w:r>
        <w:t>PSPREG420A Plan and implement recovery action</w:t>
      </w:r>
      <w:r>
        <w:fldChar w:fldCharType="end"/>
      </w:r>
    </w:p>
    <w:p w:rsidR="006A545B" w:rsidP="006A545B">
      <w:pPr>
        <w:pStyle w:val="Version"/>
        <w:sectPr w:rsidSect="00AD0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D0D1C" w:rsidP="00AD0D1C">
      <w:pPr>
        <w:pStyle w:val="SuperHeading"/>
      </w:pPr>
      <w:r w:rsidRPr="00AD0D1C">
        <w:t>PSPREG420A Plan and implement recovery action</w:t>
      </w:r>
    </w:p>
    <w:p w:rsidR="00000000" w:rsidRPr="00AD0D1C" w:rsidP="00AD0D1C">
      <w:pPr>
        <w:pStyle w:val="SuperHeading"/>
      </w:pPr>
    </w:p>
    <w:p w:rsidR="00000000" w:rsidRPr="00AD0D1C" w:rsidP="00AD0D1C">
      <w:pPr>
        <w:pStyle w:val="Heading1"/>
      </w:pPr>
      <w:bookmarkStart w:id="1" w:name="O_498728"/>
      <w:bookmarkEnd w:id="1"/>
      <w:r w:rsidRPr="00AD0D1C">
        <w:t>Modification History</w:t>
      </w:r>
    </w:p>
    <w:tbl>
      <w:tblPr>
        <w:tblW w:w="0" w:type="auto"/>
        <w:tblLayout w:type="fixed"/>
        <w:tblCellMar>
          <w:left w:w="62" w:type="dxa"/>
          <w:right w:w="62" w:type="dxa"/>
        </w:tblCellMar>
        <w:tblLook w:val="0000"/>
      </w:tblPr>
      <w:tblGrid>
        <w:gridCol w:w="3052"/>
        <w:gridCol w:w="3052"/>
        <w:gridCol w:w="3052"/>
      </w:tblGrid>
      <w:tr w:rsidTr="006A545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D1C" w:rsidP="00AD0D1C">
            <w:pPr>
              <w:pStyle w:val="BodyText"/>
            </w:pPr>
            <w:r w:rsidRPr="00AD0D1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D1C" w:rsidP="00AD0D1C">
            <w:pPr>
              <w:pStyle w:val="BodyText"/>
            </w:pPr>
            <w:r w:rsidRPr="00AD0D1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D1C">
            <w:pPr>
              <w:pStyle w:val="BodyText"/>
              <w:rPr>
                <w:lang w:val="en-NZ"/>
              </w:rPr>
            </w:pPr>
            <w:r w:rsidRPr="00AD0D1C">
              <w:rPr>
                <w:rStyle w:val="SpecialBold"/>
              </w:rPr>
              <w:t>Comments</w:t>
            </w:r>
          </w:p>
        </w:tc>
      </w:tr>
      <w:tr w:rsidTr="006A545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D1C">
            <w:pPr>
              <w:pStyle w:val="BodyText"/>
              <w:rPr>
                <w:lang w:val="en-NZ"/>
              </w:rPr>
            </w:pPr>
            <w:r w:rsidRPr="00AD0D1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D1C">
            <w:pPr>
              <w:pStyle w:val="BodyText"/>
              <w:rPr>
                <w:lang w:val="en-NZ"/>
              </w:rPr>
            </w:pPr>
            <w:r w:rsidRPr="00AD0D1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D1C">
            <w:pPr>
              <w:pStyle w:val="BodyText"/>
              <w:rPr>
                <w:lang w:val="en-NZ"/>
              </w:rPr>
            </w:pPr>
            <w:r w:rsidRPr="00AD0D1C">
              <w:t xml:space="preserve">Unit descriptor edited. </w:t>
            </w:r>
          </w:p>
        </w:tc>
      </w:tr>
      <w:tr w:rsidTr="006A545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D1C">
            <w:pPr>
              <w:pStyle w:val="BodyText"/>
              <w:rPr>
                <w:lang w:val="en-NZ"/>
              </w:rPr>
            </w:pPr>
            <w:r w:rsidRPr="00AD0D1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D1C">
            <w:pPr>
              <w:pStyle w:val="BodyText"/>
              <w:rPr>
                <w:lang w:val="en-NZ"/>
              </w:rPr>
            </w:pPr>
            <w:r w:rsidRPr="00AD0D1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D1C">
            <w:pPr>
              <w:pStyle w:val="BodyText"/>
              <w:rPr>
                <w:lang w:val="en-NZ"/>
              </w:rPr>
            </w:pPr>
            <w:r w:rsidRPr="00AD0D1C">
              <w:t>Layout adjusted. No changes to content.</w:t>
            </w:r>
          </w:p>
        </w:tc>
      </w:tr>
      <w:tr w:rsidTr="006A545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D1C">
            <w:pPr>
              <w:pStyle w:val="BodyText"/>
              <w:rPr>
                <w:lang w:val="en-NZ"/>
              </w:rPr>
            </w:pPr>
            <w:r w:rsidRPr="00AD0D1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D1C">
            <w:pPr>
              <w:pStyle w:val="BodyText"/>
              <w:rPr>
                <w:lang w:val="en-NZ"/>
              </w:rPr>
            </w:pPr>
            <w:r w:rsidRPr="00AD0D1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D1C" w:rsidP="00AD0D1C">
            <w:pPr>
              <w:pStyle w:val="BodyText"/>
            </w:pPr>
            <w:r w:rsidRPr="00AD0D1C">
              <w:t>Primary release.</w:t>
            </w:r>
          </w:p>
        </w:tc>
      </w:tr>
    </w:tbl>
    <w:p w:rsidR="006A545B" w:rsidP="00AD0D1C">
      <w:pPr>
        <w:pStyle w:val="BodyText"/>
      </w:pPr>
    </w:p>
    <w:p w:rsidR="006A545B" w:rsidP="00AD0D1C">
      <w:pPr>
        <w:pStyle w:val="BodyText"/>
      </w:pPr>
    </w:p>
    <w:p w:rsidR="00000000" w:rsidRPr="00AD0D1C" w:rsidP="00AD0D1C">
      <w:pPr>
        <w:pStyle w:val="Heading1"/>
      </w:pPr>
      <w:bookmarkStart w:id="2" w:name="O_498726"/>
      <w:bookmarkEnd w:id="2"/>
      <w:r w:rsidRPr="00AD0D1C">
        <w:t>Unit Descriptor</w:t>
      </w:r>
    </w:p>
    <w:p w:rsidR="00000000" w:rsidRPr="00AD0D1C" w:rsidP="00AD0D1C">
      <w:pPr>
        <w:pStyle w:val="BodyText"/>
      </w:pPr>
      <w:r w:rsidRPr="00AD0D1C">
        <w:t>This unit covers recovery actions as a result of a successful investigation/prosecution. It includes assessing the potential for recovery action, ga</w:t>
      </w:r>
      <w:r w:rsidRPr="00AD0D1C">
        <w:t>ining approvals and implementing the action.</w:t>
      </w:r>
    </w:p>
    <w:p w:rsidR="00000000" w:rsidRPr="00AD0D1C" w:rsidP="00AD0D1C">
      <w:pPr>
        <w:pStyle w:val="BodyText"/>
      </w:pPr>
      <w:r w:rsidRPr="00AD0D1C">
        <w:t>In practice, planning and implementing a recovery action may overlap with other generalist or specialist public sector work activities such as acting ethically, complying with legislation, applying government pr</w:t>
      </w:r>
      <w:r w:rsidRPr="00AD0D1C">
        <w:t>ocesses, advising on and finalising investigations.</w:t>
      </w:r>
    </w:p>
    <w:p w:rsidR="006A545B" w:rsidP="00AD0D1C">
      <w:pPr>
        <w:pStyle w:val="BodyText"/>
      </w:pPr>
      <w:r w:rsidRPr="00AD0D1C">
        <w:t>No licensing, legislative, regulatory or certification requirements apply to this unit at the time of endorsement.</w:t>
      </w:r>
    </w:p>
    <w:p w:rsidR="006A545B" w:rsidP="00AD0D1C">
      <w:pPr>
        <w:pStyle w:val="BodyText"/>
      </w:pPr>
    </w:p>
    <w:p w:rsidR="00000000" w:rsidRPr="00AD0D1C" w:rsidP="00AD0D1C">
      <w:pPr>
        <w:pStyle w:val="Heading1"/>
      </w:pPr>
      <w:bookmarkStart w:id="3" w:name="O_498738"/>
      <w:bookmarkEnd w:id="3"/>
      <w:r w:rsidRPr="00AD0D1C">
        <w:t>Application of the Unit</w:t>
      </w:r>
    </w:p>
    <w:p w:rsidR="00000000" w:rsidRPr="00AD0D1C" w:rsidP="00AD0D1C">
      <w:pPr>
        <w:pStyle w:val="BodyText"/>
      </w:pPr>
      <w:r w:rsidRPr="00AD0D1C">
        <w:t>Not applicable.</w:t>
      </w:r>
    </w:p>
    <w:p w:rsidR="00000000" w:rsidRPr="00AD0D1C" w:rsidP="00AD0D1C">
      <w:pPr>
        <w:pStyle w:val="AllowPageBreak"/>
      </w:pPr>
    </w:p>
    <w:p w:rsidR="00000000" w:rsidRPr="00AD0D1C" w:rsidP="00AD0D1C">
      <w:pPr>
        <w:pStyle w:val="Heading1"/>
      </w:pPr>
      <w:bookmarkStart w:id="4" w:name="O_498727"/>
      <w:bookmarkEnd w:id="4"/>
      <w:r w:rsidRPr="00AD0D1C">
        <w:t>Licensing/Regulatory Information</w:t>
      </w:r>
    </w:p>
    <w:p w:rsidR="00000000" w:rsidRPr="00AD0D1C" w:rsidP="00AD0D1C">
      <w:pPr>
        <w:pStyle w:val="BodyText"/>
      </w:pPr>
      <w:r w:rsidRPr="00AD0D1C">
        <w:t>Not applicable.</w:t>
      </w:r>
    </w:p>
    <w:p w:rsidR="00000000" w:rsidRPr="00AD0D1C" w:rsidP="00AD0D1C">
      <w:pPr>
        <w:pStyle w:val="AllowPageBreak"/>
      </w:pPr>
    </w:p>
    <w:p w:rsidR="00000000" w:rsidRPr="00AD0D1C" w:rsidP="00AD0D1C">
      <w:pPr>
        <w:pStyle w:val="Heading1"/>
      </w:pPr>
      <w:bookmarkStart w:id="5" w:name="O_498733"/>
      <w:bookmarkEnd w:id="5"/>
      <w:r w:rsidRPr="00AD0D1C">
        <w:t>Pre-Requisites</w:t>
      </w:r>
    </w:p>
    <w:p w:rsidR="00000000" w:rsidRPr="00AD0D1C" w:rsidP="00AD0D1C">
      <w:pPr>
        <w:pStyle w:val="BodyText"/>
      </w:pPr>
      <w:r w:rsidRPr="00AD0D1C">
        <w:t>Not applicable.</w:t>
      </w:r>
    </w:p>
    <w:p w:rsidR="00000000" w:rsidRPr="00AD0D1C" w:rsidP="00AD0D1C">
      <w:pPr>
        <w:pStyle w:val="AllowPageBreak"/>
      </w:pPr>
    </w:p>
    <w:p w:rsidR="00000000" w:rsidRPr="00AD0D1C" w:rsidP="00AD0D1C">
      <w:pPr>
        <w:pStyle w:val="Heading1"/>
      </w:pPr>
      <w:bookmarkStart w:id="6" w:name="O_498734"/>
      <w:bookmarkEnd w:id="6"/>
      <w:r w:rsidRPr="00AD0D1C">
        <w:t>Employability Skills Information</w:t>
      </w:r>
    </w:p>
    <w:p w:rsidR="00000000" w:rsidRPr="00AD0D1C" w:rsidP="00AD0D1C">
      <w:pPr>
        <w:pStyle w:val="BodyText"/>
      </w:pPr>
      <w:r w:rsidRPr="00AD0D1C">
        <w:t>This unit contains employability skills.</w:t>
      </w:r>
    </w:p>
    <w:p w:rsidR="00000000" w:rsidRPr="00AD0D1C" w:rsidP="00AD0D1C">
      <w:pPr>
        <w:pStyle w:val="AllowPageBreak"/>
      </w:pPr>
    </w:p>
    <w:p w:rsidR="00000000" w:rsidRPr="00AD0D1C" w:rsidP="00AD0D1C">
      <w:pPr>
        <w:pStyle w:val="Heading1"/>
      </w:pPr>
      <w:bookmarkStart w:id="7" w:name="O_498735"/>
      <w:bookmarkEnd w:id="7"/>
      <w:r w:rsidRPr="00AD0D1C">
        <w:t>Elements and Performance Criteria Pre-Content</w:t>
      </w:r>
    </w:p>
    <w:tbl>
      <w:tblPr>
        <w:tblW w:w="9322" w:type="dxa"/>
        <w:tblLayout w:type="fixed"/>
        <w:tblCellMar>
          <w:left w:w="62" w:type="dxa"/>
          <w:right w:w="62" w:type="dxa"/>
        </w:tblCellMar>
        <w:tblLook w:val="0000"/>
      </w:tblPr>
      <w:tblGrid>
        <w:gridCol w:w="2660"/>
        <w:gridCol w:w="6662"/>
      </w:tblGrid>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t>Eleme</w:t>
            </w:r>
            <w:r w:rsidRPr="00AD0D1C">
              <w:t>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BodyText"/>
            </w:pPr>
            <w:r w:rsidRPr="00AD0D1C">
              <w:t xml:space="preserve">Together, performance criteria specify the requirements for competent performance. Text in </w:t>
            </w:r>
            <w:r w:rsidRPr="00AD0D1C">
              <w:rPr>
                <w:rStyle w:val="BoldandItalics"/>
              </w:rPr>
              <w:t>bold italics</w:t>
            </w:r>
            <w:r w:rsidRPr="00AD0D1C">
              <w:t xml:space="preserve">  is explained in the Range Statement following.</w:t>
            </w:r>
          </w:p>
        </w:tc>
      </w:tr>
    </w:tbl>
    <w:p w:rsidR="00000000" w:rsidRPr="00AD0D1C" w:rsidP="00AD0D1C">
      <w:pPr>
        <w:pStyle w:val="BodyText"/>
      </w:pPr>
    </w:p>
    <w:p w:rsidR="00000000" w:rsidRPr="00AD0D1C" w:rsidP="00AD0D1C">
      <w:pPr>
        <w:pStyle w:val="AllowPageBreak"/>
      </w:pPr>
    </w:p>
    <w:p w:rsidR="00000000" w:rsidRPr="00AD0D1C" w:rsidP="00AD0D1C">
      <w:pPr>
        <w:pStyle w:val="Heading1"/>
      </w:pPr>
      <w:bookmarkStart w:id="8" w:name="O_498736"/>
      <w:bookmarkEnd w:id="8"/>
      <w:r w:rsidRPr="00AD0D1C">
        <w:t>Elements and Performance Criteria</w:t>
      </w:r>
    </w:p>
    <w:tbl>
      <w:tblPr>
        <w:tblW w:w="9322" w:type="dxa"/>
        <w:tblLayout w:type="fixed"/>
        <w:tblCellMar>
          <w:left w:w="62" w:type="dxa"/>
          <w:right w:w="62" w:type="dxa"/>
        </w:tblCellMar>
        <w:tblLook w:val="0000"/>
      </w:tblPr>
      <w:tblGrid>
        <w:gridCol w:w="2660"/>
        <w:gridCol w:w="6662"/>
      </w:tblGrid>
      <w:tr w:rsidTr="006A545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D0D1C" w:rsidP="00AD0D1C">
            <w:pPr>
              <w:pStyle w:val="BodyText"/>
            </w:pPr>
            <w:r w:rsidRPr="00AD0D1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rPr>
                <w:rStyle w:val="SpecialBold"/>
              </w:rPr>
              <w:t>PERFORMANCE CRITERIA</w:t>
            </w:r>
          </w:p>
        </w:tc>
      </w:tr>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D0D1C">
            <w:pPr>
              <w:pStyle w:val="List"/>
              <w:rPr>
                <w:lang w:val="en-NZ"/>
              </w:rPr>
            </w:pPr>
            <w:r w:rsidRPr="00AD0D1C">
              <w:rPr>
                <w:rStyle w:val="SpecialBold"/>
              </w:rPr>
              <w:t>1</w:t>
            </w:r>
            <w:r w:rsidRPr="00AD0D1C">
              <w:t>.</w:t>
            </w:r>
            <w:r w:rsidRPr="00AD0D1C">
              <w:tab/>
            </w:r>
            <w:r w:rsidRPr="00AD0D1C">
              <w:rPr>
                <w:rStyle w:val="SpecialBold"/>
              </w:rPr>
              <w:t>Assess potential for recovery action</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List"/>
            </w:pPr>
            <w:r w:rsidRPr="00AD0D1C">
              <w:t>1.1</w:t>
            </w:r>
            <w:r w:rsidRPr="00AD0D1C">
              <w:tab/>
              <w:t>Information is collected and analysed to determine the potential for recovery action.</w:t>
            </w:r>
          </w:p>
          <w:p w:rsidR="00000000" w:rsidRPr="00AD0D1C" w:rsidP="00AD0D1C">
            <w:pPr>
              <w:pStyle w:val="List"/>
            </w:pPr>
            <w:r w:rsidRPr="00AD0D1C">
              <w:t>1.2</w:t>
            </w:r>
            <w:r w:rsidRPr="00AD0D1C">
              <w:rPr>
                <w:rStyle w:val="BoldandItalics"/>
              </w:rPr>
              <w:tab/>
              <w:t xml:space="preserve">Assets or proceeds of crime </w:t>
            </w:r>
            <w:r w:rsidRPr="00AD0D1C">
              <w:t>are id</w:t>
            </w:r>
            <w:r w:rsidRPr="00AD0D1C">
              <w:t>entified and values are estimated in accordance with organisational policy and procedures.</w:t>
            </w:r>
          </w:p>
          <w:p w:rsidR="00000000" w:rsidRPr="00AD0D1C" w:rsidP="00AD0D1C">
            <w:pPr>
              <w:pStyle w:val="List"/>
            </w:pPr>
            <w:r w:rsidRPr="00AD0D1C">
              <w:t>1.3</w:t>
            </w:r>
            <w:r w:rsidRPr="00AD0D1C">
              <w:tab/>
              <w:t>Financial circumstances are reviewed and debt recovery procedures are instigated in accordance with organisational policy and procedures.</w:t>
            </w:r>
          </w:p>
          <w:p w:rsidR="00000000" w:rsidRPr="00AD0D1C" w:rsidP="00AD0D1C">
            <w:pPr>
              <w:pStyle w:val="List"/>
            </w:pPr>
            <w:r w:rsidRPr="00AD0D1C">
              <w:t>1.4</w:t>
            </w:r>
            <w:r w:rsidRPr="00AD0D1C">
              <w:tab/>
            </w:r>
            <w:r w:rsidRPr="00AD0D1C">
              <w:rPr>
                <w:rStyle w:val="BoldandItalics"/>
              </w:rPr>
              <w:t xml:space="preserve">Liaison </w:t>
            </w:r>
            <w:r w:rsidRPr="00AD0D1C">
              <w:t>is undertak</w:t>
            </w:r>
            <w:r w:rsidRPr="00AD0D1C">
              <w:t>en with respect to recovery action in accordance with legislation, policy and procedures.</w:t>
            </w:r>
          </w:p>
          <w:p w:rsidR="00000000" w:rsidP="00AD0D1C">
            <w:pPr>
              <w:pStyle w:val="List"/>
              <w:rPr>
                <w:lang w:val="en-NZ"/>
              </w:rPr>
            </w:pPr>
            <w:r w:rsidRPr="00AD0D1C">
              <w:t>1.5</w:t>
            </w:r>
            <w:r w:rsidRPr="00AD0D1C">
              <w:tab/>
              <w:t>Approval/decision to proceed with recovery action is obtained/made in accordance with organisational policy and procedures.</w:t>
            </w:r>
          </w:p>
        </w:tc>
      </w:tr>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D0D1C">
            <w:pPr>
              <w:pStyle w:val="List"/>
              <w:rPr>
                <w:lang w:val="en-NZ"/>
              </w:rPr>
            </w:pPr>
            <w:r w:rsidRPr="00AD0D1C">
              <w:rPr>
                <w:rStyle w:val="SpecialBold"/>
              </w:rPr>
              <w:t>2</w:t>
            </w:r>
            <w:r w:rsidRPr="00AD0D1C">
              <w:t>.</w:t>
            </w:r>
            <w:r w:rsidRPr="00AD0D1C">
              <w:tab/>
            </w:r>
            <w:r w:rsidRPr="00AD0D1C">
              <w:rPr>
                <w:rStyle w:val="SpecialBold"/>
              </w:rPr>
              <w:t>Implement recovery action</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List"/>
            </w:pPr>
            <w:r w:rsidRPr="00AD0D1C">
              <w:t>2.1</w:t>
            </w:r>
            <w:r w:rsidRPr="00AD0D1C">
              <w:rPr>
                <w:rStyle w:val="BoldandItalics"/>
              </w:rPr>
              <w:tab/>
              <w:t>Reco</w:t>
            </w:r>
            <w:r w:rsidRPr="00AD0D1C">
              <w:rPr>
                <w:rStyle w:val="BoldandItalics"/>
              </w:rPr>
              <w:t xml:space="preserve">very action </w:t>
            </w:r>
            <w:r w:rsidRPr="00AD0D1C">
              <w:t>is implemented in accordance with legal and organisational requirements.</w:t>
            </w:r>
          </w:p>
          <w:p w:rsidR="00000000" w:rsidRPr="00AD0D1C" w:rsidP="00AD0D1C">
            <w:pPr>
              <w:pStyle w:val="List"/>
            </w:pPr>
            <w:r w:rsidRPr="00AD0D1C">
              <w:t>2.2</w:t>
            </w:r>
            <w:r w:rsidRPr="00AD0D1C">
              <w:tab/>
              <w:t>Where relevant, affidavits are sought restraining action.</w:t>
            </w:r>
          </w:p>
          <w:p w:rsidR="00000000" w:rsidRPr="00AD0D1C" w:rsidP="00AD0D1C">
            <w:pPr>
              <w:pStyle w:val="List"/>
            </w:pPr>
            <w:r w:rsidRPr="00AD0D1C">
              <w:t>2.3</w:t>
            </w:r>
            <w:r w:rsidRPr="00AD0D1C">
              <w:tab/>
              <w:t xml:space="preserve">Recovery action is </w:t>
            </w:r>
            <w:r w:rsidRPr="00AD0D1C">
              <w:rPr>
                <w:rStyle w:val="BoldandItalics"/>
              </w:rPr>
              <w:t xml:space="preserve">referred </w:t>
            </w:r>
            <w:r w:rsidRPr="00AD0D1C">
              <w:t xml:space="preserve">for decision and execution in accordance with </w:t>
            </w:r>
            <w:r w:rsidRPr="00AD0D1C">
              <w:rPr>
                <w:rStyle w:val="BoldandItalics"/>
              </w:rPr>
              <w:t>legislation, organisational pol</w:t>
            </w:r>
            <w:r w:rsidRPr="00AD0D1C">
              <w:rPr>
                <w:rStyle w:val="BoldandItalics"/>
              </w:rPr>
              <w:t>icy and procedures</w:t>
            </w:r>
            <w:r w:rsidRPr="00AD0D1C">
              <w:rPr>
                <w:rStyle w:val="Emphasis"/>
              </w:rPr>
              <w:t>.</w:t>
            </w:r>
          </w:p>
        </w:tc>
      </w:tr>
    </w:tbl>
    <w:p w:rsidR="00000000" w:rsidRPr="00AD0D1C" w:rsidP="00AD0D1C">
      <w:pPr>
        <w:pStyle w:val="BodyText"/>
      </w:pPr>
    </w:p>
    <w:p w:rsidR="00000000" w:rsidRPr="00AD0D1C" w:rsidP="00AD0D1C">
      <w:pPr>
        <w:pStyle w:val="AllowPageBreak"/>
      </w:pPr>
    </w:p>
    <w:p w:rsidR="00000000" w:rsidRPr="00AD0D1C" w:rsidP="00AD0D1C">
      <w:pPr>
        <w:pStyle w:val="Heading1"/>
      </w:pPr>
      <w:bookmarkStart w:id="9" w:name="O_498731"/>
      <w:bookmarkEnd w:id="9"/>
      <w:r w:rsidRPr="00AD0D1C">
        <w:t>Required Skills and Knowledge</w:t>
      </w:r>
    </w:p>
    <w:tbl>
      <w:tblPr>
        <w:tblW w:w="0" w:type="auto"/>
        <w:tblLayout w:type="fixed"/>
        <w:tblCellMar>
          <w:left w:w="62" w:type="dxa"/>
          <w:right w:w="62" w:type="dxa"/>
        </w:tblCellMar>
        <w:tblLook w:val="0000"/>
      </w:tblPr>
      <w:tblGrid>
        <w:gridCol w:w="8553"/>
      </w:tblGrid>
      <w:tr w:rsidTr="006A545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t>This section describes the essential skills and knowledge and their level, required for this unit.</w:t>
            </w:r>
          </w:p>
        </w:tc>
      </w:tr>
      <w:tr w:rsidTr="006A545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AD0D1C" w:rsidP="00AD0D1C">
            <w:pPr>
              <w:pStyle w:val="BodyText"/>
            </w:pPr>
            <w:r w:rsidRPr="00AD0D1C">
              <w:rPr>
                <w:rStyle w:val="SpecialBold"/>
              </w:rPr>
              <w:t>Skill requirements</w:t>
            </w:r>
          </w:p>
          <w:p w:rsidR="00000000" w:rsidRPr="00AD0D1C" w:rsidP="00AD0D1C">
            <w:pPr>
              <w:pStyle w:val="BodyText"/>
            </w:pPr>
            <w:r w:rsidRPr="00AD0D1C">
              <w:t>Look for evidence that confirms skills in:</w:t>
            </w:r>
          </w:p>
          <w:p w:rsidR="00000000" w:rsidRPr="00AD0D1C" w:rsidP="00AD0D1C">
            <w:pPr>
              <w:pStyle w:val="ListBullet2"/>
            </w:pPr>
            <w:r w:rsidRPr="00AD0D1C">
              <w:t>undertaking research and analysis with regard to recovery actions</w:t>
            </w:r>
          </w:p>
          <w:p w:rsidR="00000000" w:rsidRPr="00AD0D1C" w:rsidP="00AD0D1C">
            <w:pPr>
              <w:pStyle w:val="ListBullet2"/>
            </w:pPr>
            <w:r w:rsidRPr="00AD0D1C">
              <w:t>engaging in negotiation requiring exchanges of sometimes complex oral information</w:t>
            </w:r>
          </w:p>
          <w:p w:rsidR="00000000" w:rsidRPr="00AD0D1C" w:rsidP="00AD0D1C">
            <w:pPr>
              <w:pStyle w:val="ListBullet2"/>
            </w:pPr>
            <w:r w:rsidRPr="00AD0D1C">
              <w:t>determining the value of assets or proceeds of crime and comparing to debt/s and charges raised</w:t>
            </w:r>
          </w:p>
          <w:p w:rsidR="00000000" w:rsidRPr="00AD0D1C" w:rsidP="00AD0D1C">
            <w:pPr>
              <w:pStyle w:val="ListBullet2"/>
            </w:pPr>
            <w:r w:rsidRPr="00AD0D1C">
              <w:t>responding t</w:t>
            </w:r>
            <w:r w:rsidRPr="00AD0D1C">
              <w:t>o diversity, including gender and disability</w:t>
            </w:r>
          </w:p>
          <w:p w:rsidR="00000000" w:rsidRPr="00AD0D1C" w:rsidP="00AD0D1C">
            <w:pPr>
              <w:pStyle w:val="ListBullet2"/>
            </w:pPr>
            <w:r w:rsidRPr="00AD0D1C">
              <w:t>referring recovery action for decision requiring clarity, accuracy and formality of structure and language</w:t>
            </w:r>
          </w:p>
          <w:p w:rsidR="00000000" w:rsidRPr="00AD0D1C" w:rsidP="00AD0D1C">
            <w:pPr>
              <w:pStyle w:val="ListBullet2"/>
            </w:pPr>
            <w:r w:rsidRPr="00AD0D1C">
              <w:t>recording of actions/agreements made, in relevant recording systems</w:t>
            </w:r>
          </w:p>
          <w:p w:rsidR="00000000" w:rsidP="00AD0D1C">
            <w:pPr>
              <w:pStyle w:val="ListBullet2"/>
              <w:rPr>
                <w:lang w:val="en-NZ"/>
              </w:rPr>
            </w:pPr>
            <w:r w:rsidRPr="00AD0D1C">
              <w:t>applying public sector standards and</w:t>
            </w:r>
            <w:r w:rsidRPr="00AD0D1C">
              <w:t xml:space="preserve"> legislation such as occupational health and safety and environment relating to recovery actions</w:t>
            </w:r>
          </w:p>
        </w:tc>
      </w:tr>
      <w:tr w:rsidTr="006A545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AD0D1C" w:rsidP="00AD0D1C">
            <w:pPr>
              <w:pStyle w:val="BodyText"/>
            </w:pPr>
            <w:r w:rsidRPr="00AD0D1C">
              <w:rPr>
                <w:rStyle w:val="SpecialBold"/>
              </w:rPr>
              <w:t>Knowledge requirements</w:t>
            </w:r>
          </w:p>
          <w:p w:rsidR="00000000" w:rsidRPr="00AD0D1C" w:rsidP="00AD0D1C">
            <w:pPr>
              <w:pStyle w:val="BodyText"/>
            </w:pPr>
            <w:r w:rsidRPr="00AD0D1C">
              <w:t>Look for evidence that confirms knowledge and understanding of:</w:t>
            </w:r>
          </w:p>
          <w:p w:rsidR="00000000" w:rsidRPr="00AD0D1C" w:rsidP="00AD0D1C">
            <w:pPr>
              <w:pStyle w:val="ListBullet2"/>
            </w:pPr>
            <w:r w:rsidRPr="00AD0D1C">
              <w:t>legislation relating recovery actions</w:t>
            </w:r>
          </w:p>
          <w:p w:rsidR="00000000" w:rsidRPr="00AD0D1C" w:rsidP="00AD0D1C">
            <w:pPr>
              <w:pStyle w:val="ListBullet2"/>
            </w:pPr>
            <w:r w:rsidRPr="00AD0D1C">
              <w:t>organisational guidelines and procedures for recovery</w:t>
            </w:r>
          </w:p>
          <w:p w:rsidR="00000000" w:rsidRPr="00AD0D1C" w:rsidP="00AD0D1C">
            <w:pPr>
              <w:pStyle w:val="ListBullet2"/>
            </w:pPr>
            <w:r w:rsidRPr="00AD0D1C">
              <w:t>legal and organisational requirements for liaison and referral</w:t>
            </w:r>
          </w:p>
          <w:p w:rsidR="00000000" w:rsidRPr="00AD0D1C" w:rsidP="00AD0D1C">
            <w:pPr>
              <w:pStyle w:val="ListBullet2"/>
            </w:pPr>
            <w:r w:rsidRPr="00AD0D1C">
              <w:t>ethical standards</w:t>
            </w:r>
          </w:p>
          <w:p w:rsidR="00000000" w:rsidRPr="00AD0D1C" w:rsidP="00AD0D1C">
            <w:pPr>
              <w:pStyle w:val="ListBullet2"/>
            </w:pPr>
            <w:r w:rsidRPr="00AD0D1C">
              <w:t>equal employment opportunity, equity and diversity principles</w:t>
            </w:r>
          </w:p>
          <w:p w:rsidR="00000000" w:rsidRPr="00AD0D1C" w:rsidP="00AD0D1C">
            <w:pPr>
              <w:pStyle w:val="ListBullet2"/>
            </w:pPr>
            <w:r w:rsidRPr="00AD0D1C">
              <w:t>public sector legislation such as occupational health and s</w:t>
            </w:r>
            <w:r w:rsidRPr="00AD0D1C">
              <w:t>afety and environment relating to the recovery actions</w:t>
            </w:r>
          </w:p>
        </w:tc>
      </w:tr>
    </w:tbl>
    <w:p w:rsidR="00000000" w:rsidRPr="00AD0D1C" w:rsidP="00AD0D1C">
      <w:pPr>
        <w:pStyle w:val="BodyText"/>
      </w:pPr>
    </w:p>
    <w:p w:rsidR="00000000" w:rsidRPr="00AD0D1C" w:rsidP="00AD0D1C">
      <w:pPr>
        <w:pStyle w:val="AllowPageBreak"/>
      </w:pPr>
    </w:p>
    <w:p w:rsidR="00000000" w:rsidRPr="00AD0D1C" w:rsidP="00AD0D1C">
      <w:pPr>
        <w:pStyle w:val="Heading1"/>
      </w:pPr>
      <w:bookmarkStart w:id="10" w:name="O_498732"/>
      <w:bookmarkEnd w:id="10"/>
      <w:r w:rsidRPr="00AD0D1C">
        <w:t>Evidence Guide</w:t>
      </w:r>
    </w:p>
    <w:tbl>
      <w:tblPr>
        <w:tblW w:w="9322" w:type="dxa"/>
        <w:tblLayout w:type="fixed"/>
        <w:tblCellMar>
          <w:left w:w="62" w:type="dxa"/>
          <w:right w:w="62" w:type="dxa"/>
        </w:tblCellMar>
        <w:tblLook w:val="0000"/>
      </w:tblPr>
      <w:tblGrid>
        <w:gridCol w:w="2660"/>
        <w:gridCol w:w="6662"/>
      </w:tblGrid>
      <w:tr w:rsidTr="006A545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t>The Evidence Guide specifies the evidence required to demonstrate achievement in the unit of competency as a whole. It must be read in conjunction with the Unit descri</w:t>
            </w:r>
            <w:r w:rsidRPr="00AD0D1C">
              <w:t>ptor, Performance Criteria, the Range Statement and the Assessment Guidelines for the Public Sector Training Package.</w:t>
            </w:r>
          </w:p>
        </w:tc>
      </w:tr>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D0D1C" w:rsidP="00AD0D1C">
            <w:pPr>
              <w:pStyle w:val="BodyText"/>
            </w:pPr>
            <w:r w:rsidRPr="00AD0D1C">
              <w:rPr>
                <w:rStyle w:val="SpecialBold"/>
              </w:rPr>
              <w:t>Units to be assessed together</w:t>
            </w:r>
            <w:r w:rsidRPr="00AD0D1C">
              <w:t xml:space="preserve"> </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ListBullet2"/>
            </w:pPr>
            <w:r w:rsidRPr="00AD0D1C">
              <w:rPr>
                <w:rStyle w:val="Emphasis"/>
              </w:rPr>
              <w:t>Pre</w:t>
            </w:r>
            <w:r w:rsidRPr="00AD0D1C">
              <w:t>-</w:t>
            </w:r>
            <w:r w:rsidRPr="00AD0D1C">
              <w:rPr>
                <w:rStyle w:val="Emphasis"/>
              </w:rPr>
              <w:t>requisite</w:t>
            </w:r>
            <w:r w:rsidRPr="00AD0D1C">
              <w:t xml:space="preserve"> units that </w:t>
            </w:r>
            <w:r w:rsidRPr="00AD0D1C">
              <w:rPr>
                <w:rStyle w:val="Underline"/>
              </w:rPr>
              <w:t>must</w:t>
            </w:r>
            <w:r w:rsidRPr="00AD0D1C">
              <w:t xml:space="preserve"> be achieved </w:t>
            </w:r>
            <w:r w:rsidRPr="00AD0D1C">
              <w:rPr>
                <w:rStyle w:val="Underline"/>
              </w:rPr>
              <w:t>prior</w:t>
            </w:r>
            <w:r w:rsidRPr="00AD0D1C">
              <w:t xml:space="preserve"> to this unit:</w:t>
            </w:r>
            <w:r w:rsidRPr="00AD0D1C">
              <w:rPr>
                <w:rStyle w:val="Emphasis"/>
              </w:rPr>
              <w:t>Nil</w:t>
            </w:r>
          </w:p>
          <w:p w:rsidR="00000000" w:rsidRPr="00AD0D1C" w:rsidP="00AD0D1C">
            <w:pPr>
              <w:pStyle w:val="ListBullet2"/>
            </w:pPr>
            <w:r w:rsidRPr="00AD0D1C">
              <w:rPr>
                <w:rStyle w:val="Emphasis"/>
              </w:rPr>
              <w:t>Co</w:t>
            </w:r>
            <w:r w:rsidRPr="00AD0D1C">
              <w:t>-</w:t>
            </w:r>
            <w:r w:rsidRPr="00AD0D1C">
              <w:rPr>
                <w:rStyle w:val="Emphasis"/>
              </w:rPr>
              <w:t>requisite</w:t>
            </w:r>
            <w:r w:rsidRPr="00AD0D1C">
              <w:t xml:space="preserve"> units that </w:t>
            </w:r>
            <w:r w:rsidRPr="00AD0D1C">
              <w:rPr>
                <w:rStyle w:val="Underline"/>
              </w:rPr>
              <w:t>must</w:t>
            </w:r>
            <w:r w:rsidRPr="00AD0D1C">
              <w:t xml:space="preserve"> be assessed </w:t>
            </w:r>
            <w:r w:rsidRPr="00AD0D1C">
              <w:rPr>
                <w:rStyle w:val="Underline"/>
              </w:rPr>
              <w:t>with</w:t>
            </w:r>
            <w:r w:rsidRPr="00AD0D1C">
              <w:t xml:space="preserve"> this unit:</w:t>
            </w:r>
            <w:r w:rsidRPr="00AD0D1C">
              <w:rPr>
                <w:rStyle w:val="Emphasis"/>
              </w:rPr>
              <w:t>Nil</w:t>
            </w:r>
          </w:p>
          <w:p w:rsidR="00000000" w:rsidRPr="00AD0D1C" w:rsidP="00AD0D1C">
            <w:pPr>
              <w:pStyle w:val="ListBullet2"/>
            </w:pPr>
            <w:r w:rsidRPr="00AD0D1C">
              <w:rPr>
                <w:rStyle w:val="Emphasis"/>
              </w:rPr>
              <w:t>Co</w:t>
            </w:r>
            <w:r w:rsidRPr="00AD0D1C">
              <w:t>-</w:t>
            </w:r>
            <w:r w:rsidRPr="00AD0D1C">
              <w:rPr>
                <w:rStyle w:val="Emphasis"/>
              </w:rPr>
              <w:t>assessed units</w:t>
            </w:r>
            <w:r w:rsidRPr="00AD0D1C">
              <w:t xml:space="preserve"> that </w:t>
            </w:r>
            <w:r w:rsidRPr="00AD0D1C">
              <w:rPr>
                <w:rStyle w:val="Underline"/>
              </w:rPr>
              <w:t>may</w:t>
            </w:r>
            <w:r w:rsidRPr="00AD0D1C">
              <w:t xml:space="preserve"> be assessed with this unit to increase the efficiency and realism of the assessment process include, but are not limited to:</w:t>
            </w:r>
          </w:p>
          <w:p w:rsidR="00000000" w:rsidRPr="00AD0D1C" w:rsidP="00AD0D1C">
            <w:pPr>
              <w:pStyle w:val="ListBullet3"/>
            </w:pPr>
            <w:r w:rsidRPr="00AD0D1C">
              <w:t>PSPETHC401A Uphold and support the values and principles of public serv</w:t>
            </w:r>
            <w:r w:rsidRPr="00AD0D1C">
              <w:t>ice</w:t>
            </w:r>
          </w:p>
          <w:p w:rsidR="00000000" w:rsidRPr="00AD0D1C" w:rsidP="00AD0D1C">
            <w:pPr>
              <w:pStyle w:val="ListBullet3"/>
            </w:pPr>
            <w:r w:rsidRPr="00AD0D1C">
              <w:t>PSPLEGN401A Encourage compliance with legislation in the public sector</w:t>
            </w:r>
          </w:p>
          <w:p w:rsidR="00000000" w:rsidRPr="00AD0D1C" w:rsidP="00AD0D1C">
            <w:pPr>
              <w:pStyle w:val="ListBullet3"/>
            </w:pPr>
            <w:r w:rsidRPr="00AD0D1C">
              <w:t xml:space="preserve">PSPGOV406B Gather and analyse information </w:t>
            </w:r>
          </w:p>
          <w:p w:rsidR="00000000" w:rsidRPr="00AD0D1C" w:rsidP="00AD0D1C">
            <w:pPr>
              <w:pStyle w:val="ListBullet3"/>
            </w:pPr>
            <w:r w:rsidRPr="00AD0D1C">
              <w:t>PSPGOV422A Apply government processes</w:t>
            </w:r>
          </w:p>
          <w:p w:rsidR="00000000" w:rsidRPr="00AD0D1C" w:rsidP="00AD0D1C">
            <w:pPr>
              <w:pStyle w:val="ListBullet3"/>
            </w:pPr>
            <w:r w:rsidRPr="00AD0D1C">
              <w:t>PSPREG401C Exercise regulatory powers</w:t>
            </w:r>
          </w:p>
          <w:p w:rsidR="00000000" w:rsidRPr="00AD0D1C" w:rsidP="00AD0D1C">
            <w:pPr>
              <w:pStyle w:val="ListBullet3"/>
            </w:pPr>
            <w:r w:rsidRPr="00AD0D1C">
              <w:t>PSPREG418A Advise on progress of investigations</w:t>
            </w:r>
          </w:p>
          <w:p w:rsidR="00000000" w:rsidP="00AD0D1C">
            <w:pPr>
              <w:pStyle w:val="ListBullet3"/>
              <w:rPr>
                <w:lang w:val="en-NZ"/>
              </w:rPr>
            </w:pPr>
            <w:r w:rsidRPr="00AD0D1C">
              <w:t>PSPREG419A Finalise and report on investigations</w:t>
            </w:r>
          </w:p>
        </w:tc>
      </w:tr>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BodyText"/>
            </w:pPr>
            <w:r w:rsidRPr="00AD0D1C">
              <w:t>In addition to integrated demonstration of the elements and their related performance criteria, look for evidence that confirms:</w:t>
            </w:r>
          </w:p>
          <w:p w:rsidR="00000000" w:rsidRPr="00AD0D1C" w:rsidP="00AD0D1C">
            <w:pPr>
              <w:pStyle w:val="ListBullet2"/>
            </w:pPr>
            <w:r w:rsidRPr="00AD0D1C">
              <w:t xml:space="preserve">the knowledge requirements of this unit </w:t>
            </w:r>
          </w:p>
          <w:p w:rsidR="00000000" w:rsidRPr="00AD0D1C" w:rsidP="00AD0D1C">
            <w:pPr>
              <w:pStyle w:val="ListBullet2"/>
            </w:pPr>
            <w:r w:rsidRPr="00AD0D1C">
              <w:t>the skill requirements of this unit</w:t>
            </w:r>
          </w:p>
          <w:p w:rsidR="00000000" w:rsidRPr="00AD0D1C" w:rsidP="00AD0D1C">
            <w:pPr>
              <w:pStyle w:val="ListBullet2"/>
            </w:pPr>
            <w:r w:rsidRPr="00AD0D1C">
              <w:t>application of the Employability Skills as they relate to this unit (see Employability Summaries in Qualifications Framework)</w:t>
            </w:r>
          </w:p>
          <w:p w:rsidR="00000000" w:rsidP="00AD0D1C">
            <w:pPr>
              <w:pStyle w:val="ListBullet2"/>
              <w:rPr>
                <w:lang w:val="en-NZ"/>
              </w:rPr>
            </w:pPr>
            <w:r w:rsidRPr="00AD0D1C">
              <w:t>planning and implementation of recovery actions in a range of (3 or more) contexts (or occasio</w:t>
            </w:r>
            <w:r w:rsidRPr="00AD0D1C">
              <w:t>ns, over time)</w:t>
            </w:r>
          </w:p>
        </w:tc>
      </w:tr>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BodyText"/>
            </w:pPr>
            <w:r w:rsidRPr="00AD0D1C">
              <w:t>These resources include:</w:t>
            </w:r>
          </w:p>
          <w:p w:rsidR="00000000" w:rsidRPr="00AD0D1C" w:rsidP="00AD0D1C">
            <w:pPr>
              <w:pStyle w:val="ListBullet2"/>
            </w:pPr>
            <w:r w:rsidRPr="00AD0D1C">
              <w:t>legislation, policy, procedures and protocols relating to recovery actions</w:t>
            </w:r>
          </w:p>
          <w:p w:rsidR="00000000" w:rsidP="00AD0D1C">
            <w:pPr>
              <w:pStyle w:val="ListBullet2"/>
              <w:rPr>
                <w:lang w:val="en-NZ"/>
              </w:rPr>
            </w:pPr>
            <w:r w:rsidRPr="00AD0D1C">
              <w:t>case studies and workplace scenarios to capture the range of situations likely to be encountered</w:t>
            </w:r>
            <w:r w:rsidRPr="00AD0D1C">
              <w:t xml:space="preserve"> when planning and implementing recovery actions</w:t>
            </w:r>
          </w:p>
        </w:tc>
      </w:tr>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BodyText"/>
            </w:pPr>
            <w:r w:rsidRPr="00AD0D1C">
              <w:t xml:space="preserve">Valid assessment of this unit requires: </w:t>
            </w:r>
          </w:p>
          <w:p w:rsidR="00000000" w:rsidRPr="00AD0D1C" w:rsidP="00AD0D1C">
            <w:pPr>
              <w:pStyle w:val="ListBullet2"/>
            </w:pPr>
            <w:r w:rsidRPr="00AD0D1C">
              <w:t>a workplace environment or one that closely resembles normal work practice and replicates the range of conditions likely to be enco</w:t>
            </w:r>
            <w:r w:rsidRPr="00AD0D1C">
              <w:t xml:space="preserve">untered when planning and implementing recovery actions, including coping with difficulties, </w:t>
            </w:r>
            <w:r w:rsidRPr="00AD0D1C">
              <w:t>irregularities and breakdowns in routine</w:t>
            </w:r>
          </w:p>
          <w:p w:rsidR="00000000" w:rsidRPr="00AD0D1C" w:rsidP="00AD0D1C">
            <w:pPr>
              <w:pStyle w:val="ListBullet2"/>
            </w:pPr>
            <w:r w:rsidRPr="00AD0D1C">
              <w:t>planning and implementation of recovery actions in a range of (3 or more) contexts (or occasions, over time)</w:t>
            </w:r>
          </w:p>
          <w:p w:rsidR="00000000" w:rsidRPr="00AD0D1C" w:rsidP="00AD0D1C">
            <w:pPr>
              <w:pStyle w:val="BodyText"/>
            </w:pPr>
            <w:r w:rsidRPr="00AD0D1C">
              <w:t>Assessment me</w:t>
            </w:r>
            <w:r w:rsidRPr="00AD0D1C">
              <w:t>thods should reflect workplace demands, such as literacy, and the needs of particular groups, such as:</w:t>
            </w:r>
          </w:p>
          <w:p w:rsidR="00000000" w:rsidRPr="00AD0D1C" w:rsidP="00AD0D1C">
            <w:pPr>
              <w:pStyle w:val="ListBullet2"/>
            </w:pPr>
            <w:r w:rsidRPr="00AD0D1C">
              <w:t>people with disabilities</w:t>
            </w:r>
          </w:p>
          <w:p w:rsidR="00000000" w:rsidRPr="00AD0D1C" w:rsidP="00AD0D1C">
            <w:pPr>
              <w:pStyle w:val="ListBullet2"/>
            </w:pPr>
            <w:r w:rsidRPr="00AD0D1C">
              <w:t>people from culturally and linguistically diverse backgrounds</w:t>
            </w:r>
          </w:p>
          <w:p w:rsidR="00000000" w:rsidRPr="00AD0D1C" w:rsidP="00AD0D1C">
            <w:pPr>
              <w:pStyle w:val="ListBullet2"/>
            </w:pPr>
            <w:r w:rsidRPr="00AD0D1C">
              <w:t>Aboriginal and Torres Strait Islander people</w:t>
            </w:r>
          </w:p>
          <w:p w:rsidR="00000000" w:rsidRPr="00AD0D1C" w:rsidP="00AD0D1C">
            <w:pPr>
              <w:pStyle w:val="ListBullet2"/>
            </w:pPr>
            <w:r w:rsidRPr="00AD0D1C">
              <w:t>women</w:t>
            </w:r>
          </w:p>
          <w:p w:rsidR="00000000" w:rsidRPr="00AD0D1C" w:rsidP="00AD0D1C">
            <w:pPr>
              <w:pStyle w:val="ListBullet2"/>
            </w:pPr>
            <w:r w:rsidRPr="00AD0D1C">
              <w:t>young people</w:t>
            </w:r>
          </w:p>
          <w:p w:rsidR="00000000" w:rsidRPr="00AD0D1C" w:rsidP="00AD0D1C">
            <w:pPr>
              <w:pStyle w:val="ListBullet2"/>
            </w:pPr>
            <w:r w:rsidRPr="00AD0D1C">
              <w:t>older people</w:t>
            </w:r>
          </w:p>
          <w:p w:rsidR="00000000" w:rsidRPr="00AD0D1C" w:rsidP="00AD0D1C">
            <w:pPr>
              <w:pStyle w:val="ListBullet2"/>
            </w:pPr>
            <w:r w:rsidRPr="00AD0D1C">
              <w:t>people in rural and remote locations</w:t>
            </w:r>
          </w:p>
          <w:p w:rsidR="00000000" w:rsidRPr="00AD0D1C" w:rsidP="00AD0D1C">
            <w:pPr>
              <w:pStyle w:val="BodyText"/>
            </w:pPr>
            <w:r w:rsidRPr="00AD0D1C">
              <w:t xml:space="preserve">Assessment methods suitable for valid and reliable assessment of this competency may include, but are not limited to, a combination of 2 or more of: </w:t>
            </w:r>
          </w:p>
          <w:p w:rsidR="00000000" w:rsidRPr="00AD0D1C" w:rsidP="00AD0D1C">
            <w:pPr>
              <w:pStyle w:val="ListBullet2"/>
            </w:pPr>
            <w:r w:rsidRPr="00AD0D1C">
              <w:t>case studies</w:t>
            </w:r>
          </w:p>
          <w:p w:rsidR="00000000" w:rsidRPr="00AD0D1C" w:rsidP="00AD0D1C">
            <w:pPr>
              <w:pStyle w:val="ListBullet2"/>
            </w:pPr>
            <w:r w:rsidRPr="00AD0D1C">
              <w:t>projects</w:t>
            </w:r>
          </w:p>
          <w:p w:rsidR="00000000" w:rsidRPr="00AD0D1C" w:rsidP="00AD0D1C">
            <w:pPr>
              <w:pStyle w:val="ListBullet2"/>
            </w:pPr>
            <w:r w:rsidRPr="00AD0D1C">
              <w:t>questioning</w:t>
            </w:r>
          </w:p>
          <w:p w:rsidR="00000000" w:rsidRPr="00AD0D1C" w:rsidP="00AD0D1C">
            <w:pPr>
              <w:pStyle w:val="ListBullet2"/>
            </w:pPr>
            <w:r w:rsidRPr="00AD0D1C">
              <w:t>scenarios</w:t>
            </w:r>
          </w:p>
          <w:p w:rsidR="00000000" w:rsidRPr="00AD0D1C" w:rsidP="00AD0D1C">
            <w:pPr>
              <w:pStyle w:val="ListBullet2"/>
            </w:pPr>
            <w:r w:rsidRPr="00AD0D1C">
              <w:t xml:space="preserve">simulation </w:t>
            </w:r>
            <w:r w:rsidRPr="00AD0D1C">
              <w:t>or role plays</w:t>
            </w:r>
          </w:p>
          <w:p w:rsidR="00000000" w:rsidP="00AD0D1C">
            <w:pPr>
              <w:pStyle w:val="ListBullet2"/>
              <w:rPr>
                <w:lang w:val="en-NZ"/>
              </w:rPr>
            </w:pPr>
            <w:r w:rsidRPr="00AD0D1C">
              <w:t xml:space="preserve">authenticated evidence from the workplace (subject to complying with privacy requirements) and/or training courses   </w:t>
            </w:r>
          </w:p>
        </w:tc>
      </w:tr>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D0D1C" w:rsidP="00AD0D1C">
            <w:pPr>
              <w:pStyle w:val="BodyText"/>
            </w:pPr>
          </w:p>
          <w:p w:rsidR="00000000" w:rsidP="00AD0D1C">
            <w:pPr>
              <w:pStyle w:val="BodyText"/>
              <w:rPr>
                <w:lang w:val="en-NZ"/>
              </w:rPr>
            </w:pPr>
            <w:r w:rsidRPr="00AD0D1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BodyText"/>
            </w:pPr>
            <w:r w:rsidRPr="00AD0D1C">
              <w:t>Evidence must be gathered over time in a range of contexts to ensure the person can achieve the unit outcome and apply the competency in different situations or environments</w:t>
            </w:r>
          </w:p>
        </w:tc>
      </w:tr>
    </w:tbl>
    <w:p w:rsidR="00000000" w:rsidRPr="00AD0D1C" w:rsidP="00AD0D1C">
      <w:pPr>
        <w:pStyle w:val="BodyText"/>
      </w:pPr>
    </w:p>
    <w:p w:rsidR="00000000" w:rsidRPr="00AD0D1C" w:rsidP="00AD0D1C">
      <w:pPr>
        <w:pStyle w:val="AllowPageBreak"/>
      </w:pPr>
    </w:p>
    <w:p w:rsidR="00000000" w:rsidRPr="00AD0D1C" w:rsidP="00AD0D1C">
      <w:pPr>
        <w:pStyle w:val="Heading1"/>
      </w:pPr>
      <w:bookmarkStart w:id="11" w:name="O_498729"/>
      <w:bookmarkEnd w:id="11"/>
      <w:r w:rsidRPr="00AD0D1C">
        <w:t>Range Statement</w:t>
      </w:r>
    </w:p>
    <w:tbl>
      <w:tblPr>
        <w:tblW w:w="9322" w:type="dxa"/>
        <w:tblLayout w:type="fixed"/>
        <w:tblCellMar>
          <w:left w:w="62" w:type="dxa"/>
          <w:right w:w="62" w:type="dxa"/>
        </w:tblCellMar>
        <w:tblLook w:val="0000"/>
      </w:tblPr>
      <w:tblGrid>
        <w:gridCol w:w="2660"/>
        <w:gridCol w:w="6662"/>
      </w:tblGrid>
      <w:tr w:rsidTr="006A545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t xml:space="preserve">The Range Statement provides information about </w:t>
            </w:r>
            <w:r w:rsidRPr="00AD0D1C">
              <w:t>the context in which the unit of competency is carried out. The variables cater for differences between States and Territories and the Commonwealth, and between organisations and workplaces. They allow for different work requirements, work practices and kn</w:t>
            </w:r>
            <w:r w:rsidRPr="00AD0D1C">
              <w:t xml:space="preserve">owledge. The Range Statement also provides a focus for assessment. It relates to the unit as a whole. Text in </w:t>
            </w:r>
            <w:r w:rsidRPr="00AD0D1C">
              <w:rPr>
                <w:rStyle w:val="BoldandItalics"/>
              </w:rPr>
              <w:t xml:space="preserve">bold italics </w:t>
            </w:r>
            <w:r w:rsidRPr="00AD0D1C">
              <w:t>in the Performance Criteria is explained here.</w:t>
            </w:r>
          </w:p>
        </w:tc>
      </w:tr>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rPr>
                <w:rStyle w:val="BoldandItalics"/>
              </w:rPr>
              <w:t>Assets or proceeds of crime</w:t>
            </w:r>
            <w:r w:rsidRPr="00AD0D1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ListBullet2"/>
            </w:pPr>
            <w:r w:rsidRPr="00AD0D1C">
              <w:t>physical/actual property</w:t>
            </w:r>
          </w:p>
          <w:p w:rsidR="00000000" w:rsidRPr="00AD0D1C" w:rsidP="00AD0D1C">
            <w:pPr>
              <w:pStyle w:val="ListBullet2"/>
            </w:pPr>
            <w:r w:rsidRPr="00AD0D1C">
              <w:t>anything derived from/used in an illegal activity, such as:</w:t>
            </w:r>
          </w:p>
          <w:p w:rsidR="00000000" w:rsidRPr="00AD0D1C" w:rsidP="00AD0D1C">
            <w:pPr>
              <w:pStyle w:val="ListBullet3"/>
            </w:pPr>
            <w:r w:rsidRPr="00AD0D1C">
              <w:t>money</w:t>
            </w:r>
          </w:p>
          <w:p w:rsidR="00000000" w:rsidRPr="00AD0D1C" w:rsidP="00AD0D1C">
            <w:pPr>
              <w:pStyle w:val="ListBullet3"/>
            </w:pPr>
            <w:r w:rsidRPr="00AD0D1C">
              <w:t xml:space="preserve">property </w:t>
            </w:r>
          </w:p>
          <w:p w:rsidR="00000000" w:rsidRPr="00AD0D1C" w:rsidP="00AD0D1C">
            <w:pPr>
              <w:pStyle w:val="ListBullet3"/>
            </w:pPr>
            <w:r w:rsidRPr="00AD0D1C">
              <w:t>vehicles</w:t>
            </w:r>
          </w:p>
          <w:p w:rsidR="00000000" w:rsidP="00AD0D1C">
            <w:pPr>
              <w:pStyle w:val="ListBullet3"/>
              <w:rPr>
                <w:lang w:val="en-NZ"/>
              </w:rPr>
            </w:pPr>
            <w:r w:rsidRPr="00AD0D1C">
              <w:t>other assets</w:t>
            </w:r>
          </w:p>
        </w:tc>
      </w:tr>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rPr>
                <w:rStyle w:val="BoldandItalics"/>
              </w:rPr>
              <w:t xml:space="preserve">Liaison </w:t>
            </w:r>
            <w:r w:rsidRPr="00AD0D1C">
              <w:t>may occur with:</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ListBullet2"/>
            </w:pPr>
            <w:r w:rsidRPr="00AD0D1C">
              <w:t>legal counsel</w:t>
            </w:r>
          </w:p>
          <w:p w:rsidR="00000000" w:rsidP="00AD0D1C">
            <w:pPr>
              <w:pStyle w:val="ListBullet2"/>
              <w:rPr>
                <w:lang w:val="en-NZ"/>
              </w:rPr>
            </w:pPr>
            <w:r w:rsidRPr="00AD0D1C">
              <w:t>director of public prosecutions</w:t>
            </w:r>
          </w:p>
        </w:tc>
      </w:tr>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rPr>
                <w:rStyle w:val="BoldandItalics"/>
              </w:rPr>
              <w:t>Recovery action</w:t>
            </w:r>
            <w:r w:rsidRPr="00AD0D1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ListBullet2"/>
            </w:pPr>
            <w:r w:rsidRPr="00AD0D1C">
              <w:t>forfeiture</w:t>
            </w:r>
          </w:p>
          <w:p w:rsidR="00000000" w:rsidRPr="00AD0D1C" w:rsidP="00AD0D1C">
            <w:pPr>
              <w:pStyle w:val="ListBullet2"/>
            </w:pPr>
            <w:r w:rsidRPr="00AD0D1C">
              <w:t>pecuniary penalty</w:t>
            </w:r>
          </w:p>
          <w:p w:rsidR="00000000" w:rsidRPr="00AD0D1C" w:rsidP="00AD0D1C">
            <w:pPr>
              <w:pStyle w:val="ListBullet2"/>
            </w:pPr>
            <w:r w:rsidRPr="00AD0D1C">
              <w:t>debts</w:t>
            </w:r>
          </w:p>
          <w:p w:rsidR="00000000" w:rsidP="00AD0D1C">
            <w:pPr>
              <w:pStyle w:val="ListBullet2"/>
              <w:rPr>
                <w:lang w:val="en-NZ"/>
              </w:rPr>
            </w:pPr>
            <w:r w:rsidRPr="00AD0D1C">
              <w:t>charges</w:t>
            </w:r>
          </w:p>
        </w:tc>
      </w:tr>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rPr>
                <w:rStyle w:val="BoldandItalics"/>
              </w:rPr>
              <w:t xml:space="preserve">Referral </w:t>
            </w:r>
            <w:r w:rsidRPr="00AD0D1C">
              <w:t>may be to:</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ListBullet2"/>
            </w:pPr>
            <w:r w:rsidRPr="00AD0D1C">
              <w:t>director of public prosecutions</w:t>
            </w:r>
          </w:p>
          <w:p w:rsidR="00000000" w:rsidP="00AD0D1C">
            <w:pPr>
              <w:pStyle w:val="ListBullet2"/>
              <w:rPr>
                <w:lang w:val="en-NZ"/>
              </w:rPr>
            </w:pPr>
            <w:r w:rsidRPr="00AD0D1C">
              <w:t>Australian Federal Police</w:t>
            </w:r>
          </w:p>
        </w:tc>
      </w:tr>
      <w:tr w:rsidTr="006A54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D0D1C">
            <w:pPr>
              <w:pStyle w:val="BodyText"/>
              <w:rPr>
                <w:lang w:val="en-NZ"/>
              </w:rPr>
            </w:pPr>
            <w:r w:rsidRPr="00AD0D1C">
              <w:rPr>
                <w:rStyle w:val="BoldandItalics"/>
              </w:rPr>
              <w:t>Legislation, policy and procedures</w:t>
            </w:r>
            <w:r w:rsidRPr="00AD0D1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D0D1C" w:rsidP="00AD0D1C">
            <w:pPr>
              <w:pStyle w:val="ListBullet2"/>
            </w:pPr>
            <w:r w:rsidRPr="00AD0D1C">
              <w:t>proceeds of crime legislation</w:t>
            </w:r>
          </w:p>
          <w:p w:rsidR="00000000" w:rsidRPr="00AD0D1C" w:rsidP="00AD0D1C">
            <w:pPr>
              <w:pStyle w:val="ListBullet2"/>
            </w:pPr>
            <w:r w:rsidRPr="00AD0D1C">
              <w:t>public service Acts</w:t>
            </w:r>
          </w:p>
          <w:p w:rsidR="00000000" w:rsidRPr="00AD0D1C" w:rsidP="00AD0D1C">
            <w:pPr>
              <w:pStyle w:val="ListBullet2"/>
            </w:pPr>
            <w:r w:rsidRPr="00AD0D1C">
              <w:t>administrative decisions (judicial review) Acts</w:t>
            </w:r>
          </w:p>
          <w:p w:rsidR="00000000" w:rsidRPr="00AD0D1C" w:rsidP="00AD0D1C">
            <w:pPr>
              <w:pStyle w:val="ListBullet2"/>
            </w:pPr>
            <w:r w:rsidRPr="00AD0D1C">
              <w:t>Crimes Act 1914 and Criminal Code Act 1995</w:t>
            </w:r>
          </w:p>
          <w:p w:rsidR="00000000" w:rsidRPr="00AD0D1C" w:rsidP="00AD0D1C">
            <w:pPr>
              <w:pStyle w:val="ListBullet2"/>
            </w:pPr>
            <w:r w:rsidRPr="00AD0D1C">
              <w:t>criminal code</w:t>
            </w:r>
          </w:p>
          <w:p w:rsidR="00000000" w:rsidRPr="00AD0D1C" w:rsidP="00AD0D1C">
            <w:pPr>
              <w:pStyle w:val="ListBullet2"/>
            </w:pPr>
            <w:r w:rsidRPr="00AD0D1C">
              <w:t>case law</w:t>
            </w:r>
          </w:p>
          <w:p w:rsidR="00000000" w:rsidRPr="00AD0D1C" w:rsidP="00AD0D1C">
            <w:pPr>
              <w:pStyle w:val="ListBullet2"/>
            </w:pPr>
            <w:r w:rsidRPr="00AD0D1C">
              <w:t>administrative law</w:t>
            </w:r>
          </w:p>
          <w:p w:rsidR="00000000" w:rsidRPr="00AD0D1C" w:rsidP="00AD0D1C">
            <w:pPr>
              <w:pStyle w:val="ListBullet2"/>
            </w:pPr>
            <w:r w:rsidRPr="00AD0D1C">
              <w:t>public sector standards</w:t>
            </w:r>
          </w:p>
          <w:p w:rsidR="00000000" w:rsidRPr="00AD0D1C" w:rsidP="00AD0D1C">
            <w:pPr>
              <w:pStyle w:val="ListBullet2"/>
            </w:pPr>
            <w:r w:rsidRPr="00AD0D1C">
              <w:t>organisational policy and procedures</w:t>
            </w:r>
          </w:p>
        </w:tc>
      </w:tr>
    </w:tbl>
    <w:p w:rsidR="006A545B" w:rsidP="00AD0D1C">
      <w:pPr>
        <w:pStyle w:val="BodyText"/>
      </w:pPr>
    </w:p>
    <w:p w:rsidR="006A545B" w:rsidP="00AD0D1C">
      <w:pPr>
        <w:pStyle w:val="BodyText"/>
      </w:pPr>
    </w:p>
    <w:p w:rsidR="00000000" w:rsidRPr="00AD0D1C" w:rsidP="00AD0D1C">
      <w:pPr>
        <w:pStyle w:val="Heading1"/>
      </w:pPr>
      <w:bookmarkStart w:id="12" w:name="O_498725"/>
      <w:bookmarkEnd w:id="12"/>
      <w:r w:rsidRPr="00AD0D1C">
        <w:t>Unit Sector(s)</w:t>
      </w:r>
    </w:p>
    <w:p w:rsidR="00000000" w:rsidRPr="00AD0D1C" w:rsidP="00AD0D1C">
      <w:pPr>
        <w:pStyle w:val="BodyText"/>
      </w:pPr>
      <w:r w:rsidRPr="00AD0D1C">
        <w:t>Not applicable.</w:t>
      </w:r>
    </w:p>
    <w:p w:rsidR="00000000" w:rsidRPr="00AD0D1C" w:rsidP="00AD0D1C">
      <w:pPr>
        <w:pStyle w:val="AllowPageBreak"/>
      </w:pPr>
    </w:p>
    <w:p w:rsidR="00000000" w:rsidRPr="00AD0D1C" w:rsidP="00AD0D1C">
      <w:pPr>
        <w:pStyle w:val="Heading1"/>
      </w:pPr>
      <w:bookmarkStart w:id="13" w:name="O_498737"/>
      <w:bookmarkEnd w:id="13"/>
      <w:r w:rsidRPr="00AD0D1C">
        <w:t>Competency field</w:t>
      </w:r>
    </w:p>
    <w:p w:rsidR="00000000" w:rsidRPr="00AD0D1C" w:rsidP="00AD0D1C">
      <w:pPr>
        <w:pStyle w:val="BodyText"/>
      </w:pPr>
      <w:r w:rsidRPr="00AD0D1C">
        <w:t>Regulatory.</w:t>
      </w:r>
    </w:p>
    <w:p w:rsidR="00000000" w:rsidRPr="00AD0D1C" w:rsidP="00AD0D1C"/>
    <w:sectPr w:rsidSect="00AD0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45B" w:rsidP="006A54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5B" w:rsidP="00AD0D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545B" w:rsidP="00AD0D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A545B" w:rsidP="00AD0D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D1C" w:rsidRPr="006A545B" w:rsidP="006A54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5B" w:rsidRPr="002D2AF8" w:rsidP="00AD0D1C">
    <w:pPr>
      <w:pStyle w:val="Header"/>
      <w:framePr w:wrap="around"/>
    </w:pPr>
    <w:r>
      <w:fldChar w:fldCharType="begin"/>
    </w:r>
    <w:r>
      <w:instrText xml:space="preserve"> TITLE   \* MERGEFORMAT </w:instrText>
    </w:r>
    <w:r>
      <w:fldChar w:fldCharType="separate"/>
    </w:r>
    <w:r>
      <w:t>PSPREG420A Plan and implement recovery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A545B" w:rsidP="00AD0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4E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760CF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D1C"/>
    <w:pPr>
      <w:spacing w:before="360" w:after="60"/>
      <w:outlineLvl w:val="0"/>
    </w:pPr>
    <w:rPr>
      <w:sz w:val="32"/>
    </w:rPr>
  </w:style>
  <w:style w:type="paragraph" w:styleId="Heading2">
    <w:name w:val="heading 2"/>
    <w:basedOn w:val="HeadingBase"/>
    <w:next w:val="BodyText"/>
    <w:link w:val="Heading2Char"/>
    <w:qFormat/>
    <w:rsid w:val="00AD0D1C"/>
    <w:pPr>
      <w:keepLines/>
      <w:spacing w:before="240" w:after="120"/>
      <w:outlineLvl w:val="1"/>
    </w:pPr>
    <w:rPr>
      <w:sz w:val="28"/>
      <w:szCs w:val="40"/>
    </w:rPr>
  </w:style>
  <w:style w:type="paragraph" w:styleId="Heading3">
    <w:name w:val="heading 3"/>
    <w:basedOn w:val="HeadingBase"/>
    <w:next w:val="BodyText"/>
    <w:link w:val="Heading3Char"/>
    <w:qFormat/>
    <w:rsid w:val="00AD0D1C"/>
    <w:pPr>
      <w:spacing w:before="180" w:after="120"/>
      <w:outlineLvl w:val="2"/>
    </w:pPr>
    <w:rPr>
      <w:spacing w:val="-10"/>
      <w:kern w:val="32"/>
    </w:rPr>
  </w:style>
  <w:style w:type="paragraph" w:styleId="Heading4">
    <w:name w:val="heading 4"/>
    <w:basedOn w:val="HeadingBase"/>
    <w:next w:val="BodyText"/>
    <w:link w:val="Heading4Char"/>
    <w:qFormat/>
    <w:rsid w:val="00AD0D1C"/>
    <w:pPr>
      <w:spacing w:before="160" w:after="120"/>
      <w:outlineLvl w:val="3"/>
    </w:pPr>
    <w:rPr>
      <w:sz w:val="22"/>
    </w:rPr>
  </w:style>
  <w:style w:type="paragraph" w:styleId="Heading5">
    <w:name w:val="heading 5"/>
    <w:basedOn w:val="HeadingBase"/>
    <w:next w:val="Normal"/>
    <w:link w:val="Heading5Char"/>
    <w:qFormat/>
    <w:rsid w:val="00AD0D1C"/>
    <w:pPr>
      <w:spacing w:before="80"/>
      <w:outlineLvl w:val="4"/>
    </w:pPr>
    <w:rPr>
      <w:color w:val="918585"/>
      <w:sz w:val="20"/>
    </w:rPr>
  </w:style>
  <w:style w:type="paragraph" w:styleId="Heading6">
    <w:name w:val="heading 6"/>
    <w:basedOn w:val="HeadingBase"/>
    <w:next w:val="Normal"/>
    <w:link w:val="Heading6Char"/>
    <w:qFormat/>
    <w:rsid w:val="00AD0D1C"/>
    <w:pPr>
      <w:spacing w:before="60"/>
      <w:outlineLvl w:val="5"/>
    </w:pPr>
    <w:rPr>
      <w:color w:val="918585"/>
      <w:sz w:val="20"/>
    </w:rPr>
  </w:style>
  <w:style w:type="paragraph" w:styleId="Heading7">
    <w:name w:val="heading 7"/>
    <w:basedOn w:val="Normal"/>
    <w:next w:val="Normal"/>
    <w:link w:val="Heading7Char"/>
    <w:qFormat/>
    <w:rsid w:val="00AD0D1C"/>
    <w:pPr>
      <w:ind w:left="720"/>
      <w:outlineLvl w:val="6"/>
    </w:pPr>
    <w:rPr>
      <w:i/>
    </w:rPr>
  </w:style>
  <w:style w:type="paragraph" w:styleId="Heading8">
    <w:name w:val="heading 8"/>
    <w:basedOn w:val="Normal"/>
    <w:next w:val="Normal"/>
    <w:link w:val="Heading8Char"/>
    <w:qFormat/>
    <w:rsid w:val="00AD0D1C"/>
    <w:pPr>
      <w:ind w:left="720"/>
      <w:outlineLvl w:val="7"/>
    </w:pPr>
    <w:rPr>
      <w:i/>
    </w:rPr>
  </w:style>
  <w:style w:type="paragraph" w:styleId="Heading9">
    <w:name w:val="heading 9"/>
    <w:basedOn w:val="Normal"/>
    <w:next w:val="Normal"/>
    <w:link w:val="Heading9Char"/>
    <w:qFormat/>
    <w:rsid w:val="00AD0D1C"/>
    <w:pPr>
      <w:ind w:left="720"/>
      <w:outlineLvl w:val="8"/>
    </w:pPr>
    <w:rPr>
      <w:i/>
    </w:rPr>
  </w:style>
  <w:style w:type="character" w:default="1" w:styleId="DefaultParagraphFont">
    <w:name w:val="Default Paragraph Font"/>
    <w:uiPriority w:val="1"/>
    <w:unhideWhenUsed/>
    <w:rsid w:val="00AD0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D1C"/>
  </w:style>
  <w:style w:type="character" w:customStyle="1" w:styleId="Heading1Char">
    <w:name w:val="Heading 1 Char"/>
    <w:basedOn w:val="DefaultParagraphFont"/>
    <w:link w:val="Heading1"/>
    <w:rsid w:val="00AD0D1C"/>
    <w:rPr>
      <w:rFonts w:ascii="Times New Roman" w:eastAsia="Times New Roman" w:hAnsi="Times New Roman" w:cs="Times New Roman"/>
      <w:b/>
      <w:sz w:val="32"/>
      <w:szCs w:val="20"/>
      <w:lang w:eastAsia="en-US"/>
    </w:rPr>
  </w:style>
  <w:style w:type="paragraph" w:styleId="BodyText">
    <w:name w:val="Body Text"/>
    <w:basedOn w:val="Normal"/>
    <w:link w:val="BodyTextChar"/>
    <w:rsid w:val="00AD0D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0D1C"/>
    <w:rPr>
      <w:rFonts w:ascii="Times New Roman" w:eastAsia="Times New Roman" w:hAnsi="Times New Roman" w:cs="Times New Roman"/>
      <w:sz w:val="24"/>
      <w:lang w:eastAsia="en-US"/>
    </w:rPr>
  </w:style>
  <w:style w:type="paragraph" w:styleId="Footer">
    <w:name w:val="footer"/>
    <w:basedOn w:val="Normal"/>
    <w:link w:val="FooterChar"/>
    <w:rsid w:val="00AD0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D1C"/>
    <w:rPr>
      <w:rFonts w:ascii="Times New Roman" w:eastAsia="Times New Roman" w:hAnsi="Times New Roman" w:cs="Times New Roman"/>
      <w:sz w:val="16"/>
      <w:lang w:eastAsia="en-US"/>
    </w:rPr>
  </w:style>
  <w:style w:type="paragraph" w:styleId="List">
    <w:name w:val="List"/>
    <w:basedOn w:val="BodyText"/>
    <w:next w:val="BodyText"/>
    <w:rsid w:val="00AD0D1C"/>
    <w:pPr>
      <w:tabs>
        <w:tab w:val="left" w:pos="340"/>
      </w:tabs>
      <w:spacing w:before="60" w:after="60"/>
      <w:ind w:left="340" w:hanging="340"/>
    </w:pPr>
  </w:style>
  <w:style w:type="character" w:customStyle="1" w:styleId="SpecialBold">
    <w:name w:val="Special Bold"/>
    <w:basedOn w:val="DefaultParagraphFont"/>
    <w:rsid w:val="00AD0D1C"/>
    <w:rPr>
      <w:b/>
      <w:spacing w:val="0"/>
    </w:rPr>
  </w:style>
  <w:style w:type="paragraph" w:styleId="ListBullet2">
    <w:name w:val="List Bullet 2"/>
    <w:basedOn w:val="List2"/>
    <w:rsid w:val="00AD0D1C"/>
    <w:pPr>
      <w:numPr>
        <w:numId w:val="14"/>
      </w:numPr>
      <w:tabs>
        <w:tab w:val="clear" w:pos="680"/>
      </w:tabs>
    </w:pPr>
  </w:style>
  <w:style w:type="character" w:styleId="Emphasis">
    <w:name w:val="Emphasis"/>
    <w:basedOn w:val="DefaultParagraphFont"/>
    <w:qFormat/>
    <w:rsid w:val="00AD0D1C"/>
    <w:rPr>
      <w:i/>
    </w:rPr>
  </w:style>
  <w:style w:type="paragraph" w:customStyle="1" w:styleId="SuperHeading">
    <w:name w:val="SuperHeading"/>
    <w:basedOn w:val="Normal"/>
    <w:rsid w:val="00AD0D1C"/>
    <w:pPr>
      <w:spacing w:before="240" w:after="120"/>
      <w:outlineLvl w:val="0"/>
    </w:pPr>
    <w:rPr>
      <w:rFonts w:ascii="Times New Roman" w:hAnsi="Times New Roman"/>
      <w:b/>
      <w:sz w:val="28"/>
    </w:rPr>
  </w:style>
  <w:style w:type="paragraph" w:customStyle="1" w:styleId="AllowPageBreak">
    <w:name w:val="AllowPageBreak"/>
    <w:rsid w:val="00AD0D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0D1C"/>
    <w:pPr>
      <w:numPr>
        <w:numId w:val="2"/>
      </w:numPr>
      <w:tabs>
        <w:tab w:val="clear" w:pos="1021"/>
      </w:tabs>
      <w:ind w:left="1037" w:hanging="357"/>
    </w:pPr>
  </w:style>
  <w:style w:type="character" w:customStyle="1" w:styleId="Underline">
    <w:name w:val="Underline"/>
    <w:basedOn w:val="DefaultParagraphFont"/>
    <w:qFormat/>
    <w:rsid w:val="00AD0D1C"/>
    <w:rPr>
      <w:u w:val="single"/>
    </w:rPr>
  </w:style>
  <w:style w:type="character" w:customStyle="1" w:styleId="BoldandItalics">
    <w:name w:val="Bold and Italics"/>
    <w:qFormat/>
    <w:rsid w:val="00AD0D1C"/>
    <w:rPr>
      <w:b/>
      <w:i/>
      <w:u w:val="none"/>
    </w:rPr>
  </w:style>
  <w:style w:type="character" w:customStyle="1" w:styleId="Heading2Char">
    <w:name w:val="Heading 2 Char"/>
    <w:basedOn w:val="DefaultParagraphFont"/>
    <w:link w:val="Heading2"/>
    <w:rsid w:val="00AD0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D1C"/>
    <w:rPr>
      <w:rFonts w:ascii="Courier New" w:eastAsia="Times New Roman" w:hAnsi="Courier New" w:cs="Times New Roman"/>
      <w:i/>
      <w:szCs w:val="20"/>
      <w:lang w:eastAsia="en-US"/>
    </w:rPr>
  </w:style>
  <w:style w:type="paragraph" w:customStyle="1" w:styleId="HeadingBase">
    <w:name w:val="Heading Base"/>
    <w:rsid w:val="00AD0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D1C"/>
    <w:pPr>
      <w:tabs>
        <w:tab w:val="right" w:leader="dot" w:pos="9072"/>
      </w:tabs>
      <w:ind w:left="567"/>
    </w:pPr>
    <w:rPr>
      <w:szCs w:val="22"/>
    </w:rPr>
  </w:style>
  <w:style w:type="paragraph" w:customStyle="1" w:styleId="TOCBase">
    <w:name w:val="TOC Base"/>
    <w:rsid w:val="00AD0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D1C"/>
    <w:pPr>
      <w:tabs>
        <w:tab w:val="right" w:leader="dot" w:pos="9072"/>
      </w:tabs>
      <w:spacing w:before="40" w:after="40"/>
      <w:ind w:left="284"/>
    </w:pPr>
    <w:rPr>
      <w:rFonts w:ascii="Times New Roman" w:hAnsi="Times New Roman"/>
    </w:rPr>
  </w:style>
  <w:style w:type="paragraph" w:styleId="TOC1">
    <w:name w:val="toc 1"/>
    <w:basedOn w:val="TOCBase"/>
    <w:next w:val="Normal"/>
    <w:rsid w:val="00AD0D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0D1C"/>
    <w:pPr>
      <w:spacing w:before="5040"/>
      <w:jc w:val="center"/>
    </w:pPr>
    <w:rPr>
      <w:sz w:val="48"/>
      <w:szCs w:val="72"/>
      <w:lang w:val="en-US"/>
    </w:rPr>
  </w:style>
  <w:style w:type="character" w:customStyle="1" w:styleId="TitleChar">
    <w:name w:val="Title Char"/>
    <w:basedOn w:val="DefaultParagraphFont"/>
    <w:link w:val="Title"/>
    <w:rsid w:val="00AD0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D1C"/>
    <w:pPr>
      <w:tabs>
        <w:tab w:val="left" w:pos="3600"/>
        <w:tab w:val="left" w:pos="3958"/>
      </w:tabs>
    </w:pPr>
  </w:style>
  <w:style w:type="paragraph" w:styleId="ListBullet">
    <w:name w:val="List Bullet"/>
    <w:basedOn w:val="List"/>
    <w:rsid w:val="00AD0D1C"/>
    <w:pPr>
      <w:numPr>
        <w:numId w:val="13"/>
      </w:numPr>
      <w:tabs>
        <w:tab w:val="clear" w:pos="340"/>
      </w:tabs>
      <w:spacing w:before="40" w:after="40"/>
    </w:pPr>
  </w:style>
  <w:style w:type="paragraph" w:customStyle="1" w:styleId="Note">
    <w:name w:val="Note"/>
    <w:basedOn w:val="BodyText"/>
    <w:rsid w:val="00AD0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D1C"/>
    <w:pPr>
      <w:framePr w:wrap="auto" w:hAnchor="text" w:y="6049"/>
    </w:pPr>
    <w:rPr>
      <w:color w:val="000000"/>
      <w:sz w:val="40"/>
    </w:rPr>
  </w:style>
  <w:style w:type="paragraph" w:customStyle="1" w:styleId="TOCTitle">
    <w:name w:val="TOCTitle"/>
    <w:basedOn w:val="Heading1"/>
    <w:rsid w:val="00AD0D1C"/>
    <w:pPr>
      <w:spacing w:after="240"/>
      <w:jc w:val="center"/>
      <w:outlineLvl w:val="9"/>
    </w:pPr>
    <w:rPr>
      <w:caps/>
    </w:rPr>
  </w:style>
  <w:style w:type="paragraph" w:customStyle="1" w:styleId="Version">
    <w:name w:val="Version"/>
    <w:rsid w:val="00AD0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D1C"/>
    <w:pPr>
      <w:keepNext w:val="0"/>
      <w:tabs>
        <w:tab w:val="right" w:pos="4176"/>
      </w:tabs>
      <w:ind w:left="198" w:hanging="198"/>
    </w:pPr>
    <w:rPr>
      <w:rFonts w:ascii="Garamond" w:hAnsi="Garamond"/>
    </w:rPr>
  </w:style>
  <w:style w:type="paragraph" w:styleId="IndexHeading">
    <w:name w:val="index heading"/>
    <w:basedOn w:val="Normal"/>
    <w:next w:val="Index1"/>
    <w:semiHidden/>
    <w:rsid w:val="00AD0D1C"/>
    <w:pPr>
      <w:spacing w:before="120" w:after="120"/>
    </w:pPr>
    <w:rPr>
      <w:rFonts w:ascii="Arial" w:hAnsi="Arial"/>
      <w:b/>
      <w:color w:val="918585"/>
      <w:sz w:val="24"/>
    </w:rPr>
  </w:style>
  <w:style w:type="paragraph" w:styleId="Header">
    <w:name w:val="header"/>
    <w:basedOn w:val="Normal"/>
    <w:link w:val="HeaderChar"/>
    <w:rsid w:val="00AD0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D1C"/>
    <w:rPr>
      <w:rFonts w:ascii="Times New Roman" w:eastAsia="Times New Roman" w:hAnsi="Times New Roman" w:cs="Times New Roman"/>
      <w:sz w:val="16"/>
      <w:szCs w:val="20"/>
      <w:lang w:val="en-GB" w:eastAsia="en-US"/>
    </w:rPr>
  </w:style>
  <w:style w:type="paragraph" w:customStyle="1" w:styleId="Chapter">
    <w:name w:val="Chapter"/>
    <w:basedOn w:val="Normal"/>
    <w:rsid w:val="00AD0D1C"/>
    <w:pPr>
      <w:spacing w:before="240"/>
    </w:pPr>
    <w:rPr>
      <w:rFonts w:ascii="Times New Roman" w:hAnsi="Times New Roman"/>
      <w:smallCaps/>
      <w:spacing w:val="80"/>
      <w:sz w:val="28"/>
    </w:rPr>
  </w:style>
  <w:style w:type="paragraph" w:customStyle="1" w:styleId="InChapter">
    <w:name w:val="InChapter"/>
    <w:basedOn w:val="Heading3"/>
    <w:rsid w:val="00AD0D1C"/>
    <w:pPr>
      <w:spacing w:after="240"/>
      <w:outlineLvl w:val="9"/>
    </w:pPr>
    <w:rPr>
      <w:noProof/>
    </w:rPr>
  </w:style>
  <w:style w:type="paragraph" w:styleId="Index2">
    <w:name w:val="index 2"/>
    <w:basedOn w:val="Normal"/>
    <w:next w:val="Normal"/>
    <w:semiHidden/>
    <w:rsid w:val="00AD0D1C"/>
    <w:pPr>
      <w:tabs>
        <w:tab w:val="right" w:pos="4176"/>
      </w:tabs>
      <w:ind w:left="568" w:hanging="284"/>
    </w:pPr>
    <w:rPr>
      <w:rFonts w:ascii="Garamond" w:hAnsi="Garamond"/>
    </w:rPr>
  </w:style>
  <w:style w:type="paragraph" w:customStyle="1" w:styleId="Byline">
    <w:name w:val="Byline"/>
    <w:rsid w:val="00AD0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D1C"/>
    <w:pPr>
      <w:tabs>
        <w:tab w:val="clear" w:pos="3600"/>
        <w:tab w:val="clear" w:pos="3958"/>
      </w:tabs>
      <w:jc w:val="right"/>
    </w:pPr>
  </w:style>
  <w:style w:type="paragraph" w:styleId="Caption">
    <w:name w:val="caption"/>
    <w:basedOn w:val="BodyText"/>
    <w:next w:val="Normal"/>
    <w:qFormat/>
    <w:rsid w:val="00AD0D1C"/>
    <w:pPr>
      <w:framePr w:w="2268" w:hSpace="181" w:vSpace="181" w:wrap="around" w:vAnchor="text" w:hAnchor="page" w:x="1135" w:y="285" w:anchorLock="1"/>
    </w:pPr>
    <w:rPr>
      <w:i/>
    </w:rPr>
  </w:style>
  <w:style w:type="paragraph" w:customStyle="1" w:styleId="MiniTOCTitle">
    <w:name w:val="MiniTOCTitle"/>
    <w:basedOn w:val="Heading4"/>
    <w:rsid w:val="00AD0D1C"/>
    <w:pPr>
      <w:spacing w:before="240"/>
      <w:outlineLvl w:val="9"/>
    </w:pPr>
    <w:rPr>
      <w:noProof/>
      <w:sz w:val="24"/>
    </w:rPr>
  </w:style>
  <w:style w:type="paragraph" w:customStyle="1" w:styleId="MiniTOCItem">
    <w:name w:val="MiniTOCItem"/>
    <w:basedOn w:val="ListBullet"/>
    <w:rsid w:val="00AD0D1C"/>
    <w:pPr>
      <w:numPr>
        <w:numId w:val="0"/>
      </w:numPr>
      <w:tabs>
        <w:tab w:val="right" w:leader="dot" w:pos="6521"/>
      </w:tabs>
      <w:spacing w:before="0" w:after="0"/>
    </w:pPr>
  </w:style>
  <w:style w:type="paragraph" w:customStyle="1" w:styleId="TOFTitle">
    <w:name w:val="TOFTitle"/>
    <w:basedOn w:val="TOCTitle"/>
    <w:rsid w:val="00AD0D1C"/>
  </w:style>
  <w:style w:type="paragraph" w:styleId="TableofFigures">
    <w:name w:val="table of figures"/>
    <w:basedOn w:val="Normal"/>
    <w:next w:val="Normal"/>
    <w:semiHidden/>
    <w:rsid w:val="00AD0D1C"/>
    <w:pPr>
      <w:tabs>
        <w:tab w:val="right" w:leader="dot" w:pos="9072"/>
      </w:tabs>
      <w:ind w:left="970" w:hanging="403"/>
    </w:pPr>
    <w:rPr>
      <w:rFonts w:ascii="Times New Roman" w:hAnsi="Times New Roman"/>
      <w:b/>
    </w:rPr>
  </w:style>
  <w:style w:type="paragraph" w:styleId="ListNumber">
    <w:name w:val="List Number"/>
    <w:basedOn w:val="List"/>
    <w:rsid w:val="00AD0D1C"/>
    <w:pPr>
      <w:numPr>
        <w:numId w:val="11"/>
      </w:numPr>
    </w:pPr>
  </w:style>
  <w:style w:type="character" w:customStyle="1" w:styleId="WingdingSymbols">
    <w:name w:val="Wingding Symbols"/>
    <w:rsid w:val="00AD0D1C"/>
    <w:rPr>
      <w:rFonts w:ascii="Wingdings" w:hAnsi="Wingdings"/>
    </w:rPr>
  </w:style>
  <w:style w:type="paragraph" w:customStyle="1" w:styleId="TableHeading">
    <w:name w:val="Table Heading"/>
    <w:basedOn w:val="HeadingBase"/>
    <w:rsid w:val="00AD0D1C"/>
    <w:pPr>
      <w:keepLines/>
      <w:pBdr>
        <w:bottom w:val="single" w:sz="6" w:space="1" w:color="918585"/>
      </w:pBdr>
      <w:spacing w:before="240"/>
    </w:pPr>
  </w:style>
  <w:style w:type="character" w:customStyle="1" w:styleId="HotSpot">
    <w:name w:val="HotSpot"/>
    <w:rsid w:val="00AD0D1C"/>
    <w:rPr>
      <w:color w:val="0033CC"/>
      <w:u w:val="none"/>
    </w:rPr>
  </w:style>
  <w:style w:type="paragraph" w:customStyle="1" w:styleId="BodyTextRight">
    <w:name w:val="Body Text Right"/>
    <w:basedOn w:val="BodyText"/>
    <w:rsid w:val="00AD0D1C"/>
    <w:pPr>
      <w:spacing w:before="0" w:after="0"/>
      <w:jc w:val="right"/>
    </w:pPr>
  </w:style>
  <w:style w:type="paragraph" w:styleId="Index3">
    <w:name w:val="index 3"/>
    <w:basedOn w:val="ListNumber2"/>
    <w:next w:val="Normal"/>
    <w:semiHidden/>
    <w:rsid w:val="00AD0D1C"/>
    <w:pPr>
      <w:numPr>
        <w:numId w:val="0"/>
      </w:numPr>
      <w:tabs>
        <w:tab w:val="right" w:leader="dot" w:pos="4176"/>
      </w:tabs>
    </w:pPr>
  </w:style>
  <w:style w:type="paragraph" w:styleId="ListNumber2">
    <w:name w:val="List Number 2"/>
    <w:basedOn w:val="List2"/>
    <w:rsid w:val="00AD0D1C"/>
    <w:pPr>
      <w:numPr>
        <w:numId w:val="10"/>
      </w:numPr>
      <w:tabs>
        <w:tab w:val="clear" w:pos="1060"/>
      </w:tabs>
    </w:pPr>
  </w:style>
  <w:style w:type="paragraph" w:customStyle="1" w:styleId="MarginNote">
    <w:name w:val="Margin Note"/>
    <w:basedOn w:val="BodyText"/>
    <w:rsid w:val="00AD0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D1C"/>
    <w:rPr>
      <w:sz w:val="32"/>
    </w:rPr>
  </w:style>
  <w:style w:type="paragraph" w:customStyle="1" w:styleId="HeadingProcedure">
    <w:name w:val="Heading Procedure"/>
    <w:basedOn w:val="HeadingBase"/>
    <w:next w:val="Normal"/>
    <w:rsid w:val="00AD0D1C"/>
    <w:pPr>
      <w:tabs>
        <w:tab w:val="left" w:pos="0"/>
      </w:tabs>
      <w:spacing w:before="120" w:after="60"/>
    </w:pPr>
    <w:rPr>
      <w:i/>
      <w:color w:val="918585"/>
      <w:sz w:val="22"/>
    </w:rPr>
  </w:style>
  <w:style w:type="paragraph" w:customStyle="1" w:styleId="TableBodyText">
    <w:name w:val="Table Body Text"/>
    <w:basedOn w:val="BodyText"/>
    <w:rsid w:val="00AD0D1C"/>
    <w:pPr>
      <w:spacing w:before="60" w:after="60"/>
    </w:pPr>
  </w:style>
  <w:style w:type="paragraph" w:styleId="ListContinue">
    <w:name w:val="List Continue"/>
    <w:basedOn w:val="List"/>
    <w:rsid w:val="00AD0D1C"/>
    <w:pPr>
      <w:ind w:firstLine="0"/>
    </w:pPr>
  </w:style>
  <w:style w:type="paragraph" w:customStyle="1" w:styleId="ListNote">
    <w:name w:val="List Note"/>
    <w:basedOn w:val="List"/>
    <w:rsid w:val="00AD0D1C"/>
    <w:pPr>
      <w:pBdr>
        <w:top w:val="single" w:sz="6" w:space="2" w:color="918585"/>
        <w:bottom w:val="single" w:sz="6" w:space="2" w:color="918585"/>
      </w:pBdr>
      <w:tabs>
        <w:tab w:val="left" w:pos="1021"/>
      </w:tabs>
      <w:ind w:firstLine="0"/>
    </w:pPr>
  </w:style>
  <w:style w:type="paragraph" w:customStyle="1" w:styleId="Warning">
    <w:name w:val="Warning"/>
    <w:basedOn w:val="BodyText"/>
    <w:rsid w:val="00AD0D1C"/>
    <w:pPr>
      <w:shd w:val="clear" w:color="auto" w:fill="D9D9D9"/>
      <w:tabs>
        <w:tab w:val="left" w:pos="992"/>
      </w:tabs>
      <w:ind w:left="119" w:right="119"/>
    </w:pPr>
    <w:rPr>
      <w:sz w:val="20"/>
    </w:rPr>
  </w:style>
  <w:style w:type="paragraph" w:customStyle="1" w:styleId="MarginIcons">
    <w:name w:val="Margin Icons"/>
    <w:basedOn w:val="BodyText"/>
    <w:rsid w:val="00AD0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D1C"/>
    <w:rPr>
      <w:rFonts w:ascii="Courier New" w:hAnsi="Courier New"/>
    </w:rPr>
  </w:style>
  <w:style w:type="paragraph" w:customStyle="1" w:styleId="NoteBullet">
    <w:name w:val="Note Bullet"/>
    <w:basedOn w:val="Note"/>
    <w:rsid w:val="00AD0D1C"/>
    <w:pPr>
      <w:tabs>
        <w:tab w:val="clear" w:pos="680"/>
      </w:tabs>
      <w:spacing w:before="60" w:after="60"/>
    </w:pPr>
  </w:style>
  <w:style w:type="paragraph" w:customStyle="1" w:styleId="SubHeading2">
    <w:name w:val="SubHeading2"/>
    <w:basedOn w:val="HeadingBase"/>
    <w:rsid w:val="00AD0D1C"/>
    <w:pPr>
      <w:spacing w:before="240" w:after="60"/>
    </w:pPr>
    <w:rPr>
      <w:sz w:val="20"/>
    </w:rPr>
  </w:style>
  <w:style w:type="paragraph" w:customStyle="1" w:styleId="SubHeading1">
    <w:name w:val="SubHeading1"/>
    <w:basedOn w:val="HeadingBase"/>
    <w:rsid w:val="00AD0D1C"/>
    <w:pPr>
      <w:spacing w:before="240" w:after="60"/>
    </w:pPr>
    <w:rPr>
      <w:color w:val="918585"/>
      <w:sz w:val="22"/>
    </w:rPr>
  </w:style>
  <w:style w:type="paragraph" w:customStyle="1" w:styleId="SideHeading">
    <w:name w:val="Side Heading"/>
    <w:basedOn w:val="HeadingBase"/>
    <w:rsid w:val="00AD0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D1C"/>
    <w:pPr>
      <w:numPr>
        <w:numId w:val="12"/>
      </w:numPr>
    </w:pPr>
  </w:style>
  <w:style w:type="paragraph" w:styleId="PlainText">
    <w:name w:val="Plain Text"/>
    <w:basedOn w:val="Normal"/>
    <w:link w:val="PlainTextChar"/>
    <w:rsid w:val="00AD0D1C"/>
    <w:rPr>
      <w:sz w:val="20"/>
    </w:rPr>
  </w:style>
  <w:style w:type="character" w:customStyle="1" w:styleId="PlainTextChar">
    <w:name w:val="Plain Text Char"/>
    <w:basedOn w:val="DefaultParagraphFont"/>
    <w:link w:val="PlainText"/>
    <w:rsid w:val="00AD0D1C"/>
    <w:rPr>
      <w:rFonts w:ascii="Courier New" w:eastAsia="Times New Roman" w:hAnsi="Courier New" w:cs="Times New Roman"/>
      <w:sz w:val="20"/>
      <w:szCs w:val="20"/>
      <w:lang w:eastAsia="en-US"/>
    </w:rPr>
  </w:style>
  <w:style w:type="character" w:customStyle="1" w:styleId="MenuOption">
    <w:name w:val="Menu Option"/>
    <w:basedOn w:val="DefaultParagraphFont"/>
    <w:rsid w:val="00AD0D1C"/>
    <w:rPr>
      <w:b/>
      <w:smallCaps/>
    </w:rPr>
  </w:style>
  <w:style w:type="paragraph" w:customStyle="1" w:styleId="TableListNumber">
    <w:name w:val="Table List Number"/>
    <w:basedOn w:val="ListNumber"/>
    <w:rsid w:val="00AD0D1C"/>
    <w:pPr>
      <w:numPr>
        <w:numId w:val="0"/>
      </w:numPr>
    </w:pPr>
  </w:style>
  <w:style w:type="paragraph" w:styleId="TOC4">
    <w:name w:val="toc 4"/>
    <w:basedOn w:val="TOCBase"/>
    <w:next w:val="Normal"/>
    <w:semiHidden/>
    <w:rsid w:val="00AD0D1C"/>
    <w:pPr>
      <w:tabs>
        <w:tab w:val="right" w:leader="dot" w:pos="9071"/>
      </w:tabs>
      <w:ind w:left="1701"/>
    </w:pPr>
  </w:style>
  <w:style w:type="paragraph" w:customStyle="1" w:styleId="ListAlpha">
    <w:name w:val="List Alpha"/>
    <w:basedOn w:val="List"/>
    <w:rsid w:val="00AD0D1C"/>
    <w:pPr>
      <w:numPr>
        <w:numId w:val="9"/>
      </w:numPr>
    </w:pPr>
  </w:style>
  <w:style w:type="paragraph" w:customStyle="1" w:styleId="ListAlpha2">
    <w:name w:val="List Alpha 2"/>
    <w:basedOn w:val="List2"/>
    <w:rsid w:val="00AD0D1C"/>
    <w:pPr>
      <w:numPr>
        <w:numId w:val="8"/>
      </w:numPr>
    </w:pPr>
  </w:style>
  <w:style w:type="paragraph" w:styleId="List2">
    <w:name w:val="List 2"/>
    <w:basedOn w:val="BodyText"/>
    <w:rsid w:val="00AD0D1C"/>
    <w:pPr>
      <w:tabs>
        <w:tab w:val="left" w:pos="680"/>
      </w:tabs>
      <w:spacing w:before="60" w:after="60"/>
      <w:ind w:left="680" w:hanging="340"/>
    </w:pPr>
  </w:style>
  <w:style w:type="paragraph" w:styleId="List3">
    <w:name w:val="List 3"/>
    <w:basedOn w:val="BodyText"/>
    <w:rsid w:val="00AD0D1C"/>
    <w:pPr>
      <w:tabs>
        <w:tab w:val="left" w:pos="1021"/>
      </w:tabs>
      <w:spacing w:before="60" w:after="60"/>
      <w:ind w:left="1020" w:hanging="340"/>
    </w:pPr>
  </w:style>
  <w:style w:type="paragraph" w:styleId="List4">
    <w:name w:val="List 4"/>
    <w:basedOn w:val="BodyText"/>
    <w:rsid w:val="00AD0D1C"/>
    <w:pPr>
      <w:tabs>
        <w:tab w:val="left" w:pos="1361"/>
      </w:tabs>
      <w:spacing w:before="60" w:after="60"/>
      <w:ind w:left="1361" w:hanging="340"/>
    </w:pPr>
  </w:style>
  <w:style w:type="paragraph" w:styleId="List5">
    <w:name w:val="List 5"/>
    <w:basedOn w:val="BodyText"/>
    <w:rsid w:val="00AD0D1C"/>
    <w:pPr>
      <w:tabs>
        <w:tab w:val="left" w:pos="1701"/>
      </w:tabs>
      <w:spacing w:before="60" w:after="60"/>
      <w:ind w:left="1701" w:hanging="340"/>
    </w:pPr>
  </w:style>
  <w:style w:type="paragraph" w:styleId="ListBullet4">
    <w:name w:val="List Bullet 4"/>
    <w:basedOn w:val="List4"/>
    <w:rsid w:val="00AD0D1C"/>
    <w:pPr>
      <w:numPr>
        <w:numId w:val="3"/>
      </w:numPr>
    </w:pPr>
  </w:style>
  <w:style w:type="paragraph" w:styleId="ListBullet5">
    <w:name w:val="List Bullet 5"/>
    <w:basedOn w:val="List5"/>
    <w:rsid w:val="00AD0D1C"/>
    <w:pPr>
      <w:numPr>
        <w:numId w:val="4"/>
      </w:numPr>
    </w:pPr>
  </w:style>
  <w:style w:type="paragraph" w:styleId="ListContinue2">
    <w:name w:val="List Continue 2"/>
    <w:basedOn w:val="List2"/>
    <w:rsid w:val="00AD0D1C"/>
    <w:pPr>
      <w:ind w:firstLine="0"/>
    </w:pPr>
  </w:style>
  <w:style w:type="paragraph" w:styleId="ListContinue3">
    <w:name w:val="List Continue 3"/>
    <w:basedOn w:val="List3"/>
    <w:rsid w:val="00AD0D1C"/>
    <w:pPr>
      <w:ind w:left="1021" w:firstLine="0"/>
    </w:pPr>
  </w:style>
  <w:style w:type="paragraph" w:styleId="ListContinue4">
    <w:name w:val="List Continue 4"/>
    <w:basedOn w:val="List4"/>
    <w:rsid w:val="00AD0D1C"/>
    <w:pPr>
      <w:ind w:firstLine="0"/>
    </w:pPr>
  </w:style>
  <w:style w:type="paragraph" w:styleId="ListContinue5">
    <w:name w:val="List Continue 5"/>
    <w:basedOn w:val="List5"/>
    <w:rsid w:val="00AD0D1C"/>
    <w:pPr>
      <w:ind w:firstLine="0"/>
    </w:pPr>
  </w:style>
  <w:style w:type="paragraph" w:styleId="ListNumber3">
    <w:name w:val="List Number 3"/>
    <w:basedOn w:val="List3"/>
    <w:rsid w:val="00AD0D1C"/>
    <w:pPr>
      <w:numPr>
        <w:numId w:val="5"/>
      </w:numPr>
    </w:pPr>
  </w:style>
  <w:style w:type="paragraph" w:styleId="ListNumber4">
    <w:name w:val="List Number 4"/>
    <w:basedOn w:val="List4"/>
    <w:rsid w:val="00AD0D1C"/>
    <w:pPr>
      <w:numPr>
        <w:numId w:val="6"/>
      </w:numPr>
    </w:pPr>
  </w:style>
  <w:style w:type="paragraph" w:styleId="ListNumber5">
    <w:name w:val="List Number 5"/>
    <w:basedOn w:val="List5"/>
    <w:rsid w:val="00AD0D1C"/>
    <w:pPr>
      <w:numPr>
        <w:numId w:val="7"/>
      </w:numPr>
    </w:pPr>
  </w:style>
  <w:style w:type="paragraph" w:styleId="BlockText">
    <w:name w:val="Block Text"/>
    <w:basedOn w:val="Normal"/>
    <w:rsid w:val="00AD0D1C"/>
    <w:pPr>
      <w:spacing w:after="120"/>
      <w:ind w:left="1440" w:right="1440"/>
    </w:pPr>
  </w:style>
  <w:style w:type="character" w:customStyle="1" w:styleId="Subscript">
    <w:name w:val="Subscript"/>
    <w:basedOn w:val="DefaultParagraphFont"/>
    <w:rsid w:val="00AD0D1C"/>
    <w:rPr>
      <w:sz w:val="16"/>
      <w:vertAlign w:val="subscript"/>
    </w:rPr>
  </w:style>
  <w:style w:type="character" w:customStyle="1" w:styleId="Superscript">
    <w:name w:val="Superscript"/>
    <w:basedOn w:val="DefaultParagraphFont"/>
    <w:rsid w:val="00AD0D1C"/>
    <w:rPr>
      <w:sz w:val="16"/>
      <w:vertAlign w:val="superscript"/>
    </w:rPr>
  </w:style>
  <w:style w:type="character" w:customStyle="1" w:styleId="Symbols">
    <w:name w:val="Symbols"/>
    <w:basedOn w:val="DefaultParagraphFont"/>
    <w:rsid w:val="00AD0D1C"/>
    <w:rPr>
      <w:rFonts w:ascii="Symbol" w:hAnsi="Symbol"/>
    </w:rPr>
  </w:style>
  <w:style w:type="character" w:customStyle="1" w:styleId="MenuOptions">
    <w:name w:val="Menu Options"/>
    <w:basedOn w:val="DefaultParagraphFont"/>
    <w:rsid w:val="00AD0D1C"/>
    <w:rPr>
      <w:rFonts w:ascii="Arial Narrow" w:hAnsi="Arial Narrow"/>
      <w:smallCaps/>
    </w:rPr>
  </w:style>
  <w:style w:type="character" w:customStyle="1" w:styleId="Buttons">
    <w:name w:val="Buttons"/>
    <w:basedOn w:val="DefaultParagraphFont"/>
    <w:rsid w:val="00AD0D1C"/>
    <w:rPr>
      <w:b/>
    </w:rPr>
  </w:style>
  <w:style w:type="character" w:customStyle="1" w:styleId="Underlined">
    <w:name w:val="Underlined"/>
    <w:basedOn w:val="DefaultParagraphFont"/>
    <w:rsid w:val="00AD0D1C"/>
    <w:rPr>
      <w:u w:val="single"/>
    </w:rPr>
  </w:style>
  <w:style w:type="paragraph" w:customStyle="1" w:styleId="TableBodyTextRight">
    <w:name w:val="Table Body Text Right"/>
    <w:basedOn w:val="TableBodyText"/>
    <w:rsid w:val="00AD0D1C"/>
    <w:pPr>
      <w:widowControl w:val="0"/>
      <w:autoSpaceDE w:val="0"/>
      <w:autoSpaceDN w:val="0"/>
      <w:adjustRightInd w:val="0"/>
      <w:jc w:val="right"/>
    </w:pPr>
    <w:rPr>
      <w:rFonts w:cs="Arial"/>
      <w:szCs w:val="18"/>
    </w:rPr>
  </w:style>
  <w:style w:type="paragraph" w:customStyle="1" w:styleId="CopyrightText">
    <w:name w:val="Copyright Text"/>
    <w:basedOn w:val="BodyText"/>
    <w:rsid w:val="00AD0D1C"/>
    <w:rPr>
      <w:sz w:val="18"/>
    </w:rPr>
  </w:style>
  <w:style w:type="paragraph" w:customStyle="1" w:styleId="BodySmallRight">
    <w:name w:val="Body Small Right"/>
    <w:basedOn w:val="BodyTextRight"/>
    <w:rsid w:val="00AD0D1C"/>
    <w:rPr>
      <w:sz w:val="18"/>
      <w:szCs w:val="18"/>
    </w:rPr>
  </w:style>
  <w:style w:type="paragraph" w:customStyle="1" w:styleId="MarginEdition">
    <w:name w:val="Margin Edition"/>
    <w:basedOn w:val="MarginNote"/>
    <w:rsid w:val="00AD0D1C"/>
    <w:pPr>
      <w:spacing w:before="0" w:after="0"/>
    </w:pPr>
    <w:rPr>
      <w:rFonts w:ascii="Times New Roman" w:hAnsi="Times New Roman"/>
      <w:color w:val="999999"/>
    </w:rPr>
  </w:style>
  <w:style w:type="paragraph" w:customStyle="1" w:styleId="Spacer">
    <w:name w:val="Spacer"/>
    <w:basedOn w:val="Normal"/>
    <w:rsid w:val="00AD0D1C"/>
    <w:rPr>
      <w:sz w:val="2"/>
      <w:szCs w:val="2"/>
    </w:rPr>
  </w:style>
  <w:style w:type="character" w:customStyle="1" w:styleId="Small">
    <w:name w:val="Small"/>
    <w:basedOn w:val="DefaultParagraphFont"/>
    <w:rsid w:val="00AD0D1C"/>
    <w:rPr>
      <w:sz w:val="16"/>
    </w:rPr>
  </w:style>
  <w:style w:type="paragraph" w:customStyle="1" w:styleId="WideTable">
    <w:name w:val="Wide Table"/>
    <w:basedOn w:val="Normal"/>
    <w:rsid w:val="00AD0D1C"/>
    <w:pPr>
      <w:ind w:left="-1418"/>
    </w:pPr>
    <w:rPr>
      <w:sz w:val="2"/>
      <w:szCs w:val="2"/>
    </w:rPr>
  </w:style>
  <w:style w:type="character" w:styleId="PageNumber">
    <w:name w:val="page number"/>
    <w:basedOn w:val="DefaultParagraphFont"/>
    <w:rsid w:val="00AD0D1C"/>
  </w:style>
  <w:style w:type="paragraph" w:styleId="Quote">
    <w:name w:val="Quote"/>
    <w:basedOn w:val="Heading1"/>
    <w:link w:val="QuoteChar"/>
    <w:qFormat/>
    <w:rsid w:val="00AD0D1C"/>
    <w:rPr>
      <w:b w:val="0"/>
      <w:sz w:val="72"/>
      <w:szCs w:val="72"/>
      <w:lang w:val="en-NZ"/>
    </w:rPr>
  </w:style>
  <w:style w:type="character" w:customStyle="1" w:styleId="QuoteChar">
    <w:name w:val="Quote Char"/>
    <w:basedOn w:val="DefaultParagraphFont"/>
    <w:link w:val="Quote"/>
    <w:rsid w:val="00AD0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D1C"/>
    <w:pPr>
      <w:pageBreakBefore/>
    </w:pPr>
  </w:style>
  <w:style w:type="paragraph" w:customStyle="1" w:styleId="Border">
    <w:name w:val="Border"/>
    <w:basedOn w:val="Normal"/>
    <w:qFormat/>
    <w:rsid w:val="00AD0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D1C"/>
    <w:rPr>
      <w:b/>
      <w:bCs/>
      <w:i/>
      <w:iCs/>
      <w:color w:val="auto"/>
    </w:rPr>
  </w:style>
  <w:style w:type="paragraph" w:styleId="IntenseQuote">
    <w:name w:val="Intense Quote"/>
    <w:basedOn w:val="Normal"/>
    <w:next w:val="Normal"/>
    <w:link w:val="IntenseQuoteChar"/>
    <w:uiPriority w:val="30"/>
    <w:qFormat/>
    <w:rsid w:val="00AD0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D1C"/>
    <w:rPr>
      <w:smallCaps/>
      <w:color w:val="auto"/>
      <w:u w:val="single"/>
    </w:rPr>
  </w:style>
  <w:style w:type="character" w:styleId="IntenseReference">
    <w:name w:val="Intense Reference"/>
    <w:basedOn w:val="DefaultParagraphFont"/>
    <w:uiPriority w:val="32"/>
    <w:qFormat/>
    <w:rsid w:val="00AD0D1C"/>
    <w:rPr>
      <w:b/>
      <w:bCs/>
      <w:smallCaps/>
      <w:color w:val="auto"/>
      <w:spacing w:val="5"/>
      <w:u w:val="single"/>
    </w:rPr>
  </w:style>
  <w:style w:type="paragraph" w:customStyle="1" w:styleId="2ColumnHeading">
    <w:name w:val="2Column Heading"/>
    <w:basedOn w:val="BodyText"/>
    <w:qFormat/>
    <w:rsid w:val="00AD0D1C"/>
    <w:pPr>
      <w:spacing w:after="60"/>
      <w:ind w:left="-2268"/>
    </w:pPr>
    <w:rPr>
      <w:b/>
    </w:rPr>
  </w:style>
  <w:style w:type="paragraph" w:customStyle="1" w:styleId="Heading1TOC">
    <w:name w:val="Heading1 TOC"/>
    <w:basedOn w:val="Normal"/>
    <w:qFormat/>
    <w:rsid w:val="00AD0D1C"/>
    <w:pPr>
      <w:spacing w:before="240" w:after="120"/>
    </w:pPr>
    <w:rPr>
      <w:rFonts w:ascii="Times New Roman" w:hAnsi="Times New Roman"/>
      <w:b/>
      <w:sz w:val="32"/>
    </w:rPr>
  </w:style>
  <w:style w:type="paragraph" w:customStyle="1" w:styleId="Heading2TOC">
    <w:name w:val="Heading2 TOC"/>
    <w:basedOn w:val="Normal"/>
    <w:qFormat/>
    <w:rsid w:val="00AD0D1C"/>
    <w:pPr>
      <w:spacing w:before="240" w:after="60"/>
    </w:pPr>
    <w:rPr>
      <w:rFonts w:ascii="Times New Roman" w:hAnsi="Times New Roman"/>
      <w:b/>
      <w:sz w:val="28"/>
    </w:rPr>
  </w:style>
  <w:style w:type="paragraph" w:styleId="BalloonText">
    <w:name w:val="Balloon Text"/>
    <w:basedOn w:val="Normal"/>
    <w:link w:val="BalloonTextChar"/>
    <w:rsid w:val="00AD0D1C"/>
    <w:rPr>
      <w:rFonts w:ascii="Tahoma" w:hAnsi="Tahoma" w:cs="Tahoma"/>
      <w:sz w:val="16"/>
      <w:szCs w:val="16"/>
    </w:rPr>
  </w:style>
  <w:style w:type="character" w:customStyle="1" w:styleId="BalloonTextChar">
    <w:name w:val="Balloon Text Char"/>
    <w:basedOn w:val="DefaultParagraphFont"/>
    <w:link w:val="BalloonText"/>
    <w:rsid w:val="00AD0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D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0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D1C"/>
    <w:rPr>
      <w:b/>
      <w:color w:val="660033"/>
      <w:spacing w:val="0"/>
    </w:rPr>
  </w:style>
  <w:style w:type="paragraph" w:customStyle="1" w:styleId="Nameditemlist">
    <w:name w:val="Named item list"/>
    <w:basedOn w:val="BodyText"/>
    <w:qFormat/>
    <w:rsid w:val="00AD0D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6810</Characters>
  <Application>Microsoft Office Word</Application>
  <DocSecurity>0</DocSecurity>
  <Lines>233</Lines>
  <Paragraphs>141</Paragraphs>
  <ScaleCrop>false</ScaleCrop>
  <Company>Author-it Software Corporation Ltd.</Company>
  <LinksUpToDate>false</LinksUpToDate>
  <CharactersWithSpaces>7829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PSPREG420A Plan and implement recovery action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2012-11-01T17:07:00Z</dcterms:created>
  <dcterms:modified xsi:type="dcterms:W3CDTF">2012-11-01T17:07:00Z</dcterms:modified>
</cp:coreProperties>
</file>