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34BA" w:rsidP="003D34BA">
      <w:pPr>
        <w:pStyle w:val="Title"/>
      </w:pPr>
      <w:bookmarkStart w:id="0" w:name="_GoBack"/>
      <w:bookmarkEnd w:id="0"/>
      <w:r>
        <w:fldChar w:fldCharType="begin"/>
      </w:r>
      <w:r>
        <w:instrText xml:space="preserve"> TITLE   \* MERGEFORMAT </w:instrText>
      </w:r>
      <w:r>
        <w:fldChar w:fldCharType="separate"/>
      </w:r>
      <w:r>
        <w:t>PSPREG416A Conduct data analysis</w:t>
      </w:r>
      <w:r>
        <w:fldChar w:fldCharType="end"/>
      </w:r>
    </w:p>
    <w:p w:rsidR="003D34BA" w:rsidP="003D34BA">
      <w:pPr>
        <w:pStyle w:val="Version"/>
        <w:sectPr w:rsidSect="006D216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6D2160" w:rsidP="006D2160">
      <w:pPr>
        <w:pStyle w:val="SuperHeading"/>
      </w:pPr>
      <w:r w:rsidRPr="006D2160">
        <w:t>PSPREG416A Conduct data analysis</w:t>
      </w:r>
    </w:p>
    <w:p w:rsidR="00000000" w:rsidRPr="006D2160" w:rsidP="006D2160">
      <w:pPr>
        <w:pStyle w:val="SuperHeading"/>
      </w:pPr>
    </w:p>
    <w:p w:rsidR="00000000" w:rsidRPr="006D2160" w:rsidP="006D2160">
      <w:pPr>
        <w:pStyle w:val="Heading1"/>
      </w:pPr>
      <w:bookmarkStart w:id="1" w:name="O_498592"/>
      <w:bookmarkEnd w:id="1"/>
      <w:r w:rsidRPr="006D2160">
        <w:t>Modification History</w:t>
      </w:r>
    </w:p>
    <w:tbl>
      <w:tblPr>
        <w:tblW w:w="0" w:type="auto"/>
        <w:tblLayout w:type="fixed"/>
        <w:tblCellMar>
          <w:left w:w="62" w:type="dxa"/>
          <w:right w:w="62" w:type="dxa"/>
        </w:tblCellMar>
        <w:tblLook w:val="0000"/>
      </w:tblPr>
      <w:tblGrid>
        <w:gridCol w:w="3052"/>
        <w:gridCol w:w="3052"/>
        <w:gridCol w:w="3052"/>
      </w:tblGrid>
      <w:tr w:rsidTr="003D34BA">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2160" w:rsidP="006D2160">
            <w:pPr>
              <w:pStyle w:val="BodyText"/>
            </w:pPr>
            <w:r w:rsidRPr="006D2160">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2160" w:rsidP="006D2160">
            <w:pPr>
              <w:pStyle w:val="BodyText"/>
            </w:pPr>
            <w:r w:rsidRPr="006D2160">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160">
            <w:pPr>
              <w:pStyle w:val="BodyText"/>
              <w:rPr>
                <w:lang w:val="en-NZ"/>
              </w:rPr>
            </w:pPr>
            <w:r w:rsidRPr="006D2160">
              <w:rPr>
                <w:rStyle w:val="SpecialBold"/>
              </w:rPr>
              <w:t>Comments</w:t>
            </w:r>
          </w:p>
        </w:tc>
      </w:tr>
      <w:tr w:rsidTr="003D34BA">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160">
            <w:pPr>
              <w:pStyle w:val="BodyText"/>
              <w:rPr>
                <w:lang w:val="en-NZ"/>
              </w:rPr>
            </w:pPr>
            <w:r w:rsidRPr="006D2160">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160">
            <w:pPr>
              <w:pStyle w:val="BodyText"/>
              <w:rPr>
                <w:lang w:val="en-NZ"/>
              </w:rPr>
            </w:pPr>
            <w:r w:rsidRPr="006D2160">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160">
            <w:pPr>
              <w:pStyle w:val="BodyText"/>
              <w:rPr>
                <w:lang w:val="en-NZ"/>
              </w:rPr>
            </w:pPr>
            <w:r w:rsidRPr="006D2160">
              <w:t xml:space="preserve">Unit descriptor edited. </w:t>
            </w:r>
          </w:p>
        </w:tc>
      </w:tr>
      <w:tr w:rsidTr="003D34BA">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160">
            <w:pPr>
              <w:pStyle w:val="BodyText"/>
              <w:rPr>
                <w:lang w:val="en-NZ"/>
              </w:rPr>
            </w:pPr>
            <w:r w:rsidRPr="006D2160">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160">
            <w:pPr>
              <w:pStyle w:val="BodyText"/>
              <w:rPr>
                <w:lang w:val="en-NZ"/>
              </w:rPr>
            </w:pPr>
            <w:r w:rsidRPr="006D2160">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160">
            <w:pPr>
              <w:pStyle w:val="BodyText"/>
              <w:rPr>
                <w:lang w:val="en-NZ"/>
              </w:rPr>
            </w:pPr>
            <w:r w:rsidRPr="006D2160">
              <w:t>Layout adjusted. No changes to content.</w:t>
            </w:r>
          </w:p>
        </w:tc>
      </w:tr>
      <w:tr w:rsidTr="003D34BA">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160">
            <w:pPr>
              <w:pStyle w:val="BodyText"/>
              <w:rPr>
                <w:lang w:val="en-NZ"/>
              </w:rPr>
            </w:pPr>
            <w:r w:rsidRPr="006D2160">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160">
            <w:pPr>
              <w:pStyle w:val="BodyText"/>
              <w:rPr>
                <w:lang w:val="en-NZ"/>
              </w:rPr>
            </w:pPr>
            <w:r w:rsidRPr="006D2160">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2160" w:rsidP="006D2160">
            <w:pPr>
              <w:pStyle w:val="BodyText"/>
            </w:pPr>
            <w:r w:rsidRPr="006D2160">
              <w:t>Primary release.</w:t>
            </w:r>
          </w:p>
        </w:tc>
      </w:tr>
    </w:tbl>
    <w:p w:rsidR="003D34BA" w:rsidP="006D2160">
      <w:pPr>
        <w:pStyle w:val="BodyText"/>
      </w:pPr>
    </w:p>
    <w:p w:rsidR="003D34BA" w:rsidP="006D2160">
      <w:pPr>
        <w:pStyle w:val="BodyText"/>
      </w:pPr>
    </w:p>
    <w:p w:rsidR="00000000" w:rsidRPr="006D2160" w:rsidP="006D2160">
      <w:pPr>
        <w:pStyle w:val="Heading1"/>
      </w:pPr>
      <w:bookmarkStart w:id="2" w:name="O_498595"/>
      <w:bookmarkEnd w:id="2"/>
      <w:r w:rsidRPr="006D2160">
        <w:t>Unit Descriptor</w:t>
      </w:r>
    </w:p>
    <w:p w:rsidR="00000000" w:rsidRPr="006D2160" w:rsidP="006D2160">
      <w:pPr>
        <w:pStyle w:val="BodyText"/>
      </w:pPr>
      <w:r w:rsidRPr="006D2160">
        <w:t>This unit covers activities involved in analysing an</w:t>
      </w:r>
      <w:r w:rsidRPr="006D2160">
        <w:t>d matching data from a range of sources. It includes analysing information, and documenting outcomes of the analysis.</w:t>
      </w:r>
    </w:p>
    <w:p w:rsidR="00000000" w:rsidRPr="006D2160" w:rsidP="006D2160">
      <w:pPr>
        <w:pStyle w:val="BodyText"/>
      </w:pPr>
      <w:r w:rsidRPr="006D2160">
        <w:t>In practice, analysing data may overlap with other generalist or specialist public sector work activities, such as acting ethically, compl</w:t>
      </w:r>
      <w:r w:rsidRPr="006D2160">
        <w:t>ying with legislation, exercising regulatory powers, gathering and analysing information.</w:t>
      </w:r>
    </w:p>
    <w:p w:rsidR="003D34BA" w:rsidP="006D2160">
      <w:pPr>
        <w:pStyle w:val="BodyText"/>
      </w:pPr>
      <w:r w:rsidRPr="006D2160">
        <w:t>No licensing, legislative, regulatory or certification requirements apply to this unit at the time of endorsement.</w:t>
      </w:r>
    </w:p>
    <w:p w:rsidR="003D34BA" w:rsidP="006D2160">
      <w:pPr>
        <w:pStyle w:val="BodyText"/>
      </w:pPr>
    </w:p>
    <w:p w:rsidR="00000000" w:rsidRPr="006D2160" w:rsidP="006D2160">
      <w:pPr>
        <w:pStyle w:val="Heading1"/>
      </w:pPr>
      <w:bookmarkStart w:id="3" w:name="O_498603"/>
      <w:bookmarkEnd w:id="3"/>
      <w:r w:rsidRPr="006D2160">
        <w:t>Application of the Unit</w:t>
      </w:r>
    </w:p>
    <w:p w:rsidR="00000000" w:rsidRPr="006D2160" w:rsidP="006D2160">
      <w:pPr>
        <w:pStyle w:val="BodyText"/>
      </w:pPr>
      <w:r w:rsidRPr="006D2160">
        <w:t>Not appli</w:t>
      </w:r>
      <w:r w:rsidRPr="006D2160">
        <w:t>cable.</w:t>
      </w:r>
    </w:p>
    <w:p w:rsidR="00000000" w:rsidRPr="006D2160" w:rsidP="006D2160">
      <w:pPr>
        <w:pStyle w:val="AllowPageBreak"/>
      </w:pPr>
    </w:p>
    <w:p w:rsidR="00000000" w:rsidRPr="006D2160" w:rsidP="006D2160">
      <w:pPr>
        <w:pStyle w:val="Heading1"/>
      </w:pPr>
      <w:bookmarkStart w:id="4" w:name="O_498596"/>
      <w:bookmarkEnd w:id="4"/>
      <w:r w:rsidRPr="006D2160">
        <w:t>Licensing/Regulatory Information</w:t>
      </w:r>
    </w:p>
    <w:p w:rsidR="00000000" w:rsidRPr="006D2160" w:rsidP="006D2160">
      <w:pPr>
        <w:pStyle w:val="BodyText"/>
      </w:pPr>
      <w:r w:rsidRPr="006D2160">
        <w:t>Not applicable.</w:t>
      </w:r>
    </w:p>
    <w:p w:rsidR="00000000" w:rsidRPr="006D2160" w:rsidP="006D2160">
      <w:pPr>
        <w:pStyle w:val="AllowPageBreak"/>
      </w:pPr>
    </w:p>
    <w:p w:rsidR="00000000" w:rsidRPr="006D2160" w:rsidP="006D2160">
      <w:pPr>
        <w:pStyle w:val="Heading1"/>
      </w:pPr>
      <w:bookmarkStart w:id="5" w:name="O_498593"/>
      <w:bookmarkEnd w:id="5"/>
      <w:r w:rsidRPr="006D2160">
        <w:t>Pre-Requisites</w:t>
      </w:r>
    </w:p>
    <w:p w:rsidR="00000000" w:rsidRPr="006D2160" w:rsidP="006D2160">
      <w:pPr>
        <w:pStyle w:val="BodyText"/>
      </w:pPr>
      <w:r w:rsidRPr="006D2160">
        <w:t>Not applicable.</w:t>
      </w:r>
    </w:p>
    <w:p w:rsidR="00000000" w:rsidRPr="006D2160" w:rsidP="006D2160">
      <w:pPr>
        <w:pStyle w:val="AllowPageBreak"/>
      </w:pPr>
    </w:p>
    <w:p w:rsidR="00000000" w:rsidRPr="006D2160" w:rsidP="006D2160">
      <w:pPr>
        <w:pStyle w:val="Heading1"/>
      </w:pPr>
      <w:bookmarkStart w:id="6" w:name="O_498599"/>
      <w:bookmarkEnd w:id="6"/>
      <w:r w:rsidRPr="006D2160">
        <w:t>Employability Skills Information</w:t>
      </w:r>
    </w:p>
    <w:p w:rsidR="00000000" w:rsidRPr="006D2160" w:rsidP="006D2160">
      <w:pPr>
        <w:pStyle w:val="BodyText"/>
      </w:pPr>
      <w:r w:rsidRPr="006D2160">
        <w:t>This unit contains employability skills.</w:t>
      </w:r>
    </w:p>
    <w:p w:rsidR="00000000" w:rsidRPr="006D2160" w:rsidP="006D2160">
      <w:pPr>
        <w:pStyle w:val="AllowPageBreak"/>
      </w:pPr>
    </w:p>
    <w:p w:rsidR="00000000" w:rsidRPr="006D2160" w:rsidP="006D2160">
      <w:pPr>
        <w:pStyle w:val="Heading1"/>
      </w:pPr>
      <w:bookmarkStart w:id="7" w:name="O_498600"/>
      <w:bookmarkEnd w:id="7"/>
      <w:r w:rsidRPr="006D2160">
        <w:t>Elements and Performance Cr</w:t>
      </w:r>
      <w:r w:rsidRPr="006D2160">
        <w:t>iteria Pre-Content</w:t>
      </w:r>
    </w:p>
    <w:tbl>
      <w:tblPr>
        <w:tblW w:w="9322" w:type="dxa"/>
        <w:tblLayout w:type="fixed"/>
        <w:tblCellMar>
          <w:left w:w="62" w:type="dxa"/>
          <w:right w:w="62" w:type="dxa"/>
        </w:tblCellMar>
        <w:tblLook w:val="0000"/>
      </w:tblPr>
      <w:tblGrid>
        <w:gridCol w:w="2660"/>
        <w:gridCol w:w="6662"/>
      </w:tblGrid>
      <w:tr w:rsidTr="003D34B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D2160">
            <w:pPr>
              <w:pStyle w:val="BodyText"/>
              <w:rPr>
                <w:lang w:val="en-NZ"/>
              </w:rPr>
            </w:pPr>
            <w:r w:rsidRPr="006D2160">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6D2160" w:rsidP="006D2160">
            <w:pPr>
              <w:pStyle w:val="BodyText"/>
            </w:pPr>
            <w:r w:rsidRPr="006D2160">
              <w:t>Together, performance criteria specify the requirements for competent performance. Text in</w:t>
            </w:r>
            <w:r w:rsidRPr="006D2160">
              <w:rPr>
                <w:rStyle w:val="BoldandItalics"/>
              </w:rPr>
              <w:t xml:space="preserve"> bold italics</w:t>
            </w:r>
            <w:r w:rsidRPr="006D2160">
              <w:t xml:space="preserve">  is explained in the Range Statement following.</w:t>
            </w:r>
          </w:p>
        </w:tc>
      </w:tr>
    </w:tbl>
    <w:p w:rsidR="00000000" w:rsidRPr="006D2160" w:rsidP="006D2160">
      <w:pPr>
        <w:pStyle w:val="BodyText"/>
      </w:pPr>
    </w:p>
    <w:p w:rsidR="00000000" w:rsidRPr="006D2160" w:rsidP="006D2160">
      <w:pPr>
        <w:pStyle w:val="AllowPageBreak"/>
      </w:pPr>
    </w:p>
    <w:p w:rsidR="00000000" w:rsidRPr="006D2160" w:rsidP="006D2160">
      <w:pPr>
        <w:pStyle w:val="Heading1"/>
      </w:pPr>
      <w:bookmarkStart w:id="8" w:name="O_498601"/>
      <w:bookmarkEnd w:id="8"/>
      <w:r w:rsidRPr="006D2160">
        <w:t>Elements and Performance Criteria</w:t>
      </w:r>
    </w:p>
    <w:tbl>
      <w:tblPr>
        <w:tblW w:w="9322" w:type="dxa"/>
        <w:tblLayout w:type="fixed"/>
        <w:tblCellMar>
          <w:left w:w="62" w:type="dxa"/>
          <w:right w:w="62" w:type="dxa"/>
        </w:tblCellMar>
        <w:tblLook w:val="0000"/>
      </w:tblPr>
      <w:tblGrid>
        <w:gridCol w:w="2660"/>
        <w:gridCol w:w="6662"/>
      </w:tblGrid>
      <w:tr w:rsidTr="003D34BA">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6D2160" w:rsidP="006D2160">
            <w:pPr>
              <w:pStyle w:val="BodyText"/>
            </w:pPr>
            <w:r w:rsidRPr="006D2160">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6D2160">
            <w:pPr>
              <w:pStyle w:val="BodyText"/>
              <w:rPr>
                <w:lang w:val="en-NZ"/>
              </w:rPr>
            </w:pPr>
            <w:r w:rsidRPr="006D2160">
              <w:rPr>
                <w:rStyle w:val="SpecialBold"/>
              </w:rPr>
              <w:t>PERFORMANCE CRITERIA</w:t>
            </w:r>
          </w:p>
        </w:tc>
      </w:tr>
      <w:tr w:rsidTr="003D34B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D2160">
            <w:pPr>
              <w:pStyle w:val="List"/>
              <w:rPr>
                <w:lang w:val="en-NZ"/>
              </w:rPr>
            </w:pPr>
            <w:r w:rsidRPr="006D2160">
              <w:rPr>
                <w:rStyle w:val="SpecialBold"/>
              </w:rPr>
              <w:t>1</w:t>
            </w:r>
            <w:r w:rsidRPr="006D2160">
              <w:t>.</w:t>
            </w:r>
            <w:r w:rsidRPr="006D2160">
              <w:tab/>
            </w:r>
            <w:r w:rsidRPr="006D2160">
              <w:rPr>
                <w:rStyle w:val="SpecialBold"/>
              </w:rPr>
              <w:t>Analyse data</w:t>
            </w:r>
          </w:p>
        </w:tc>
        <w:tc>
          <w:tcPr>
            <w:tcW w:w="6662" w:type="dxa"/>
            <w:tcBorders>
              <w:top w:val="nil"/>
              <w:left w:val="nil"/>
              <w:bottom w:val="nil"/>
              <w:right w:val="nil"/>
            </w:tcBorders>
            <w:tcMar>
              <w:top w:w="0" w:type="dxa"/>
              <w:left w:w="62" w:type="dxa"/>
              <w:bottom w:w="0" w:type="dxa"/>
              <w:right w:w="62" w:type="dxa"/>
            </w:tcMar>
          </w:tcPr>
          <w:p w:rsidR="00000000" w:rsidRPr="006D2160" w:rsidP="006D2160">
            <w:pPr>
              <w:pStyle w:val="List"/>
            </w:pPr>
            <w:r w:rsidRPr="006D2160">
              <w:t>1.1</w:t>
            </w:r>
            <w:r w:rsidRPr="006D2160">
              <w:tab/>
            </w:r>
            <w:r w:rsidRPr="006D2160">
              <w:rPr>
                <w:rStyle w:val="BoldandItalics"/>
              </w:rPr>
              <w:t xml:space="preserve">Analysis </w:t>
            </w:r>
            <w:r w:rsidRPr="006D2160">
              <w:t>is undertaken dependent upon the nature of the data and intended purpose of the analysis.</w:t>
            </w:r>
          </w:p>
          <w:p w:rsidR="00000000" w:rsidRPr="006D2160" w:rsidP="006D2160">
            <w:pPr>
              <w:pStyle w:val="List"/>
            </w:pPr>
            <w:r w:rsidRPr="006D2160">
              <w:t>1.2</w:t>
            </w:r>
            <w:r w:rsidRPr="006D2160">
              <w:tab/>
            </w:r>
            <w:r w:rsidRPr="006D2160">
              <w:rPr>
                <w:rStyle w:val="BoldandItalics"/>
              </w:rPr>
              <w:t xml:space="preserve">Methods of analysis </w:t>
            </w:r>
            <w:r w:rsidRPr="006D2160">
              <w:t>are selected in accordance with any relevant indu</w:t>
            </w:r>
            <w:r w:rsidRPr="006D2160">
              <w:t>stry standards, precedents and techniques.</w:t>
            </w:r>
          </w:p>
          <w:p w:rsidR="00000000" w:rsidRPr="006D2160" w:rsidP="006D2160">
            <w:pPr>
              <w:pStyle w:val="List"/>
            </w:pPr>
            <w:r w:rsidRPr="006D2160">
              <w:t>1.3</w:t>
            </w:r>
            <w:r w:rsidRPr="006D2160">
              <w:tab/>
              <w:t>Trends are identified and inferences drawn in light of environmental and cultural factors relevant to the particular situation.</w:t>
            </w:r>
          </w:p>
          <w:p w:rsidR="00000000" w:rsidRPr="006D2160" w:rsidP="006D2160">
            <w:pPr>
              <w:pStyle w:val="List"/>
            </w:pPr>
            <w:r w:rsidRPr="006D2160">
              <w:t>1.4</w:t>
            </w:r>
            <w:r w:rsidRPr="006D2160">
              <w:tab/>
              <w:t>The chain of reasoning in formulating inferences is made clear to ensure tran</w:t>
            </w:r>
            <w:r w:rsidRPr="006D2160">
              <w:t>sparency to users of the data.</w:t>
            </w:r>
          </w:p>
          <w:p w:rsidR="00000000" w:rsidP="006D2160">
            <w:pPr>
              <w:pStyle w:val="List"/>
              <w:rPr>
                <w:lang w:val="en-NZ"/>
              </w:rPr>
            </w:pPr>
            <w:r w:rsidRPr="006D2160">
              <w:t>1.5</w:t>
            </w:r>
            <w:r w:rsidRPr="006D2160">
              <w:tab/>
              <w:t>A proactive approach is taken to identify and assess the need for new or changed systems and processes for analysing data to more effectively meet objectives.</w:t>
            </w:r>
          </w:p>
        </w:tc>
      </w:tr>
      <w:tr w:rsidTr="003D34B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D2160">
            <w:pPr>
              <w:pStyle w:val="List"/>
              <w:rPr>
                <w:lang w:val="en-NZ"/>
              </w:rPr>
            </w:pPr>
            <w:r w:rsidRPr="006D2160">
              <w:rPr>
                <w:rStyle w:val="SpecialBold"/>
              </w:rPr>
              <w:t>2</w:t>
            </w:r>
            <w:r w:rsidRPr="006D2160">
              <w:t>.</w:t>
            </w:r>
            <w:r w:rsidRPr="006D2160">
              <w:tab/>
            </w:r>
            <w:r w:rsidRPr="006D2160">
              <w:rPr>
                <w:rStyle w:val="SpecialBold"/>
              </w:rPr>
              <w:t>Document outcomes of analysis</w:t>
            </w:r>
          </w:p>
        </w:tc>
        <w:tc>
          <w:tcPr>
            <w:tcW w:w="6662" w:type="dxa"/>
            <w:tcBorders>
              <w:top w:val="nil"/>
              <w:left w:val="nil"/>
              <w:bottom w:val="nil"/>
              <w:right w:val="nil"/>
            </w:tcBorders>
            <w:tcMar>
              <w:top w:w="0" w:type="dxa"/>
              <w:left w:w="62" w:type="dxa"/>
              <w:bottom w:w="0" w:type="dxa"/>
              <w:right w:w="62" w:type="dxa"/>
            </w:tcMar>
          </w:tcPr>
          <w:p w:rsidR="00000000" w:rsidRPr="006D2160" w:rsidP="006D2160">
            <w:pPr>
              <w:pStyle w:val="List"/>
            </w:pPr>
            <w:r w:rsidRPr="006D2160">
              <w:t>2.1</w:t>
            </w:r>
            <w:r w:rsidRPr="006D2160">
              <w:tab/>
            </w:r>
            <w:r w:rsidRPr="006D2160">
              <w:t xml:space="preserve">Recommended actions are based upon analysis of </w:t>
            </w:r>
            <w:r w:rsidRPr="006D2160">
              <w:rPr>
                <w:rStyle w:val="BoldandItalics"/>
              </w:rPr>
              <w:t xml:space="preserve">data </w:t>
            </w:r>
            <w:r w:rsidRPr="006D2160">
              <w:t>in the context of the purpose of the analysis and the objectives and priorities of the organisation's strategies and plans.</w:t>
            </w:r>
          </w:p>
          <w:p w:rsidR="00000000" w:rsidRPr="006D2160" w:rsidP="006D2160">
            <w:pPr>
              <w:pStyle w:val="List"/>
            </w:pPr>
            <w:r w:rsidRPr="006D2160">
              <w:t>2.2</w:t>
            </w:r>
            <w:r w:rsidRPr="006D2160">
              <w:tab/>
              <w:t>Links between the outcomes proposed as a result of the data analysis and the</w:t>
            </w:r>
            <w:r w:rsidRPr="006D2160">
              <w:t xml:space="preserve"> organisation's strategies are made clear to the intended audience.</w:t>
            </w:r>
          </w:p>
          <w:p w:rsidR="00000000" w:rsidRPr="006D2160" w:rsidP="006D2160">
            <w:pPr>
              <w:pStyle w:val="List"/>
            </w:pPr>
            <w:r w:rsidRPr="006D2160">
              <w:t>2.3</w:t>
            </w:r>
            <w:r w:rsidRPr="006D2160">
              <w:tab/>
              <w:t>Timely and relevant reports are completed and disseminated to appropriate staff and management.</w:t>
            </w:r>
          </w:p>
          <w:p w:rsidR="00000000" w:rsidRPr="006D2160" w:rsidP="006D2160">
            <w:pPr>
              <w:pStyle w:val="List"/>
            </w:pPr>
            <w:r w:rsidRPr="006D2160">
              <w:t>2.4</w:t>
            </w:r>
            <w:r w:rsidRPr="006D2160">
              <w:tab/>
              <w:t xml:space="preserve">Results of data analysis are </w:t>
            </w:r>
            <w:r w:rsidRPr="006D2160">
              <w:rPr>
                <w:rStyle w:val="BoldandItalics"/>
              </w:rPr>
              <w:t xml:space="preserve">incorporated </w:t>
            </w:r>
            <w:r w:rsidRPr="006D2160">
              <w:t>into ongoing review of organisational stra</w:t>
            </w:r>
            <w:r w:rsidRPr="006D2160">
              <w:t>tegies and plans.</w:t>
            </w:r>
          </w:p>
          <w:p w:rsidR="00000000" w:rsidRPr="006D2160" w:rsidP="006D2160">
            <w:pPr>
              <w:pStyle w:val="List"/>
            </w:pPr>
            <w:r w:rsidRPr="006D2160">
              <w:t>2.5</w:t>
            </w:r>
            <w:r w:rsidRPr="006D2160">
              <w:tab/>
              <w:t>Documentation is prepared that is clear, concise and accessible to all relevant staff.</w:t>
            </w:r>
          </w:p>
        </w:tc>
      </w:tr>
    </w:tbl>
    <w:p w:rsidR="00000000" w:rsidRPr="006D2160" w:rsidP="006D2160">
      <w:pPr>
        <w:pStyle w:val="BodyText"/>
      </w:pPr>
    </w:p>
    <w:p w:rsidR="00000000" w:rsidRPr="006D2160" w:rsidP="006D2160">
      <w:pPr>
        <w:pStyle w:val="AllowPageBreak"/>
      </w:pPr>
    </w:p>
    <w:p w:rsidR="00000000" w:rsidRPr="006D2160" w:rsidP="006D2160">
      <w:pPr>
        <w:pStyle w:val="Heading1"/>
      </w:pPr>
      <w:bookmarkStart w:id="9" w:name="O_498594"/>
      <w:bookmarkEnd w:id="9"/>
      <w:r w:rsidRPr="006D2160">
        <w:t>Required Skills and Knowledge</w:t>
      </w:r>
    </w:p>
    <w:tbl>
      <w:tblPr>
        <w:tblW w:w="0" w:type="auto"/>
        <w:tblLayout w:type="fixed"/>
        <w:tblCellMar>
          <w:left w:w="62" w:type="dxa"/>
          <w:right w:w="62" w:type="dxa"/>
        </w:tblCellMar>
        <w:tblLook w:val="0000"/>
      </w:tblPr>
      <w:tblGrid>
        <w:gridCol w:w="8553"/>
      </w:tblGrid>
      <w:tr w:rsidTr="003D34BA">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P="006D2160">
            <w:pPr>
              <w:pStyle w:val="BodyText"/>
              <w:rPr>
                <w:lang w:val="en-NZ"/>
              </w:rPr>
            </w:pPr>
            <w:r w:rsidRPr="006D2160">
              <w:t>This section describes the essential skills and knowledge and their level, required for this unit.</w:t>
            </w:r>
          </w:p>
        </w:tc>
      </w:tr>
      <w:tr w:rsidTr="003D34BA">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6D2160" w:rsidP="006D2160">
            <w:pPr>
              <w:pStyle w:val="BodyText"/>
            </w:pPr>
            <w:r w:rsidRPr="006D2160">
              <w:rPr>
                <w:rStyle w:val="SpecialBold"/>
              </w:rPr>
              <w:t>Skill requirements</w:t>
            </w:r>
          </w:p>
          <w:p w:rsidR="00000000" w:rsidRPr="006D2160" w:rsidP="006D2160">
            <w:pPr>
              <w:pStyle w:val="BodyText"/>
            </w:pPr>
            <w:r w:rsidRPr="006D2160">
              <w:t>Look for evidence that confirms skills in:</w:t>
            </w:r>
          </w:p>
          <w:p w:rsidR="00000000" w:rsidRPr="006D2160" w:rsidP="006D2160">
            <w:pPr>
              <w:pStyle w:val="ListBullet2"/>
            </w:pPr>
            <w:r w:rsidRPr="006D2160">
              <w:t xml:space="preserve">undertaking analysis and problem solving </w:t>
            </w:r>
          </w:p>
          <w:p w:rsidR="00000000" w:rsidRPr="006D2160" w:rsidP="006D2160">
            <w:pPr>
              <w:pStyle w:val="ListBullet2"/>
            </w:pPr>
            <w:r w:rsidRPr="006D2160">
              <w:t>reading and applying complex information from legislation</w:t>
            </w:r>
          </w:p>
          <w:p w:rsidR="00000000" w:rsidRPr="006D2160" w:rsidP="006D2160">
            <w:pPr>
              <w:pStyle w:val="ListBullet2"/>
            </w:pPr>
            <w:r w:rsidRPr="006D2160">
              <w:t xml:space="preserve">communicating including questioning and negotiating meaning </w:t>
            </w:r>
          </w:p>
          <w:p w:rsidR="00000000" w:rsidRPr="006D2160" w:rsidP="006D2160">
            <w:pPr>
              <w:pStyle w:val="ListBullet2"/>
            </w:pPr>
            <w:r w:rsidRPr="006D2160">
              <w:t>responding to diversity, including gender and disability</w:t>
            </w:r>
          </w:p>
          <w:p w:rsidR="00000000" w:rsidRPr="006D2160" w:rsidP="006D2160">
            <w:pPr>
              <w:pStyle w:val="ListBullet2"/>
            </w:pPr>
            <w:r w:rsidRPr="006D2160">
              <w:t>undertaking planning and time management in the context of data analysis</w:t>
            </w:r>
          </w:p>
          <w:p w:rsidR="00000000" w:rsidRPr="006D2160" w:rsidP="006D2160">
            <w:pPr>
              <w:pStyle w:val="ListBullet2"/>
            </w:pPr>
            <w:r w:rsidRPr="006D2160">
              <w:t>preparing written reports and recommendations requiring accuracy, and formal structures and language</w:t>
            </w:r>
          </w:p>
          <w:p w:rsidR="00000000" w:rsidRPr="006D2160" w:rsidP="006D2160">
            <w:pPr>
              <w:pStyle w:val="ListBullet2"/>
            </w:pPr>
            <w:r w:rsidRPr="006D2160">
              <w:t>using information technol</w:t>
            </w:r>
            <w:r w:rsidRPr="006D2160">
              <w:t>ogy for data analysis, recording and reporting</w:t>
            </w:r>
          </w:p>
          <w:p w:rsidR="00000000" w:rsidP="006D2160">
            <w:pPr>
              <w:pStyle w:val="ListBullet2"/>
              <w:rPr>
                <w:lang w:val="en-NZ"/>
              </w:rPr>
            </w:pPr>
            <w:r w:rsidRPr="006D2160">
              <w:t>applying public sector legislation such as occupational health and safety and environmental procedures in the context of data analysis</w:t>
            </w:r>
          </w:p>
        </w:tc>
      </w:tr>
      <w:tr w:rsidTr="003D34BA">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6D2160" w:rsidP="006D2160">
            <w:pPr>
              <w:pStyle w:val="BodyText"/>
            </w:pPr>
            <w:r w:rsidRPr="006D2160">
              <w:rPr>
                <w:rStyle w:val="SpecialBold"/>
              </w:rPr>
              <w:t>Knowledge requirements</w:t>
            </w:r>
          </w:p>
          <w:p w:rsidR="00000000" w:rsidRPr="006D2160" w:rsidP="006D2160">
            <w:pPr>
              <w:pStyle w:val="BodyText"/>
            </w:pPr>
            <w:r w:rsidRPr="006D2160">
              <w:t>Look for evidence that confirms knowledge and unde</w:t>
            </w:r>
            <w:r w:rsidRPr="006D2160">
              <w:t>rstanding of:</w:t>
            </w:r>
          </w:p>
          <w:p w:rsidR="00000000" w:rsidRPr="006D2160" w:rsidP="006D2160">
            <w:pPr>
              <w:pStyle w:val="ListBullet2"/>
            </w:pPr>
            <w:r w:rsidRPr="006D2160">
              <w:t>methods of analysis</w:t>
            </w:r>
          </w:p>
          <w:p w:rsidR="00000000" w:rsidRPr="006D2160" w:rsidP="006D2160">
            <w:pPr>
              <w:pStyle w:val="ListBullet2"/>
            </w:pPr>
            <w:r w:rsidRPr="006D2160">
              <w:t>relevant legislation including privacy and freedom of information legislation, as well as public interest disclosures, protected disclosures or whistleblowing legislation</w:t>
            </w:r>
          </w:p>
          <w:p w:rsidR="00000000" w:rsidRPr="006D2160" w:rsidP="006D2160">
            <w:pPr>
              <w:pStyle w:val="ListBullet2"/>
            </w:pPr>
            <w:r w:rsidRPr="006D2160">
              <w:t>agency structure, services and environment</w:t>
            </w:r>
          </w:p>
          <w:p w:rsidR="00000000" w:rsidRPr="006D2160" w:rsidP="006D2160">
            <w:pPr>
              <w:pStyle w:val="ListBullet2"/>
            </w:pPr>
            <w:r w:rsidRPr="006D2160">
              <w:t>data collection and management systems</w:t>
            </w:r>
          </w:p>
          <w:p w:rsidR="00000000" w:rsidRPr="006D2160" w:rsidP="006D2160">
            <w:pPr>
              <w:pStyle w:val="ListBullet2"/>
            </w:pPr>
            <w:r w:rsidRPr="006D2160">
              <w:t>the range of analytical techniques appropriate for information analysis</w:t>
            </w:r>
          </w:p>
          <w:p w:rsidR="00000000" w:rsidRPr="006D2160" w:rsidP="006D2160">
            <w:pPr>
              <w:pStyle w:val="ListBullet2"/>
            </w:pPr>
            <w:r w:rsidRPr="006D2160">
              <w:t>inductive/deductive reasoning processes</w:t>
            </w:r>
          </w:p>
          <w:p w:rsidR="00000000" w:rsidRPr="006D2160" w:rsidP="006D2160">
            <w:pPr>
              <w:pStyle w:val="ListBullet2"/>
            </w:pPr>
            <w:r w:rsidRPr="006D2160">
              <w:t>the influence of human factors on data analysis, for example:</w:t>
            </w:r>
          </w:p>
          <w:p w:rsidR="00000000" w:rsidRPr="006D2160" w:rsidP="006D2160">
            <w:pPr>
              <w:pStyle w:val="ListBullet2"/>
            </w:pPr>
            <w:r w:rsidRPr="006D2160">
              <w:t>prejudice and bias</w:t>
            </w:r>
          </w:p>
          <w:p w:rsidR="00000000" w:rsidRPr="006D2160" w:rsidP="006D2160">
            <w:pPr>
              <w:pStyle w:val="ListBullet2"/>
            </w:pPr>
            <w:r w:rsidRPr="006D2160">
              <w:t>personalities in analysi</w:t>
            </w:r>
            <w:r w:rsidRPr="006D2160">
              <w:t>s</w:t>
            </w:r>
          </w:p>
          <w:p w:rsidR="00000000" w:rsidRPr="006D2160" w:rsidP="006D2160">
            <w:pPr>
              <w:pStyle w:val="ListBullet2"/>
            </w:pPr>
            <w:r w:rsidRPr="006D2160">
              <w:t>construction of sound inductive arguments</w:t>
            </w:r>
          </w:p>
          <w:p w:rsidR="00000000" w:rsidRPr="006D2160" w:rsidP="006D2160">
            <w:pPr>
              <w:pStyle w:val="ListBullet2"/>
            </w:pPr>
            <w:r w:rsidRPr="006D2160">
              <w:t>fallacies in reasoning</w:t>
            </w:r>
          </w:p>
          <w:p w:rsidR="00000000" w:rsidRPr="006D2160" w:rsidP="006D2160">
            <w:pPr>
              <w:pStyle w:val="ListBullet2"/>
            </w:pPr>
            <w:r w:rsidRPr="006D2160">
              <w:t>how data analysis outcomes can contribute to the review of national strategies/plans</w:t>
            </w:r>
          </w:p>
          <w:p w:rsidR="00000000" w:rsidRPr="006D2160" w:rsidP="006D2160">
            <w:pPr>
              <w:pStyle w:val="ListBullet2"/>
            </w:pPr>
            <w:r w:rsidRPr="006D2160">
              <w:t>equity and diversity principles</w:t>
            </w:r>
          </w:p>
          <w:p w:rsidR="00000000" w:rsidRPr="006D2160" w:rsidP="006D2160">
            <w:pPr>
              <w:pStyle w:val="ListBullet2"/>
            </w:pPr>
            <w:r w:rsidRPr="006D2160">
              <w:t>public sector legislation such as occupational health and safety and env</w:t>
            </w:r>
            <w:r w:rsidRPr="006D2160">
              <w:t>ironment relating to investigations</w:t>
            </w:r>
          </w:p>
        </w:tc>
      </w:tr>
    </w:tbl>
    <w:p w:rsidR="00000000" w:rsidRPr="006D2160" w:rsidP="006D2160">
      <w:pPr>
        <w:pStyle w:val="BodyText"/>
      </w:pPr>
    </w:p>
    <w:p w:rsidR="00000000" w:rsidRPr="006D2160" w:rsidP="006D2160">
      <w:pPr>
        <w:pStyle w:val="AllowPageBreak"/>
      </w:pPr>
    </w:p>
    <w:p w:rsidR="00000000" w:rsidRPr="006D2160" w:rsidP="006D2160">
      <w:pPr>
        <w:pStyle w:val="Heading1"/>
      </w:pPr>
      <w:bookmarkStart w:id="10" w:name="O_498591"/>
      <w:bookmarkEnd w:id="10"/>
      <w:r w:rsidRPr="006D2160">
        <w:t>Evidence Guide</w:t>
      </w:r>
    </w:p>
    <w:tbl>
      <w:tblPr>
        <w:tblW w:w="9322" w:type="dxa"/>
        <w:tblLayout w:type="fixed"/>
        <w:tblCellMar>
          <w:left w:w="62" w:type="dxa"/>
          <w:right w:w="62" w:type="dxa"/>
        </w:tblCellMar>
        <w:tblLook w:val="0000"/>
      </w:tblPr>
      <w:tblGrid>
        <w:gridCol w:w="2660"/>
        <w:gridCol w:w="6662"/>
      </w:tblGrid>
      <w:tr w:rsidTr="003D34BA">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6D2160">
            <w:pPr>
              <w:pStyle w:val="BodyText"/>
              <w:rPr>
                <w:lang w:val="en-NZ"/>
              </w:rPr>
            </w:pPr>
            <w:r w:rsidRPr="006D2160">
              <w:t xml:space="preserve">The Evidence Guide specifies the evidence required to demonstrate achievement in the unit of competency as a whole. It must be read in </w:t>
            </w:r>
            <w:r w:rsidRPr="006D2160">
              <w:t>conjunction with the Unit descriptor, Performance Criteria, the Range Statement and the Assessment Guidelines for the Public Sector Training Package.</w:t>
            </w:r>
          </w:p>
        </w:tc>
      </w:tr>
      <w:tr w:rsidTr="003D34B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6D2160" w:rsidP="006D2160">
            <w:pPr>
              <w:pStyle w:val="BodyText"/>
            </w:pPr>
            <w:r w:rsidRPr="006D2160">
              <w:rPr>
                <w:rStyle w:val="SpecialBold"/>
              </w:rPr>
              <w:t>Units to be assessed together</w:t>
            </w:r>
            <w:r w:rsidRPr="006D2160">
              <w:t xml:space="preserve"> </w:t>
            </w:r>
          </w:p>
        </w:tc>
        <w:tc>
          <w:tcPr>
            <w:tcW w:w="6662" w:type="dxa"/>
            <w:tcBorders>
              <w:top w:val="nil"/>
              <w:left w:val="nil"/>
              <w:bottom w:val="nil"/>
              <w:right w:val="nil"/>
            </w:tcBorders>
            <w:tcMar>
              <w:top w:w="0" w:type="dxa"/>
              <w:left w:w="62" w:type="dxa"/>
              <w:bottom w:w="0" w:type="dxa"/>
              <w:right w:w="62" w:type="dxa"/>
            </w:tcMar>
          </w:tcPr>
          <w:p w:rsidR="00000000" w:rsidRPr="006D2160" w:rsidP="006D2160">
            <w:pPr>
              <w:pStyle w:val="ListBullet2"/>
            </w:pPr>
            <w:r w:rsidRPr="006D2160">
              <w:rPr>
                <w:rStyle w:val="Emphasis"/>
              </w:rPr>
              <w:t>Pre</w:t>
            </w:r>
            <w:r w:rsidRPr="006D2160">
              <w:t>-</w:t>
            </w:r>
            <w:r w:rsidRPr="006D2160">
              <w:rPr>
                <w:rStyle w:val="Emphasis"/>
              </w:rPr>
              <w:t>requisite</w:t>
            </w:r>
            <w:r w:rsidRPr="006D2160">
              <w:t xml:space="preserve"> units that </w:t>
            </w:r>
            <w:r w:rsidRPr="006D2160">
              <w:rPr>
                <w:rStyle w:val="Underline"/>
              </w:rPr>
              <w:t>must</w:t>
            </w:r>
            <w:r w:rsidRPr="006D2160">
              <w:t xml:space="preserve"> be achieved </w:t>
            </w:r>
            <w:r w:rsidRPr="006D2160">
              <w:rPr>
                <w:rStyle w:val="Underline"/>
              </w:rPr>
              <w:t>prior</w:t>
            </w:r>
            <w:r w:rsidRPr="006D2160">
              <w:t xml:space="preserve"> to this unit:</w:t>
            </w:r>
            <w:r w:rsidRPr="006D2160">
              <w:rPr>
                <w:rStyle w:val="Emphasis"/>
              </w:rPr>
              <w:t>Nil</w:t>
            </w:r>
          </w:p>
          <w:p w:rsidR="00000000" w:rsidRPr="006D2160" w:rsidP="006D2160">
            <w:pPr>
              <w:pStyle w:val="ListBullet2"/>
            </w:pPr>
            <w:r w:rsidRPr="006D2160">
              <w:rPr>
                <w:rStyle w:val="Emphasis"/>
              </w:rPr>
              <w:t>Co</w:t>
            </w:r>
            <w:r w:rsidRPr="006D2160">
              <w:t>-</w:t>
            </w:r>
            <w:r w:rsidRPr="006D2160">
              <w:rPr>
                <w:rStyle w:val="Emphasis"/>
              </w:rPr>
              <w:t>requ</w:t>
            </w:r>
            <w:r w:rsidRPr="006D2160">
              <w:rPr>
                <w:rStyle w:val="Emphasis"/>
              </w:rPr>
              <w:t>isite</w:t>
            </w:r>
            <w:r w:rsidRPr="006D2160">
              <w:t xml:space="preserve"> units that </w:t>
            </w:r>
            <w:r w:rsidRPr="006D2160">
              <w:rPr>
                <w:rStyle w:val="Underline"/>
              </w:rPr>
              <w:t>must</w:t>
            </w:r>
            <w:r w:rsidRPr="006D2160">
              <w:t xml:space="preserve"> be assessed </w:t>
            </w:r>
            <w:r w:rsidRPr="006D2160">
              <w:rPr>
                <w:rStyle w:val="Underline"/>
              </w:rPr>
              <w:t>with</w:t>
            </w:r>
            <w:r w:rsidRPr="006D2160">
              <w:t xml:space="preserve"> this unit:</w:t>
            </w:r>
            <w:r w:rsidRPr="006D2160">
              <w:rPr>
                <w:rStyle w:val="Emphasis"/>
              </w:rPr>
              <w:t>Nil</w:t>
            </w:r>
          </w:p>
          <w:p w:rsidR="00000000" w:rsidRPr="006D2160" w:rsidP="006D2160">
            <w:pPr>
              <w:pStyle w:val="ListBullet2"/>
            </w:pPr>
            <w:r w:rsidRPr="006D2160">
              <w:rPr>
                <w:rStyle w:val="Emphasis"/>
              </w:rPr>
              <w:t>Co</w:t>
            </w:r>
            <w:r w:rsidRPr="006D2160">
              <w:t>-</w:t>
            </w:r>
            <w:r w:rsidRPr="006D2160">
              <w:rPr>
                <w:rStyle w:val="Emphasis"/>
              </w:rPr>
              <w:t>assessed units</w:t>
            </w:r>
            <w:r w:rsidRPr="006D2160">
              <w:t xml:space="preserve"> that </w:t>
            </w:r>
            <w:r w:rsidRPr="006D2160">
              <w:rPr>
                <w:rStyle w:val="Underline"/>
              </w:rPr>
              <w:t>may</w:t>
            </w:r>
            <w:r w:rsidRPr="006D2160">
              <w:t xml:space="preserve"> be assessed with this unit to increase the efficiency and realism of the assessment process include, but are not limited to:</w:t>
            </w:r>
          </w:p>
          <w:p w:rsidR="00000000" w:rsidRPr="006D2160" w:rsidP="006D2160">
            <w:pPr>
              <w:pStyle w:val="ListBullet3"/>
            </w:pPr>
            <w:r w:rsidRPr="006D2160">
              <w:t>PSPET</w:t>
            </w:r>
            <w:r w:rsidRPr="006D2160">
              <w:t xml:space="preserve">HC401A Uphold and support the values and principles of public service </w:t>
            </w:r>
          </w:p>
          <w:p w:rsidR="00000000" w:rsidRPr="006D2160" w:rsidP="006D2160">
            <w:pPr>
              <w:pStyle w:val="ListBullet3"/>
            </w:pPr>
            <w:r w:rsidRPr="006D2160">
              <w:t>PSPFRAU401B Monitor data for indicators of fraud</w:t>
            </w:r>
          </w:p>
          <w:p w:rsidR="00000000" w:rsidRPr="006D2160" w:rsidP="006D2160">
            <w:pPr>
              <w:pStyle w:val="ListBullet3"/>
            </w:pPr>
            <w:r w:rsidRPr="006D2160">
              <w:t>PSPGOV406B Gather and analyse information</w:t>
            </w:r>
          </w:p>
          <w:p w:rsidR="00000000" w:rsidRPr="006D2160" w:rsidP="006D2160">
            <w:pPr>
              <w:pStyle w:val="ListBullet3"/>
            </w:pPr>
            <w:r w:rsidRPr="006D2160">
              <w:t xml:space="preserve">PSPGOV408A Value diversity </w:t>
            </w:r>
          </w:p>
          <w:p w:rsidR="00000000" w:rsidRPr="006D2160" w:rsidP="006D2160">
            <w:pPr>
              <w:pStyle w:val="ListBullet3"/>
            </w:pPr>
            <w:r w:rsidRPr="006D2160">
              <w:t>PSPGOV422A Apply government processes</w:t>
            </w:r>
          </w:p>
          <w:p w:rsidR="00000000" w:rsidRPr="006D2160" w:rsidP="006D2160">
            <w:pPr>
              <w:pStyle w:val="ListBullet3"/>
            </w:pPr>
            <w:r w:rsidRPr="006D2160">
              <w:t>PSPLEGN401A Encourage compliance with legislation in the public sector</w:t>
            </w:r>
          </w:p>
          <w:p w:rsidR="00000000" w:rsidRPr="006D2160" w:rsidP="006D2160">
            <w:pPr>
              <w:pStyle w:val="ListBullet3"/>
            </w:pPr>
            <w:r w:rsidRPr="006D2160">
              <w:t xml:space="preserve">PSPREG401C Exercise regulatory powers </w:t>
            </w:r>
          </w:p>
          <w:p w:rsidR="00000000" w:rsidP="006D2160">
            <w:pPr>
              <w:pStyle w:val="ListBullet3"/>
              <w:rPr>
                <w:lang w:val="en-NZ"/>
              </w:rPr>
            </w:pPr>
            <w:r w:rsidRPr="006D2160">
              <w:t>PSPREG412A Gather and manage evidence</w:t>
            </w:r>
          </w:p>
        </w:tc>
      </w:tr>
      <w:tr w:rsidTr="003D34B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D2160">
            <w:pPr>
              <w:pStyle w:val="BodyText"/>
              <w:rPr>
                <w:lang w:val="en-NZ"/>
              </w:rPr>
            </w:pPr>
            <w:r w:rsidRPr="006D2160">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6D2160" w:rsidP="006D2160">
            <w:pPr>
              <w:pStyle w:val="BodyText"/>
            </w:pPr>
            <w:r w:rsidRPr="006D2160">
              <w:t>In addition to integrated demonstration of the elements and their related</w:t>
            </w:r>
            <w:r w:rsidRPr="006D2160">
              <w:t xml:space="preserve"> performance criteria, look for evidence that confirms:</w:t>
            </w:r>
          </w:p>
          <w:p w:rsidR="00000000" w:rsidRPr="006D2160" w:rsidP="006D2160">
            <w:pPr>
              <w:pStyle w:val="ListBullet2"/>
            </w:pPr>
            <w:r w:rsidRPr="006D2160">
              <w:t xml:space="preserve">the knowledge requirements of this unit </w:t>
            </w:r>
          </w:p>
          <w:p w:rsidR="00000000" w:rsidRPr="006D2160" w:rsidP="006D2160">
            <w:pPr>
              <w:pStyle w:val="ListBullet2"/>
            </w:pPr>
            <w:r w:rsidRPr="006D2160">
              <w:t>the skill requirements of this unit</w:t>
            </w:r>
          </w:p>
          <w:p w:rsidR="00000000" w:rsidRPr="006D2160" w:rsidP="006D2160">
            <w:pPr>
              <w:pStyle w:val="ListBullet2"/>
            </w:pPr>
            <w:r w:rsidRPr="006D2160">
              <w:t>application of the Employability Skills as they relate to this unit (see Employability Summaries in Qualifications Framework)</w:t>
            </w:r>
          </w:p>
          <w:p w:rsidR="00000000" w:rsidP="006D2160">
            <w:pPr>
              <w:pStyle w:val="ListBullet2"/>
              <w:rPr>
                <w:lang w:val="en-NZ"/>
              </w:rPr>
            </w:pPr>
            <w:r w:rsidRPr="006D2160">
              <w:t>analysis of data in a range of (3 or more) contexts (or occasions, over time)</w:t>
            </w:r>
          </w:p>
        </w:tc>
      </w:tr>
      <w:tr w:rsidTr="003D34B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D2160">
            <w:pPr>
              <w:pStyle w:val="BodyText"/>
              <w:rPr>
                <w:lang w:val="en-NZ"/>
              </w:rPr>
            </w:pPr>
            <w:r w:rsidRPr="006D2160">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6D2160" w:rsidP="006D2160">
            <w:pPr>
              <w:pStyle w:val="BodyText"/>
            </w:pPr>
            <w:r w:rsidRPr="006D2160">
              <w:t>These re</w:t>
            </w:r>
            <w:r w:rsidRPr="006D2160">
              <w:t>sources include:</w:t>
            </w:r>
          </w:p>
          <w:p w:rsidR="00000000" w:rsidRPr="006D2160" w:rsidP="006D2160">
            <w:pPr>
              <w:pStyle w:val="ListBullet2"/>
            </w:pPr>
            <w:r w:rsidRPr="006D2160">
              <w:t>legislation, regulations, policy, guidelines and standards</w:t>
            </w:r>
          </w:p>
          <w:p w:rsidR="00000000" w:rsidRPr="006D2160" w:rsidP="006D2160">
            <w:pPr>
              <w:pStyle w:val="ListBullet2"/>
            </w:pPr>
            <w:r w:rsidRPr="006D2160">
              <w:t xml:space="preserve">public sector values and codes of conduct </w:t>
            </w:r>
          </w:p>
          <w:p w:rsidR="00000000" w:rsidP="006D2160">
            <w:pPr>
              <w:pStyle w:val="ListBullet2"/>
              <w:rPr>
                <w:lang w:val="en-NZ"/>
              </w:rPr>
            </w:pPr>
            <w:r w:rsidRPr="006D2160">
              <w:t xml:space="preserve">case studies and workplace scenarios to capture the range of data analysis situations likely to be encountered </w:t>
            </w:r>
          </w:p>
        </w:tc>
      </w:tr>
      <w:tr w:rsidTr="003D34B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D2160">
            <w:pPr>
              <w:pStyle w:val="BodyText"/>
              <w:rPr>
                <w:lang w:val="en-NZ"/>
              </w:rPr>
            </w:pPr>
            <w:r w:rsidRPr="006D2160">
              <w:rPr>
                <w:rStyle w:val="SpecialBold"/>
              </w:rPr>
              <w:t>Where and how to assess</w:t>
            </w:r>
            <w:r w:rsidRPr="006D2160">
              <w:rPr>
                <w:rStyle w:val="SpecialBold"/>
              </w:rPr>
              <w:t xml:space="preserve"> evidence</w:t>
            </w:r>
          </w:p>
        </w:tc>
        <w:tc>
          <w:tcPr>
            <w:tcW w:w="6662" w:type="dxa"/>
            <w:tcBorders>
              <w:top w:val="nil"/>
              <w:left w:val="nil"/>
              <w:bottom w:val="nil"/>
              <w:right w:val="nil"/>
            </w:tcBorders>
            <w:tcMar>
              <w:top w:w="0" w:type="dxa"/>
              <w:left w:w="62" w:type="dxa"/>
              <w:bottom w:w="0" w:type="dxa"/>
              <w:right w:w="62" w:type="dxa"/>
            </w:tcMar>
          </w:tcPr>
          <w:p w:rsidR="00000000" w:rsidRPr="006D2160" w:rsidP="006D2160">
            <w:pPr>
              <w:pStyle w:val="BodyText"/>
            </w:pPr>
            <w:r w:rsidRPr="006D2160">
              <w:t xml:space="preserve">Valid assessment of this unit requires: </w:t>
            </w:r>
          </w:p>
          <w:p w:rsidR="00000000" w:rsidRPr="006D2160" w:rsidP="006D2160">
            <w:pPr>
              <w:pStyle w:val="ListBullet2"/>
            </w:pPr>
            <w:r w:rsidRPr="006D2160">
              <w:t>a workplace environment or one that closely resembles normal work practice and replicates the range of conditions likely to be encountered when analysing data, including coping with difficulties, irregula</w:t>
            </w:r>
            <w:r w:rsidRPr="006D2160">
              <w:t>rities and breakdowns in routine</w:t>
            </w:r>
          </w:p>
          <w:p w:rsidR="00000000" w:rsidRPr="006D2160" w:rsidP="006D2160">
            <w:pPr>
              <w:pStyle w:val="ListBullet2"/>
            </w:pPr>
            <w:r w:rsidRPr="006D2160">
              <w:t>analysis of data in a range of (3 or more) contexts (or occasions, over time)</w:t>
            </w:r>
          </w:p>
          <w:p w:rsidR="00000000" w:rsidRPr="006D2160" w:rsidP="006D2160">
            <w:pPr>
              <w:pStyle w:val="BodyText"/>
            </w:pPr>
            <w:r w:rsidRPr="006D2160">
              <w:t>Assessment methods should reflect workplace demands, such as literacy, and the needs of particular groups, such as:</w:t>
            </w:r>
          </w:p>
          <w:p w:rsidR="00000000" w:rsidRPr="006D2160" w:rsidP="006D2160">
            <w:pPr>
              <w:pStyle w:val="ListBullet2"/>
            </w:pPr>
            <w:r w:rsidRPr="006D2160">
              <w:t>people with disabilities</w:t>
            </w:r>
          </w:p>
          <w:p w:rsidR="00000000" w:rsidRPr="006D2160" w:rsidP="006D2160">
            <w:pPr>
              <w:pStyle w:val="ListBullet2"/>
            </w:pPr>
            <w:r w:rsidRPr="006D2160">
              <w:t>people from culturally and linguistically diverse backgrounds</w:t>
            </w:r>
          </w:p>
          <w:p w:rsidR="00000000" w:rsidRPr="006D2160" w:rsidP="006D2160">
            <w:pPr>
              <w:pStyle w:val="ListBullet2"/>
            </w:pPr>
            <w:r w:rsidRPr="006D2160">
              <w:t>Aboriginal and Torres Strait Islander people</w:t>
            </w:r>
          </w:p>
          <w:p w:rsidR="00000000" w:rsidRPr="006D2160" w:rsidP="006D2160">
            <w:pPr>
              <w:pStyle w:val="ListBullet2"/>
            </w:pPr>
            <w:r w:rsidRPr="006D2160">
              <w:t>women</w:t>
            </w:r>
          </w:p>
          <w:p w:rsidR="00000000" w:rsidRPr="006D2160" w:rsidP="006D2160">
            <w:pPr>
              <w:pStyle w:val="ListBullet2"/>
            </w:pPr>
            <w:r w:rsidRPr="006D2160">
              <w:t>young people</w:t>
            </w:r>
          </w:p>
          <w:p w:rsidR="00000000" w:rsidRPr="006D2160" w:rsidP="006D2160">
            <w:pPr>
              <w:pStyle w:val="ListBullet2"/>
            </w:pPr>
            <w:r w:rsidRPr="006D2160">
              <w:t>older people</w:t>
            </w:r>
          </w:p>
          <w:p w:rsidR="00000000" w:rsidRPr="006D2160" w:rsidP="006D2160">
            <w:pPr>
              <w:pStyle w:val="ListBullet2"/>
            </w:pPr>
            <w:r w:rsidRPr="006D2160">
              <w:t>people in rural and remote locations</w:t>
            </w:r>
          </w:p>
          <w:p w:rsidR="00000000" w:rsidRPr="006D2160" w:rsidP="006D2160">
            <w:pPr>
              <w:pStyle w:val="BodyText"/>
            </w:pPr>
            <w:r w:rsidRPr="006D2160">
              <w:t>Assessment methods suitable for valid and reliable assessment of this competency</w:t>
            </w:r>
            <w:r w:rsidRPr="006D2160">
              <w:t xml:space="preserve"> may include, but are not limited to, a combination of 2 or more of: </w:t>
            </w:r>
          </w:p>
          <w:p w:rsidR="00000000" w:rsidRPr="006D2160" w:rsidP="006D2160">
            <w:pPr>
              <w:pStyle w:val="ListBullet2"/>
            </w:pPr>
            <w:r w:rsidRPr="006D2160">
              <w:t>case studies</w:t>
            </w:r>
          </w:p>
          <w:p w:rsidR="00000000" w:rsidRPr="006D2160" w:rsidP="006D2160">
            <w:pPr>
              <w:pStyle w:val="ListBullet2"/>
            </w:pPr>
            <w:r w:rsidRPr="006D2160">
              <w:t xml:space="preserve">demonstration </w:t>
            </w:r>
          </w:p>
          <w:p w:rsidR="00000000" w:rsidRPr="006D2160" w:rsidP="006D2160">
            <w:pPr>
              <w:pStyle w:val="ListBullet2"/>
            </w:pPr>
            <w:r w:rsidRPr="006D2160">
              <w:t>observation</w:t>
            </w:r>
          </w:p>
          <w:p w:rsidR="00000000" w:rsidRPr="006D2160" w:rsidP="006D2160">
            <w:pPr>
              <w:pStyle w:val="ListBullet2"/>
            </w:pPr>
            <w:r w:rsidRPr="006D2160">
              <w:t>projects</w:t>
            </w:r>
          </w:p>
          <w:p w:rsidR="00000000" w:rsidRPr="006D2160" w:rsidP="006D2160">
            <w:pPr>
              <w:pStyle w:val="ListBullet2"/>
            </w:pPr>
            <w:r w:rsidRPr="006D2160">
              <w:t>questioning</w:t>
            </w:r>
          </w:p>
          <w:p w:rsidR="00000000" w:rsidRPr="006D2160" w:rsidP="006D2160">
            <w:pPr>
              <w:pStyle w:val="ListBullet2"/>
            </w:pPr>
            <w:r w:rsidRPr="006D2160">
              <w:t>scenarios</w:t>
            </w:r>
          </w:p>
          <w:p w:rsidR="00000000" w:rsidP="006D2160">
            <w:pPr>
              <w:pStyle w:val="ListBullet2"/>
              <w:rPr>
                <w:lang w:val="en-NZ"/>
              </w:rPr>
            </w:pPr>
            <w:r w:rsidRPr="006D2160">
              <w:t xml:space="preserve">authenticated evidence from the workplace and/or training courses   </w:t>
            </w:r>
          </w:p>
        </w:tc>
      </w:tr>
      <w:tr w:rsidTr="003D34B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D2160">
            <w:pPr>
              <w:pStyle w:val="BodyText"/>
              <w:rPr>
                <w:lang w:val="en-NZ"/>
              </w:rPr>
            </w:pPr>
            <w:r w:rsidRPr="006D2160">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6D2160" w:rsidP="006D2160">
            <w:pPr>
              <w:pStyle w:val="BodyText"/>
            </w:pPr>
            <w:r w:rsidRPr="006D2160">
              <w:t>Evidence must be gathered over time in a range of contexts to ensure the person can achieve the unit outcome and apply the competency in different situations or environments</w:t>
            </w:r>
          </w:p>
        </w:tc>
      </w:tr>
    </w:tbl>
    <w:p w:rsidR="00000000" w:rsidRPr="006D2160" w:rsidP="006D2160">
      <w:pPr>
        <w:pStyle w:val="BodyText"/>
      </w:pPr>
    </w:p>
    <w:p w:rsidR="00000000" w:rsidRPr="006D2160" w:rsidP="006D2160">
      <w:pPr>
        <w:pStyle w:val="AllowPageBreak"/>
      </w:pPr>
    </w:p>
    <w:p w:rsidR="00000000" w:rsidRPr="006D2160" w:rsidP="006D2160">
      <w:pPr>
        <w:pStyle w:val="Heading1"/>
      </w:pPr>
      <w:bookmarkStart w:id="11" w:name="O_498598"/>
      <w:bookmarkEnd w:id="11"/>
      <w:r w:rsidRPr="006D2160">
        <w:t>Range Statement</w:t>
      </w:r>
    </w:p>
    <w:tbl>
      <w:tblPr>
        <w:tblW w:w="9322" w:type="dxa"/>
        <w:tblLayout w:type="fixed"/>
        <w:tblCellMar>
          <w:left w:w="62" w:type="dxa"/>
          <w:right w:w="62" w:type="dxa"/>
        </w:tblCellMar>
        <w:tblLook w:val="0000"/>
      </w:tblPr>
      <w:tblGrid>
        <w:gridCol w:w="2660"/>
        <w:gridCol w:w="6662"/>
      </w:tblGrid>
      <w:tr w:rsidTr="003D34BA">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6D2160">
            <w:pPr>
              <w:pStyle w:val="BodyText"/>
              <w:rPr>
                <w:lang w:val="en-NZ"/>
              </w:rPr>
            </w:pPr>
            <w:r w:rsidRPr="006D2160">
              <w:t xml:space="preserve">The  provides information about the context in </w:t>
            </w:r>
            <w:r w:rsidRPr="006D2160">
              <w:t>which the unit of competency is carried out. The variables cater for differences between States and Territories and the Commonwealth, and between organisations and workplaces. They allow for different work requirements, work practices and knowledge. The  a</w:t>
            </w:r>
            <w:r w:rsidRPr="006D2160">
              <w:t xml:space="preserve">lso provides a focus for assessment. It relates to the unit as a whole. Text in </w:t>
            </w:r>
            <w:r w:rsidRPr="006D2160">
              <w:rPr>
                <w:rStyle w:val="Emphasis"/>
              </w:rPr>
              <w:t>italics</w:t>
            </w:r>
            <w:r w:rsidRPr="006D2160">
              <w:t xml:space="preserve"> in the Performance Criteria is explained here.</w:t>
            </w:r>
          </w:p>
        </w:tc>
      </w:tr>
      <w:tr w:rsidTr="003D34B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D2160">
            <w:pPr>
              <w:pStyle w:val="BodyText"/>
              <w:rPr>
                <w:lang w:val="en-NZ"/>
              </w:rPr>
            </w:pPr>
            <w:r w:rsidRPr="006D2160">
              <w:rPr>
                <w:rStyle w:val="BoldandItalics"/>
              </w:rPr>
              <w:t xml:space="preserve">Analysis </w:t>
            </w:r>
            <w:r w:rsidRPr="006D2160">
              <w:t>can be:</w:t>
            </w:r>
          </w:p>
        </w:tc>
        <w:tc>
          <w:tcPr>
            <w:tcW w:w="6662" w:type="dxa"/>
            <w:tcBorders>
              <w:top w:val="nil"/>
              <w:left w:val="nil"/>
              <w:bottom w:val="nil"/>
              <w:right w:val="nil"/>
            </w:tcBorders>
            <w:tcMar>
              <w:top w:w="0" w:type="dxa"/>
              <w:left w:w="62" w:type="dxa"/>
              <w:bottom w:w="0" w:type="dxa"/>
              <w:right w:w="62" w:type="dxa"/>
            </w:tcMar>
          </w:tcPr>
          <w:p w:rsidR="00000000" w:rsidRPr="006D2160" w:rsidP="006D2160">
            <w:pPr>
              <w:pStyle w:val="ListBullet2"/>
            </w:pPr>
            <w:r w:rsidRPr="006D2160">
              <w:t>quantitative and/or qualitative</w:t>
            </w:r>
          </w:p>
          <w:p w:rsidR="00000000" w:rsidRPr="006D2160" w:rsidP="006D2160">
            <w:pPr>
              <w:pStyle w:val="ListBullet2"/>
            </w:pPr>
            <w:r w:rsidRPr="006D2160">
              <w:t>explorative</w:t>
            </w:r>
          </w:p>
          <w:p w:rsidR="00000000" w:rsidRPr="006D2160" w:rsidP="006D2160">
            <w:pPr>
              <w:pStyle w:val="ListBullet2"/>
            </w:pPr>
            <w:r w:rsidRPr="006D2160">
              <w:t>descriptive</w:t>
            </w:r>
          </w:p>
          <w:p w:rsidR="00000000" w:rsidRPr="006D2160" w:rsidP="006D2160">
            <w:pPr>
              <w:pStyle w:val="ListBullet2"/>
            </w:pPr>
            <w:r w:rsidRPr="006D2160">
              <w:t>causative</w:t>
            </w:r>
          </w:p>
          <w:p w:rsidR="00000000" w:rsidP="006D2160">
            <w:pPr>
              <w:pStyle w:val="ListBullet2"/>
              <w:rPr>
                <w:lang w:val="en-NZ"/>
              </w:rPr>
            </w:pPr>
            <w:r w:rsidRPr="006D2160">
              <w:t>predictive</w:t>
            </w:r>
          </w:p>
        </w:tc>
      </w:tr>
      <w:tr w:rsidTr="003D34B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D2160">
            <w:pPr>
              <w:pStyle w:val="BodyText"/>
              <w:rPr>
                <w:lang w:val="en-NZ"/>
              </w:rPr>
            </w:pPr>
            <w:r w:rsidRPr="006D2160">
              <w:rPr>
                <w:rStyle w:val="BoldandItalics"/>
              </w:rPr>
              <w:t xml:space="preserve">Methods of analysis </w:t>
            </w:r>
            <w:r w:rsidRPr="006D2160">
              <w:t>can include:</w:t>
            </w:r>
          </w:p>
        </w:tc>
        <w:tc>
          <w:tcPr>
            <w:tcW w:w="6662" w:type="dxa"/>
            <w:tcBorders>
              <w:top w:val="nil"/>
              <w:left w:val="nil"/>
              <w:bottom w:val="nil"/>
              <w:right w:val="nil"/>
            </w:tcBorders>
            <w:tcMar>
              <w:top w:w="0" w:type="dxa"/>
              <w:left w:w="62" w:type="dxa"/>
              <w:bottom w:w="0" w:type="dxa"/>
              <w:right w:w="62" w:type="dxa"/>
            </w:tcMar>
          </w:tcPr>
          <w:p w:rsidR="00000000" w:rsidRPr="006D2160" w:rsidP="006D2160">
            <w:pPr>
              <w:pStyle w:val="ListBullet2"/>
            </w:pPr>
            <w:r w:rsidRPr="006D2160">
              <w:t>hypothesis development</w:t>
            </w:r>
          </w:p>
          <w:p w:rsidR="00000000" w:rsidRPr="006D2160" w:rsidP="006D2160">
            <w:pPr>
              <w:pStyle w:val="ListBullet2"/>
            </w:pPr>
            <w:r w:rsidRPr="006D2160">
              <w:t>link analysis</w:t>
            </w:r>
          </w:p>
          <w:p w:rsidR="00000000" w:rsidRPr="006D2160" w:rsidP="006D2160">
            <w:pPr>
              <w:pStyle w:val="ListBullet2"/>
            </w:pPr>
            <w:r w:rsidRPr="006D2160">
              <w:t>comparative analysis</w:t>
            </w:r>
          </w:p>
          <w:p w:rsidR="00000000" w:rsidRPr="006D2160" w:rsidP="006D2160">
            <w:pPr>
              <w:pStyle w:val="ListBullet2"/>
            </w:pPr>
            <w:r w:rsidRPr="006D2160">
              <w:t>biographical analysis</w:t>
            </w:r>
          </w:p>
          <w:p w:rsidR="00000000" w:rsidRPr="006D2160" w:rsidP="006D2160">
            <w:pPr>
              <w:pStyle w:val="ListBullet2"/>
            </w:pPr>
            <w:r w:rsidRPr="006D2160">
              <w:t>demographic or geographic analysis</w:t>
            </w:r>
          </w:p>
          <w:p w:rsidR="00000000" w:rsidRPr="006D2160" w:rsidP="006D2160">
            <w:pPr>
              <w:pStyle w:val="ListBullet2"/>
            </w:pPr>
            <w:r w:rsidRPr="006D2160">
              <w:t>historical analysis</w:t>
            </w:r>
          </w:p>
          <w:p w:rsidR="00000000" w:rsidRPr="006D2160" w:rsidP="006D2160">
            <w:pPr>
              <w:pStyle w:val="ListBullet2"/>
            </w:pPr>
            <w:r w:rsidRPr="006D2160">
              <w:t>scenario generation</w:t>
            </w:r>
          </w:p>
          <w:p w:rsidR="00000000" w:rsidRPr="006D2160" w:rsidP="006D2160">
            <w:pPr>
              <w:pStyle w:val="ListBullet2"/>
            </w:pPr>
            <w:r w:rsidRPr="006D2160">
              <w:t>Delphi technique</w:t>
            </w:r>
          </w:p>
          <w:p w:rsidR="00000000" w:rsidP="006D2160">
            <w:pPr>
              <w:pStyle w:val="ListBullet2"/>
              <w:rPr>
                <w:lang w:val="en-NZ"/>
              </w:rPr>
            </w:pPr>
            <w:r w:rsidRPr="006D2160">
              <w:t>morphological analysis</w:t>
            </w:r>
          </w:p>
        </w:tc>
      </w:tr>
      <w:tr w:rsidTr="003D34B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D2160">
            <w:pPr>
              <w:pStyle w:val="BodyText"/>
              <w:rPr>
                <w:lang w:val="en-NZ"/>
              </w:rPr>
            </w:pPr>
            <w:r w:rsidRPr="006D2160">
              <w:rPr>
                <w:rStyle w:val="BoldandItalics"/>
              </w:rPr>
              <w:t>Data sources</w:t>
            </w:r>
            <w:r w:rsidRPr="006D2160">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6D2160" w:rsidP="006D2160">
            <w:pPr>
              <w:pStyle w:val="ListBullet2"/>
            </w:pPr>
            <w:r w:rsidRPr="006D2160">
              <w:t>program files</w:t>
            </w:r>
          </w:p>
          <w:p w:rsidR="00000000" w:rsidRPr="006D2160" w:rsidP="006D2160">
            <w:pPr>
              <w:pStyle w:val="ListBullet2"/>
            </w:pPr>
            <w:r w:rsidRPr="006D2160">
              <w:t>agency systems</w:t>
            </w:r>
          </w:p>
          <w:p w:rsidR="00000000" w:rsidRPr="006D2160" w:rsidP="006D2160">
            <w:pPr>
              <w:pStyle w:val="ListBullet2"/>
            </w:pPr>
            <w:r w:rsidRPr="006D2160">
              <w:t>other agencies</w:t>
            </w:r>
          </w:p>
          <w:p w:rsidR="00000000" w:rsidRPr="006D2160" w:rsidP="006D2160">
            <w:pPr>
              <w:pStyle w:val="ListBullet2"/>
            </w:pPr>
            <w:r w:rsidRPr="006D2160">
              <w:t>law enforcement agencies</w:t>
            </w:r>
          </w:p>
          <w:p w:rsidR="00000000" w:rsidP="006D2160">
            <w:pPr>
              <w:pStyle w:val="ListBullet2"/>
              <w:rPr>
                <w:lang w:val="en-NZ"/>
              </w:rPr>
            </w:pPr>
            <w:r w:rsidRPr="006D2160">
              <w:t>standards setting organisations</w:t>
            </w:r>
          </w:p>
        </w:tc>
      </w:tr>
      <w:tr w:rsidTr="003D34B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D2160">
            <w:pPr>
              <w:pStyle w:val="BodyText"/>
              <w:rPr>
                <w:lang w:val="en-NZ"/>
              </w:rPr>
            </w:pPr>
            <w:r w:rsidRPr="006D2160">
              <w:rPr>
                <w:rStyle w:val="BoldandItalics"/>
              </w:rPr>
              <w:t xml:space="preserve">Incorporation </w:t>
            </w:r>
            <w:r w:rsidRPr="006D2160">
              <w:t>may be in terms of:</w:t>
            </w:r>
          </w:p>
        </w:tc>
        <w:tc>
          <w:tcPr>
            <w:tcW w:w="6662" w:type="dxa"/>
            <w:tcBorders>
              <w:top w:val="nil"/>
              <w:left w:val="nil"/>
              <w:bottom w:val="nil"/>
              <w:right w:val="nil"/>
            </w:tcBorders>
            <w:tcMar>
              <w:top w:w="0" w:type="dxa"/>
              <w:left w:w="62" w:type="dxa"/>
              <w:bottom w:w="0" w:type="dxa"/>
              <w:right w:w="62" w:type="dxa"/>
            </w:tcMar>
          </w:tcPr>
          <w:p w:rsidR="00000000" w:rsidRPr="006D2160" w:rsidP="006D2160">
            <w:pPr>
              <w:pStyle w:val="ListBullet2"/>
            </w:pPr>
            <w:r w:rsidRPr="006D2160">
              <w:t>identifying and assessing risk</w:t>
            </w:r>
          </w:p>
          <w:p w:rsidR="00000000" w:rsidRPr="006D2160" w:rsidP="006D2160">
            <w:pPr>
              <w:pStyle w:val="ListBullet2"/>
            </w:pPr>
            <w:r w:rsidRPr="006D2160">
              <w:t>monitoring and reviewing procedures</w:t>
            </w:r>
          </w:p>
        </w:tc>
      </w:tr>
    </w:tbl>
    <w:p w:rsidR="00000000" w:rsidRPr="006D2160" w:rsidP="006D2160">
      <w:pPr>
        <w:pStyle w:val="BodyText"/>
      </w:pPr>
    </w:p>
    <w:p w:rsidR="00000000" w:rsidRPr="006D2160" w:rsidP="006D2160">
      <w:pPr>
        <w:pStyle w:val="AllowPageBreak"/>
      </w:pPr>
    </w:p>
    <w:p w:rsidR="00000000" w:rsidRPr="006D2160" w:rsidP="006D2160">
      <w:pPr>
        <w:pStyle w:val="Heading1"/>
      </w:pPr>
      <w:bookmarkStart w:id="12" w:name="O_498590"/>
      <w:bookmarkEnd w:id="12"/>
      <w:r w:rsidRPr="006D2160">
        <w:t>Unit Sector(s)</w:t>
      </w:r>
    </w:p>
    <w:p w:rsidR="00000000" w:rsidRPr="006D2160" w:rsidP="006D2160">
      <w:pPr>
        <w:pStyle w:val="BodyText"/>
      </w:pPr>
      <w:r w:rsidRPr="006D2160">
        <w:t>Not applicable.</w:t>
      </w:r>
    </w:p>
    <w:p w:rsidR="00000000" w:rsidRPr="006D2160" w:rsidP="006D2160">
      <w:pPr>
        <w:pStyle w:val="AllowPageBreak"/>
      </w:pPr>
    </w:p>
    <w:p w:rsidR="00000000" w:rsidRPr="006D2160" w:rsidP="006D2160">
      <w:pPr>
        <w:pStyle w:val="Heading1"/>
      </w:pPr>
      <w:bookmarkStart w:id="13" w:name="O_498602"/>
      <w:bookmarkEnd w:id="13"/>
      <w:r w:rsidRPr="006D2160">
        <w:t>Competency field</w:t>
      </w:r>
    </w:p>
    <w:p w:rsidR="00000000" w:rsidRPr="006D2160" w:rsidP="006D2160">
      <w:pPr>
        <w:pStyle w:val="BodyText"/>
      </w:pPr>
      <w:r w:rsidRPr="006D2160">
        <w:t>Regulatory.</w:t>
      </w:r>
    </w:p>
    <w:p w:rsidR="00000000" w:rsidRPr="006D2160" w:rsidP="006D2160"/>
    <w:sectPr w:rsidSect="006D216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1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D34BA" w:rsidP="003D34B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1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4BA" w:rsidP="006D216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D34BA" w:rsidP="006D216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3D34BA" w:rsidP="006D216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1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160" w:rsidRPr="003D34BA" w:rsidP="003D34B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1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4BA" w:rsidRPr="002D2AF8" w:rsidP="006D2160">
    <w:pPr>
      <w:pStyle w:val="Header"/>
      <w:framePr w:wrap="around"/>
    </w:pPr>
    <w:r>
      <w:fldChar w:fldCharType="begin"/>
    </w:r>
    <w:r>
      <w:instrText xml:space="preserve"> TITLE   \* MERGEFORMAT </w:instrText>
    </w:r>
    <w:r>
      <w:fldChar w:fldCharType="separate"/>
    </w:r>
    <w:r>
      <w:t>PSPREG416A Conduct data analysis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3D34BA" w:rsidP="006D21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D2C3B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1ADE22E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21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2160"/>
    <w:pPr>
      <w:spacing w:before="360" w:after="60"/>
      <w:outlineLvl w:val="0"/>
    </w:pPr>
    <w:rPr>
      <w:sz w:val="32"/>
    </w:rPr>
  </w:style>
  <w:style w:type="paragraph" w:styleId="Heading2">
    <w:name w:val="heading 2"/>
    <w:basedOn w:val="HeadingBase"/>
    <w:next w:val="BodyText"/>
    <w:link w:val="Heading2Char"/>
    <w:qFormat/>
    <w:rsid w:val="006D2160"/>
    <w:pPr>
      <w:keepLines/>
      <w:spacing w:before="240" w:after="120"/>
      <w:outlineLvl w:val="1"/>
    </w:pPr>
    <w:rPr>
      <w:sz w:val="28"/>
      <w:szCs w:val="40"/>
    </w:rPr>
  </w:style>
  <w:style w:type="paragraph" w:styleId="Heading3">
    <w:name w:val="heading 3"/>
    <w:basedOn w:val="HeadingBase"/>
    <w:next w:val="BodyText"/>
    <w:link w:val="Heading3Char"/>
    <w:qFormat/>
    <w:rsid w:val="006D2160"/>
    <w:pPr>
      <w:spacing w:before="180" w:after="120"/>
      <w:outlineLvl w:val="2"/>
    </w:pPr>
    <w:rPr>
      <w:spacing w:val="-10"/>
      <w:kern w:val="32"/>
    </w:rPr>
  </w:style>
  <w:style w:type="paragraph" w:styleId="Heading4">
    <w:name w:val="heading 4"/>
    <w:basedOn w:val="HeadingBase"/>
    <w:next w:val="BodyText"/>
    <w:link w:val="Heading4Char"/>
    <w:qFormat/>
    <w:rsid w:val="006D2160"/>
    <w:pPr>
      <w:spacing w:before="160" w:after="120"/>
      <w:outlineLvl w:val="3"/>
    </w:pPr>
    <w:rPr>
      <w:sz w:val="22"/>
    </w:rPr>
  </w:style>
  <w:style w:type="paragraph" w:styleId="Heading5">
    <w:name w:val="heading 5"/>
    <w:basedOn w:val="HeadingBase"/>
    <w:next w:val="Normal"/>
    <w:link w:val="Heading5Char"/>
    <w:qFormat/>
    <w:rsid w:val="006D2160"/>
    <w:pPr>
      <w:spacing w:before="80"/>
      <w:outlineLvl w:val="4"/>
    </w:pPr>
    <w:rPr>
      <w:color w:val="918585"/>
      <w:sz w:val="20"/>
    </w:rPr>
  </w:style>
  <w:style w:type="paragraph" w:styleId="Heading6">
    <w:name w:val="heading 6"/>
    <w:basedOn w:val="HeadingBase"/>
    <w:next w:val="Normal"/>
    <w:link w:val="Heading6Char"/>
    <w:qFormat/>
    <w:rsid w:val="006D2160"/>
    <w:pPr>
      <w:spacing w:before="60"/>
      <w:outlineLvl w:val="5"/>
    </w:pPr>
    <w:rPr>
      <w:color w:val="918585"/>
      <w:sz w:val="20"/>
    </w:rPr>
  </w:style>
  <w:style w:type="paragraph" w:styleId="Heading7">
    <w:name w:val="heading 7"/>
    <w:basedOn w:val="Normal"/>
    <w:next w:val="Normal"/>
    <w:link w:val="Heading7Char"/>
    <w:qFormat/>
    <w:rsid w:val="006D2160"/>
    <w:pPr>
      <w:ind w:left="720"/>
      <w:outlineLvl w:val="6"/>
    </w:pPr>
    <w:rPr>
      <w:i/>
    </w:rPr>
  </w:style>
  <w:style w:type="paragraph" w:styleId="Heading8">
    <w:name w:val="heading 8"/>
    <w:basedOn w:val="Normal"/>
    <w:next w:val="Normal"/>
    <w:link w:val="Heading8Char"/>
    <w:qFormat/>
    <w:rsid w:val="006D2160"/>
    <w:pPr>
      <w:ind w:left="720"/>
      <w:outlineLvl w:val="7"/>
    </w:pPr>
    <w:rPr>
      <w:i/>
    </w:rPr>
  </w:style>
  <w:style w:type="paragraph" w:styleId="Heading9">
    <w:name w:val="heading 9"/>
    <w:basedOn w:val="Normal"/>
    <w:next w:val="Normal"/>
    <w:link w:val="Heading9Char"/>
    <w:qFormat/>
    <w:rsid w:val="006D2160"/>
    <w:pPr>
      <w:ind w:left="720"/>
      <w:outlineLvl w:val="8"/>
    </w:pPr>
    <w:rPr>
      <w:i/>
    </w:rPr>
  </w:style>
  <w:style w:type="character" w:default="1" w:styleId="DefaultParagraphFont">
    <w:name w:val="Default Paragraph Font"/>
    <w:uiPriority w:val="1"/>
    <w:unhideWhenUsed/>
    <w:rsid w:val="006D21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2160"/>
  </w:style>
  <w:style w:type="character" w:customStyle="1" w:styleId="Heading1Char">
    <w:name w:val="Heading 1 Char"/>
    <w:basedOn w:val="DefaultParagraphFont"/>
    <w:link w:val="Heading1"/>
    <w:rsid w:val="006D2160"/>
    <w:rPr>
      <w:rFonts w:ascii="Times New Roman" w:eastAsia="Times New Roman" w:hAnsi="Times New Roman" w:cs="Times New Roman"/>
      <w:b/>
      <w:sz w:val="32"/>
      <w:szCs w:val="20"/>
      <w:lang w:eastAsia="en-US"/>
    </w:rPr>
  </w:style>
  <w:style w:type="paragraph" w:styleId="BodyText">
    <w:name w:val="Body Text"/>
    <w:basedOn w:val="Normal"/>
    <w:link w:val="BodyTextChar"/>
    <w:rsid w:val="006D216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D2160"/>
    <w:rPr>
      <w:rFonts w:ascii="Times New Roman" w:eastAsia="Times New Roman" w:hAnsi="Times New Roman" w:cs="Times New Roman"/>
      <w:sz w:val="24"/>
      <w:lang w:eastAsia="en-US"/>
    </w:rPr>
  </w:style>
  <w:style w:type="paragraph" w:styleId="Footer">
    <w:name w:val="footer"/>
    <w:basedOn w:val="Normal"/>
    <w:link w:val="FooterChar"/>
    <w:rsid w:val="006D21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2160"/>
    <w:rPr>
      <w:rFonts w:ascii="Times New Roman" w:eastAsia="Times New Roman" w:hAnsi="Times New Roman" w:cs="Times New Roman"/>
      <w:sz w:val="16"/>
      <w:lang w:eastAsia="en-US"/>
    </w:rPr>
  </w:style>
  <w:style w:type="paragraph" w:styleId="List">
    <w:name w:val="List"/>
    <w:basedOn w:val="BodyText"/>
    <w:next w:val="BodyText"/>
    <w:rsid w:val="006D2160"/>
    <w:pPr>
      <w:tabs>
        <w:tab w:val="left" w:pos="340"/>
      </w:tabs>
      <w:spacing w:before="60" w:after="60"/>
      <w:ind w:left="340" w:hanging="340"/>
    </w:pPr>
  </w:style>
  <w:style w:type="character" w:customStyle="1" w:styleId="SpecialBold">
    <w:name w:val="Special Bold"/>
    <w:basedOn w:val="DefaultParagraphFont"/>
    <w:rsid w:val="006D2160"/>
    <w:rPr>
      <w:b/>
      <w:spacing w:val="0"/>
    </w:rPr>
  </w:style>
  <w:style w:type="paragraph" w:styleId="ListBullet2">
    <w:name w:val="List Bullet 2"/>
    <w:basedOn w:val="List2"/>
    <w:rsid w:val="006D2160"/>
    <w:pPr>
      <w:numPr>
        <w:numId w:val="14"/>
      </w:numPr>
      <w:tabs>
        <w:tab w:val="clear" w:pos="680"/>
      </w:tabs>
    </w:pPr>
  </w:style>
  <w:style w:type="character" w:styleId="Emphasis">
    <w:name w:val="Emphasis"/>
    <w:basedOn w:val="DefaultParagraphFont"/>
    <w:qFormat/>
    <w:rsid w:val="006D2160"/>
    <w:rPr>
      <w:i/>
    </w:rPr>
  </w:style>
  <w:style w:type="paragraph" w:customStyle="1" w:styleId="SuperHeading">
    <w:name w:val="SuperHeading"/>
    <w:basedOn w:val="Normal"/>
    <w:rsid w:val="006D2160"/>
    <w:pPr>
      <w:spacing w:before="240" w:after="120"/>
      <w:outlineLvl w:val="0"/>
    </w:pPr>
    <w:rPr>
      <w:rFonts w:ascii="Times New Roman" w:hAnsi="Times New Roman"/>
      <w:b/>
      <w:sz w:val="28"/>
    </w:rPr>
  </w:style>
  <w:style w:type="paragraph" w:customStyle="1" w:styleId="AllowPageBreak">
    <w:name w:val="AllowPageBreak"/>
    <w:rsid w:val="006D216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D2160"/>
    <w:pPr>
      <w:numPr>
        <w:numId w:val="2"/>
      </w:numPr>
      <w:tabs>
        <w:tab w:val="clear" w:pos="1021"/>
      </w:tabs>
      <w:ind w:left="1037" w:hanging="357"/>
    </w:pPr>
  </w:style>
  <w:style w:type="character" w:customStyle="1" w:styleId="Underline">
    <w:name w:val="Underline"/>
    <w:basedOn w:val="DefaultParagraphFont"/>
    <w:qFormat/>
    <w:rsid w:val="006D2160"/>
    <w:rPr>
      <w:u w:val="single"/>
    </w:rPr>
  </w:style>
  <w:style w:type="character" w:customStyle="1" w:styleId="BoldandItalics">
    <w:name w:val="Bold and Italics"/>
    <w:qFormat/>
    <w:rsid w:val="006D2160"/>
    <w:rPr>
      <w:b/>
      <w:i/>
      <w:u w:val="none"/>
    </w:rPr>
  </w:style>
  <w:style w:type="character" w:customStyle="1" w:styleId="Heading2Char">
    <w:name w:val="Heading 2 Char"/>
    <w:basedOn w:val="DefaultParagraphFont"/>
    <w:link w:val="Heading2"/>
    <w:rsid w:val="006D21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21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21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21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21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21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21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2160"/>
    <w:rPr>
      <w:rFonts w:ascii="Courier New" w:eastAsia="Times New Roman" w:hAnsi="Courier New" w:cs="Times New Roman"/>
      <w:i/>
      <w:szCs w:val="20"/>
      <w:lang w:eastAsia="en-US"/>
    </w:rPr>
  </w:style>
  <w:style w:type="paragraph" w:customStyle="1" w:styleId="HeadingBase">
    <w:name w:val="Heading Base"/>
    <w:rsid w:val="006D21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2160"/>
    <w:pPr>
      <w:tabs>
        <w:tab w:val="right" w:leader="dot" w:pos="9072"/>
      </w:tabs>
      <w:ind w:left="567"/>
    </w:pPr>
    <w:rPr>
      <w:szCs w:val="22"/>
    </w:rPr>
  </w:style>
  <w:style w:type="paragraph" w:customStyle="1" w:styleId="TOCBase">
    <w:name w:val="TOC Base"/>
    <w:rsid w:val="006D21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2160"/>
    <w:pPr>
      <w:tabs>
        <w:tab w:val="right" w:leader="dot" w:pos="9072"/>
      </w:tabs>
      <w:spacing w:before="40" w:after="40"/>
      <w:ind w:left="284"/>
    </w:pPr>
    <w:rPr>
      <w:rFonts w:ascii="Times New Roman" w:hAnsi="Times New Roman"/>
    </w:rPr>
  </w:style>
  <w:style w:type="paragraph" w:styleId="TOC1">
    <w:name w:val="toc 1"/>
    <w:basedOn w:val="TOCBase"/>
    <w:next w:val="Normal"/>
    <w:rsid w:val="006D216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D2160"/>
    <w:pPr>
      <w:spacing w:before="5040"/>
      <w:jc w:val="center"/>
    </w:pPr>
    <w:rPr>
      <w:sz w:val="48"/>
      <w:szCs w:val="72"/>
      <w:lang w:val="en-US"/>
    </w:rPr>
  </w:style>
  <w:style w:type="character" w:customStyle="1" w:styleId="TitleChar">
    <w:name w:val="Title Char"/>
    <w:basedOn w:val="DefaultParagraphFont"/>
    <w:link w:val="Title"/>
    <w:rsid w:val="006D21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2160"/>
    <w:pPr>
      <w:tabs>
        <w:tab w:val="left" w:pos="3600"/>
        <w:tab w:val="left" w:pos="3958"/>
      </w:tabs>
    </w:pPr>
  </w:style>
  <w:style w:type="paragraph" w:styleId="ListBullet">
    <w:name w:val="List Bullet"/>
    <w:basedOn w:val="List"/>
    <w:rsid w:val="006D2160"/>
    <w:pPr>
      <w:numPr>
        <w:numId w:val="13"/>
      </w:numPr>
      <w:tabs>
        <w:tab w:val="clear" w:pos="340"/>
      </w:tabs>
      <w:spacing w:before="40" w:after="40"/>
    </w:pPr>
  </w:style>
  <w:style w:type="paragraph" w:customStyle="1" w:styleId="Note">
    <w:name w:val="Note"/>
    <w:basedOn w:val="BodyText"/>
    <w:rsid w:val="006D21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2160"/>
    <w:pPr>
      <w:framePr w:wrap="auto" w:hAnchor="text" w:y="6049"/>
    </w:pPr>
    <w:rPr>
      <w:color w:val="000000"/>
      <w:sz w:val="40"/>
    </w:rPr>
  </w:style>
  <w:style w:type="paragraph" w:customStyle="1" w:styleId="TOCTitle">
    <w:name w:val="TOCTitle"/>
    <w:basedOn w:val="Heading1"/>
    <w:rsid w:val="006D2160"/>
    <w:pPr>
      <w:spacing w:after="240"/>
      <w:jc w:val="center"/>
      <w:outlineLvl w:val="9"/>
    </w:pPr>
    <w:rPr>
      <w:caps/>
    </w:rPr>
  </w:style>
  <w:style w:type="paragraph" w:customStyle="1" w:styleId="Version">
    <w:name w:val="Version"/>
    <w:rsid w:val="006D21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2160"/>
    <w:pPr>
      <w:keepNext w:val="0"/>
      <w:tabs>
        <w:tab w:val="right" w:pos="4176"/>
      </w:tabs>
      <w:ind w:left="198" w:hanging="198"/>
    </w:pPr>
    <w:rPr>
      <w:rFonts w:ascii="Garamond" w:hAnsi="Garamond"/>
    </w:rPr>
  </w:style>
  <w:style w:type="paragraph" w:styleId="IndexHeading">
    <w:name w:val="index heading"/>
    <w:basedOn w:val="Normal"/>
    <w:next w:val="Index1"/>
    <w:semiHidden/>
    <w:rsid w:val="006D2160"/>
    <w:pPr>
      <w:spacing w:before="120" w:after="120"/>
    </w:pPr>
    <w:rPr>
      <w:rFonts w:ascii="Arial" w:hAnsi="Arial"/>
      <w:b/>
      <w:color w:val="918585"/>
      <w:sz w:val="24"/>
    </w:rPr>
  </w:style>
  <w:style w:type="paragraph" w:styleId="Header">
    <w:name w:val="header"/>
    <w:basedOn w:val="Normal"/>
    <w:link w:val="HeaderChar"/>
    <w:rsid w:val="006D21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2160"/>
    <w:rPr>
      <w:rFonts w:ascii="Times New Roman" w:eastAsia="Times New Roman" w:hAnsi="Times New Roman" w:cs="Times New Roman"/>
      <w:sz w:val="16"/>
      <w:szCs w:val="20"/>
      <w:lang w:val="en-GB" w:eastAsia="en-US"/>
    </w:rPr>
  </w:style>
  <w:style w:type="paragraph" w:customStyle="1" w:styleId="Chapter">
    <w:name w:val="Chapter"/>
    <w:basedOn w:val="Normal"/>
    <w:rsid w:val="006D2160"/>
    <w:pPr>
      <w:spacing w:before="240"/>
    </w:pPr>
    <w:rPr>
      <w:rFonts w:ascii="Times New Roman" w:hAnsi="Times New Roman"/>
      <w:smallCaps/>
      <w:spacing w:val="80"/>
      <w:sz w:val="28"/>
    </w:rPr>
  </w:style>
  <w:style w:type="paragraph" w:customStyle="1" w:styleId="InChapter">
    <w:name w:val="InChapter"/>
    <w:basedOn w:val="Heading3"/>
    <w:rsid w:val="006D2160"/>
    <w:pPr>
      <w:spacing w:after="240"/>
      <w:outlineLvl w:val="9"/>
    </w:pPr>
    <w:rPr>
      <w:noProof/>
    </w:rPr>
  </w:style>
  <w:style w:type="paragraph" w:styleId="Index2">
    <w:name w:val="index 2"/>
    <w:basedOn w:val="Normal"/>
    <w:next w:val="Normal"/>
    <w:semiHidden/>
    <w:rsid w:val="006D2160"/>
    <w:pPr>
      <w:tabs>
        <w:tab w:val="right" w:pos="4176"/>
      </w:tabs>
      <w:ind w:left="568" w:hanging="284"/>
    </w:pPr>
    <w:rPr>
      <w:rFonts w:ascii="Garamond" w:hAnsi="Garamond"/>
    </w:rPr>
  </w:style>
  <w:style w:type="paragraph" w:customStyle="1" w:styleId="Byline">
    <w:name w:val="Byline"/>
    <w:rsid w:val="006D21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2160"/>
    <w:pPr>
      <w:tabs>
        <w:tab w:val="clear" w:pos="3600"/>
        <w:tab w:val="clear" w:pos="3958"/>
      </w:tabs>
      <w:jc w:val="right"/>
    </w:pPr>
  </w:style>
  <w:style w:type="paragraph" w:styleId="Caption">
    <w:name w:val="caption"/>
    <w:basedOn w:val="BodyText"/>
    <w:next w:val="Normal"/>
    <w:qFormat/>
    <w:rsid w:val="006D2160"/>
    <w:pPr>
      <w:framePr w:w="2268" w:hSpace="181" w:vSpace="181" w:wrap="around" w:vAnchor="text" w:hAnchor="page" w:x="1135" w:y="285" w:anchorLock="1"/>
    </w:pPr>
    <w:rPr>
      <w:i/>
    </w:rPr>
  </w:style>
  <w:style w:type="paragraph" w:customStyle="1" w:styleId="MiniTOCTitle">
    <w:name w:val="MiniTOCTitle"/>
    <w:basedOn w:val="Heading4"/>
    <w:rsid w:val="006D2160"/>
    <w:pPr>
      <w:spacing w:before="240"/>
      <w:outlineLvl w:val="9"/>
    </w:pPr>
    <w:rPr>
      <w:noProof/>
      <w:sz w:val="24"/>
    </w:rPr>
  </w:style>
  <w:style w:type="paragraph" w:customStyle="1" w:styleId="MiniTOCItem">
    <w:name w:val="MiniTOCItem"/>
    <w:basedOn w:val="ListBullet"/>
    <w:rsid w:val="006D2160"/>
    <w:pPr>
      <w:numPr>
        <w:numId w:val="0"/>
      </w:numPr>
      <w:tabs>
        <w:tab w:val="right" w:leader="dot" w:pos="6521"/>
      </w:tabs>
      <w:spacing w:before="0" w:after="0"/>
    </w:pPr>
  </w:style>
  <w:style w:type="paragraph" w:customStyle="1" w:styleId="TOFTitle">
    <w:name w:val="TOFTitle"/>
    <w:basedOn w:val="TOCTitle"/>
    <w:rsid w:val="006D2160"/>
  </w:style>
  <w:style w:type="paragraph" w:styleId="TableofFigures">
    <w:name w:val="table of figures"/>
    <w:basedOn w:val="Normal"/>
    <w:next w:val="Normal"/>
    <w:semiHidden/>
    <w:rsid w:val="006D2160"/>
    <w:pPr>
      <w:tabs>
        <w:tab w:val="right" w:leader="dot" w:pos="9072"/>
      </w:tabs>
      <w:ind w:left="970" w:hanging="403"/>
    </w:pPr>
    <w:rPr>
      <w:rFonts w:ascii="Times New Roman" w:hAnsi="Times New Roman"/>
      <w:b/>
    </w:rPr>
  </w:style>
  <w:style w:type="paragraph" w:styleId="ListNumber">
    <w:name w:val="List Number"/>
    <w:basedOn w:val="List"/>
    <w:rsid w:val="006D2160"/>
    <w:pPr>
      <w:numPr>
        <w:numId w:val="11"/>
      </w:numPr>
    </w:pPr>
  </w:style>
  <w:style w:type="character" w:customStyle="1" w:styleId="WingdingSymbols">
    <w:name w:val="Wingding Symbols"/>
    <w:rsid w:val="006D2160"/>
    <w:rPr>
      <w:rFonts w:ascii="Wingdings" w:hAnsi="Wingdings"/>
    </w:rPr>
  </w:style>
  <w:style w:type="paragraph" w:customStyle="1" w:styleId="TableHeading">
    <w:name w:val="Table Heading"/>
    <w:basedOn w:val="HeadingBase"/>
    <w:rsid w:val="006D2160"/>
    <w:pPr>
      <w:keepLines/>
      <w:pBdr>
        <w:bottom w:val="single" w:sz="6" w:space="1" w:color="918585"/>
      </w:pBdr>
      <w:spacing w:before="240"/>
    </w:pPr>
  </w:style>
  <w:style w:type="character" w:customStyle="1" w:styleId="HotSpot">
    <w:name w:val="HotSpot"/>
    <w:rsid w:val="006D2160"/>
    <w:rPr>
      <w:color w:val="0033CC"/>
      <w:u w:val="none"/>
    </w:rPr>
  </w:style>
  <w:style w:type="paragraph" w:customStyle="1" w:styleId="BodyTextRight">
    <w:name w:val="Body Text Right"/>
    <w:basedOn w:val="BodyText"/>
    <w:rsid w:val="006D2160"/>
    <w:pPr>
      <w:spacing w:before="0" w:after="0"/>
      <w:jc w:val="right"/>
    </w:pPr>
  </w:style>
  <w:style w:type="paragraph" w:styleId="Index3">
    <w:name w:val="index 3"/>
    <w:basedOn w:val="ListNumber2"/>
    <w:next w:val="Normal"/>
    <w:semiHidden/>
    <w:rsid w:val="006D2160"/>
    <w:pPr>
      <w:numPr>
        <w:numId w:val="0"/>
      </w:numPr>
      <w:tabs>
        <w:tab w:val="right" w:leader="dot" w:pos="4176"/>
      </w:tabs>
    </w:pPr>
  </w:style>
  <w:style w:type="paragraph" w:styleId="ListNumber2">
    <w:name w:val="List Number 2"/>
    <w:basedOn w:val="List2"/>
    <w:rsid w:val="006D2160"/>
    <w:pPr>
      <w:numPr>
        <w:numId w:val="10"/>
      </w:numPr>
      <w:tabs>
        <w:tab w:val="clear" w:pos="1060"/>
      </w:tabs>
    </w:pPr>
  </w:style>
  <w:style w:type="paragraph" w:customStyle="1" w:styleId="MarginNote">
    <w:name w:val="Margin Note"/>
    <w:basedOn w:val="BodyText"/>
    <w:rsid w:val="006D21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21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21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2160"/>
    <w:rPr>
      <w:sz w:val="32"/>
    </w:rPr>
  </w:style>
  <w:style w:type="paragraph" w:customStyle="1" w:styleId="HeadingProcedure">
    <w:name w:val="Heading Procedure"/>
    <w:basedOn w:val="HeadingBase"/>
    <w:next w:val="Normal"/>
    <w:rsid w:val="006D2160"/>
    <w:pPr>
      <w:tabs>
        <w:tab w:val="left" w:pos="0"/>
      </w:tabs>
      <w:spacing w:before="120" w:after="60"/>
    </w:pPr>
    <w:rPr>
      <w:i/>
      <w:color w:val="918585"/>
      <w:sz w:val="22"/>
    </w:rPr>
  </w:style>
  <w:style w:type="paragraph" w:customStyle="1" w:styleId="TableBodyText">
    <w:name w:val="Table Body Text"/>
    <w:basedOn w:val="BodyText"/>
    <w:rsid w:val="006D2160"/>
    <w:pPr>
      <w:spacing w:before="60" w:after="60"/>
    </w:pPr>
  </w:style>
  <w:style w:type="paragraph" w:styleId="ListContinue">
    <w:name w:val="List Continue"/>
    <w:basedOn w:val="List"/>
    <w:rsid w:val="006D2160"/>
    <w:pPr>
      <w:ind w:firstLine="0"/>
    </w:pPr>
  </w:style>
  <w:style w:type="paragraph" w:customStyle="1" w:styleId="ListNote">
    <w:name w:val="List Note"/>
    <w:basedOn w:val="List"/>
    <w:rsid w:val="006D2160"/>
    <w:pPr>
      <w:pBdr>
        <w:top w:val="single" w:sz="6" w:space="2" w:color="918585"/>
        <w:bottom w:val="single" w:sz="6" w:space="2" w:color="918585"/>
      </w:pBdr>
      <w:tabs>
        <w:tab w:val="left" w:pos="1021"/>
      </w:tabs>
      <w:ind w:firstLine="0"/>
    </w:pPr>
  </w:style>
  <w:style w:type="paragraph" w:customStyle="1" w:styleId="Warning">
    <w:name w:val="Warning"/>
    <w:basedOn w:val="BodyText"/>
    <w:rsid w:val="006D2160"/>
    <w:pPr>
      <w:shd w:val="clear" w:color="auto" w:fill="D9D9D9"/>
      <w:tabs>
        <w:tab w:val="left" w:pos="992"/>
      </w:tabs>
      <w:ind w:left="119" w:right="119"/>
    </w:pPr>
    <w:rPr>
      <w:sz w:val="20"/>
    </w:rPr>
  </w:style>
  <w:style w:type="paragraph" w:customStyle="1" w:styleId="MarginIcons">
    <w:name w:val="Margin Icons"/>
    <w:basedOn w:val="BodyText"/>
    <w:rsid w:val="006D21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2160"/>
    <w:rPr>
      <w:rFonts w:ascii="Courier New" w:hAnsi="Courier New"/>
    </w:rPr>
  </w:style>
  <w:style w:type="paragraph" w:customStyle="1" w:styleId="NoteBullet">
    <w:name w:val="Note Bullet"/>
    <w:basedOn w:val="Note"/>
    <w:rsid w:val="006D2160"/>
    <w:pPr>
      <w:tabs>
        <w:tab w:val="clear" w:pos="680"/>
      </w:tabs>
      <w:spacing w:before="60" w:after="60"/>
    </w:pPr>
  </w:style>
  <w:style w:type="paragraph" w:customStyle="1" w:styleId="SubHeading2">
    <w:name w:val="SubHeading2"/>
    <w:basedOn w:val="HeadingBase"/>
    <w:rsid w:val="006D2160"/>
    <w:pPr>
      <w:spacing w:before="240" w:after="60"/>
    </w:pPr>
    <w:rPr>
      <w:sz w:val="20"/>
    </w:rPr>
  </w:style>
  <w:style w:type="paragraph" w:customStyle="1" w:styleId="SubHeading1">
    <w:name w:val="SubHeading1"/>
    <w:basedOn w:val="HeadingBase"/>
    <w:rsid w:val="006D2160"/>
    <w:pPr>
      <w:spacing w:before="240" w:after="60"/>
    </w:pPr>
    <w:rPr>
      <w:color w:val="918585"/>
      <w:sz w:val="22"/>
    </w:rPr>
  </w:style>
  <w:style w:type="paragraph" w:customStyle="1" w:styleId="SideHeading">
    <w:name w:val="Side Heading"/>
    <w:basedOn w:val="HeadingBase"/>
    <w:rsid w:val="006D21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2160"/>
    <w:pPr>
      <w:numPr>
        <w:numId w:val="12"/>
      </w:numPr>
    </w:pPr>
  </w:style>
  <w:style w:type="paragraph" w:styleId="PlainText">
    <w:name w:val="Plain Text"/>
    <w:basedOn w:val="Normal"/>
    <w:link w:val="PlainTextChar"/>
    <w:rsid w:val="006D2160"/>
    <w:rPr>
      <w:sz w:val="20"/>
    </w:rPr>
  </w:style>
  <w:style w:type="character" w:customStyle="1" w:styleId="PlainTextChar">
    <w:name w:val="Plain Text Char"/>
    <w:basedOn w:val="DefaultParagraphFont"/>
    <w:link w:val="PlainText"/>
    <w:rsid w:val="006D2160"/>
    <w:rPr>
      <w:rFonts w:ascii="Courier New" w:eastAsia="Times New Roman" w:hAnsi="Courier New" w:cs="Times New Roman"/>
      <w:sz w:val="20"/>
      <w:szCs w:val="20"/>
      <w:lang w:eastAsia="en-US"/>
    </w:rPr>
  </w:style>
  <w:style w:type="character" w:customStyle="1" w:styleId="MenuOption">
    <w:name w:val="Menu Option"/>
    <w:basedOn w:val="DefaultParagraphFont"/>
    <w:rsid w:val="006D2160"/>
    <w:rPr>
      <w:b/>
      <w:smallCaps/>
    </w:rPr>
  </w:style>
  <w:style w:type="paragraph" w:customStyle="1" w:styleId="TableListNumber">
    <w:name w:val="Table List Number"/>
    <w:basedOn w:val="ListNumber"/>
    <w:rsid w:val="006D2160"/>
    <w:pPr>
      <w:numPr>
        <w:numId w:val="0"/>
      </w:numPr>
    </w:pPr>
  </w:style>
  <w:style w:type="paragraph" w:styleId="TOC4">
    <w:name w:val="toc 4"/>
    <w:basedOn w:val="TOCBase"/>
    <w:next w:val="Normal"/>
    <w:semiHidden/>
    <w:rsid w:val="006D2160"/>
    <w:pPr>
      <w:tabs>
        <w:tab w:val="right" w:leader="dot" w:pos="9071"/>
      </w:tabs>
      <w:ind w:left="1701"/>
    </w:pPr>
  </w:style>
  <w:style w:type="paragraph" w:customStyle="1" w:styleId="ListAlpha">
    <w:name w:val="List Alpha"/>
    <w:basedOn w:val="List"/>
    <w:rsid w:val="006D2160"/>
    <w:pPr>
      <w:numPr>
        <w:numId w:val="9"/>
      </w:numPr>
    </w:pPr>
  </w:style>
  <w:style w:type="paragraph" w:customStyle="1" w:styleId="ListAlpha2">
    <w:name w:val="List Alpha 2"/>
    <w:basedOn w:val="List2"/>
    <w:rsid w:val="006D2160"/>
    <w:pPr>
      <w:numPr>
        <w:numId w:val="8"/>
      </w:numPr>
    </w:pPr>
  </w:style>
  <w:style w:type="paragraph" w:styleId="List2">
    <w:name w:val="List 2"/>
    <w:basedOn w:val="BodyText"/>
    <w:rsid w:val="006D2160"/>
    <w:pPr>
      <w:tabs>
        <w:tab w:val="left" w:pos="680"/>
      </w:tabs>
      <w:spacing w:before="60" w:after="60"/>
      <w:ind w:left="680" w:hanging="340"/>
    </w:pPr>
  </w:style>
  <w:style w:type="paragraph" w:styleId="List3">
    <w:name w:val="List 3"/>
    <w:basedOn w:val="BodyText"/>
    <w:rsid w:val="006D2160"/>
    <w:pPr>
      <w:tabs>
        <w:tab w:val="left" w:pos="1021"/>
      </w:tabs>
      <w:spacing w:before="60" w:after="60"/>
      <w:ind w:left="1020" w:hanging="340"/>
    </w:pPr>
  </w:style>
  <w:style w:type="paragraph" w:styleId="List4">
    <w:name w:val="List 4"/>
    <w:basedOn w:val="BodyText"/>
    <w:rsid w:val="006D2160"/>
    <w:pPr>
      <w:tabs>
        <w:tab w:val="left" w:pos="1361"/>
      </w:tabs>
      <w:spacing w:before="60" w:after="60"/>
      <w:ind w:left="1361" w:hanging="340"/>
    </w:pPr>
  </w:style>
  <w:style w:type="paragraph" w:styleId="List5">
    <w:name w:val="List 5"/>
    <w:basedOn w:val="BodyText"/>
    <w:rsid w:val="006D2160"/>
    <w:pPr>
      <w:tabs>
        <w:tab w:val="left" w:pos="1701"/>
      </w:tabs>
      <w:spacing w:before="60" w:after="60"/>
      <w:ind w:left="1701" w:hanging="340"/>
    </w:pPr>
  </w:style>
  <w:style w:type="paragraph" w:styleId="ListBullet4">
    <w:name w:val="List Bullet 4"/>
    <w:basedOn w:val="List4"/>
    <w:rsid w:val="006D2160"/>
    <w:pPr>
      <w:numPr>
        <w:numId w:val="3"/>
      </w:numPr>
    </w:pPr>
  </w:style>
  <w:style w:type="paragraph" w:styleId="ListBullet5">
    <w:name w:val="List Bullet 5"/>
    <w:basedOn w:val="List5"/>
    <w:rsid w:val="006D2160"/>
    <w:pPr>
      <w:numPr>
        <w:numId w:val="4"/>
      </w:numPr>
    </w:pPr>
  </w:style>
  <w:style w:type="paragraph" w:styleId="ListContinue2">
    <w:name w:val="List Continue 2"/>
    <w:basedOn w:val="List2"/>
    <w:rsid w:val="006D2160"/>
    <w:pPr>
      <w:ind w:firstLine="0"/>
    </w:pPr>
  </w:style>
  <w:style w:type="paragraph" w:styleId="ListContinue3">
    <w:name w:val="List Continue 3"/>
    <w:basedOn w:val="List3"/>
    <w:rsid w:val="006D2160"/>
    <w:pPr>
      <w:ind w:left="1021" w:firstLine="0"/>
    </w:pPr>
  </w:style>
  <w:style w:type="paragraph" w:styleId="ListContinue4">
    <w:name w:val="List Continue 4"/>
    <w:basedOn w:val="List4"/>
    <w:rsid w:val="006D2160"/>
    <w:pPr>
      <w:ind w:firstLine="0"/>
    </w:pPr>
  </w:style>
  <w:style w:type="paragraph" w:styleId="ListContinue5">
    <w:name w:val="List Continue 5"/>
    <w:basedOn w:val="List5"/>
    <w:rsid w:val="006D2160"/>
    <w:pPr>
      <w:ind w:firstLine="0"/>
    </w:pPr>
  </w:style>
  <w:style w:type="paragraph" w:styleId="ListNumber3">
    <w:name w:val="List Number 3"/>
    <w:basedOn w:val="List3"/>
    <w:rsid w:val="006D2160"/>
    <w:pPr>
      <w:numPr>
        <w:numId w:val="5"/>
      </w:numPr>
    </w:pPr>
  </w:style>
  <w:style w:type="paragraph" w:styleId="ListNumber4">
    <w:name w:val="List Number 4"/>
    <w:basedOn w:val="List4"/>
    <w:rsid w:val="006D2160"/>
    <w:pPr>
      <w:numPr>
        <w:numId w:val="6"/>
      </w:numPr>
    </w:pPr>
  </w:style>
  <w:style w:type="paragraph" w:styleId="ListNumber5">
    <w:name w:val="List Number 5"/>
    <w:basedOn w:val="List5"/>
    <w:rsid w:val="006D2160"/>
    <w:pPr>
      <w:numPr>
        <w:numId w:val="7"/>
      </w:numPr>
    </w:pPr>
  </w:style>
  <w:style w:type="paragraph" w:styleId="BlockText">
    <w:name w:val="Block Text"/>
    <w:basedOn w:val="Normal"/>
    <w:rsid w:val="006D2160"/>
    <w:pPr>
      <w:spacing w:after="120"/>
      <w:ind w:left="1440" w:right="1440"/>
    </w:pPr>
  </w:style>
  <w:style w:type="character" w:customStyle="1" w:styleId="Subscript">
    <w:name w:val="Subscript"/>
    <w:basedOn w:val="DefaultParagraphFont"/>
    <w:rsid w:val="006D2160"/>
    <w:rPr>
      <w:sz w:val="16"/>
      <w:vertAlign w:val="subscript"/>
    </w:rPr>
  </w:style>
  <w:style w:type="character" w:customStyle="1" w:styleId="Superscript">
    <w:name w:val="Superscript"/>
    <w:basedOn w:val="DefaultParagraphFont"/>
    <w:rsid w:val="006D2160"/>
    <w:rPr>
      <w:sz w:val="16"/>
      <w:vertAlign w:val="superscript"/>
    </w:rPr>
  </w:style>
  <w:style w:type="character" w:customStyle="1" w:styleId="Symbols">
    <w:name w:val="Symbols"/>
    <w:basedOn w:val="DefaultParagraphFont"/>
    <w:rsid w:val="006D2160"/>
    <w:rPr>
      <w:rFonts w:ascii="Symbol" w:hAnsi="Symbol"/>
    </w:rPr>
  </w:style>
  <w:style w:type="character" w:customStyle="1" w:styleId="MenuOptions">
    <w:name w:val="Menu Options"/>
    <w:basedOn w:val="DefaultParagraphFont"/>
    <w:rsid w:val="006D2160"/>
    <w:rPr>
      <w:rFonts w:ascii="Arial Narrow" w:hAnsi="Arial Narrow"/>
      <w:smallCaps/>
    </w:rPr>
  </w:style>
  <w:style w:type="character" w:customStyle="1" w:styleId="Buttons">
    <w:name w:val="Buttons"/>
    <w:basedOn w:val="DefaultParagraphFont"/>
    <w:rsid w:val="006D2160"/>
    <w:rPr>
      <w:b/>
    </w:rPr>
  </w:style>
  <w:style w:type="character" w:customStyle="1" w:styleId="Underlined">
    <w:name w:val="Underlined"/>
    <w:basedOn w:val="DefaultParagraphFont"/>
    <w:rsid w:val="006D2160"/>
    <w:rPr>
      <w:u w:val="single"/>
    </w:rPr>
  </w:style>
  <w:style w:type="paragraph" w:customStyle="1" w:styleId="TableBodyTextRight">
    <w:name w:val="Table Body Text Right"/>
    <w:basedOn w:val="TableBodyText"/>
    <w:rsid w:val="006D2160"/>
    <w:pPr>
      <w:widowControl w:val="0"/>
      <w:autoSpaceDE w:val="0"/>
      <w:autoSpaceDN w:val="0"/>
      <w:adjustRightInd w:val="0"/>
      <w:jc w:val="right"/>
    </w:pPr>
    <w:rPr>
      <w:rFonts w:cs="Arial"/>
      <w:szCs w:val="18"/>
    </w:rPr>
  </w:style>
  <w:style w:type="paragraph" w:customStyle="1" w:styleId="CopyrightText">
    <w:name w:val="Copyright Text"/>
    <w:basedOn w:val="BodyText"/>
    <w:rsid w:val="006D2160"/>
    <w:rPr>
      <w:sz w:val="18"/>
    </w:rPr>
  </w:style>
  <w:style w:type="paragraph" w:customStyle="1" w:styleId="BodySmallRight">
    <w:name w:val="Body Small Right"/>
    <w:basedOn w:val="BodyTextRight"/>
    <w:rsid w:val="006D2160"/>
    <w:rPr>
      <w:sz w:val="18"/>
      <w:szCs w:val="18"/>
    </w:rPr>
  </w:style>
  <w:style w:type="paragraph" w:customStyle="1" w:styleId="MarginEdition">
    <w:name w:val="Margin Edition"/>
    <w:basedOn w:val="MarginNote"/>
    <w:rsid w:val="006D2160"/>
    <w:pPr>
      <w:spacing w:before="0" w:after="0"/>
    </w:pPr>
    <w:rPr>
      <w:rFonts w:ascii="Times New Roman" w:hAnsi="Times New Roman"/>
      <w:color w:val="999999"/>
    </w:rPr>
  </w:style>
  <w:style w:type="paragraph" w:customStyle="1" w:styleId="Spacer">
    <w:name w:val="Spacer"/>
    <w:basedOn w:val="Normal"/>
    <w:rsid w:val="006D2160"/>
    <w:rPr>
      <w:sz w:val="2"/>
      <w:szCs w:val="2"/>
    </w:rPr>
  </w:style>
  <w:style w:type="character" w:customStyle="1" w:styleId="Small">
    <w:name w:val="Small"/>
    <w:basedOn w:val="DefaultParagraphFont"/>
    <w:rsid w:val="006D2160"/>
    <w:rPr>
      <w:sz w:val="16"/>
    </w:rPr>
  </w:style>
  <w:style w:type="paragraph" w:customStyle="1" w:styleId="WideTable">
    <w:name w:val="Wide Table"/>
    <w:basedOn w:val="Normal"/>
    <w:rsid w:val="006D2160"/>
    <w:pPr>
      <w:ind w:left="-1418"/>
    </w:pPr>
    <w:rPr>
      <w:sz w:val="2"/>
      <w:szCs w:val="2"/>
    </w:rPr>
  </w:style>
  <w:style w:type="character" w:styleId="PageNumber">
    <w:name w:val="page number"/>
    <w:basedOn w:val="DefaultParagraphFont"/>
    <w:rsid w:val="006D2160"/>
  </w:style>
  <w:style w:type="paragraph" w:styleId="Quote">
    <w:name w:val="Quote"/>
    <w:basedOn w:val="Heading1"/>
    <w:link w:val="QuoteChar"/>
    <w:qFormat/>
    <w:rsid w:val="006D2160"/>
    <w:rPr>
      <w:b w:val="0"/>
      <w:sz w:val="72"/>
      <w:szCs w:val="72"/>
      <w:lang w:val="en-NZ"/>
    </w:rPr>
  </w:style>
  <w:style w:type="character" w:customStyle="1" w:styleId="QuoteChar">
    <w:name w:val="Quote Char"/>
    <w:basedOn w:val="DefaultParagraphFont"/>
    <w:link w:val="Quote"/>
    <w:rsid w:val="006D21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2160"/>
    <w:pPr>
      <w:pageBreakBefore/>
    </w:pPr>
  </w:style>
  <w:style w:type="paragraph" w:customStyle="1" w:styleId="Border">
    <w:name w:val="Border"/>
    <w:basedOn w:val="Normal"/>
    <w:qFormat/>
    <w:rsid w:val="006D21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2160"/>
    <w:rPr>
      <w:b/>
      <w:bCs/>
      <w:i/>
      <w:iCs/>
      <w:color w:val="auto"/>
    </w:rPr>
  </w:style>
  <w:style w:type="paragraph" w:styleId="IntenseQuote">
    <w:name w:val="Intense Quote"/>
    <w:basedOn w:val="Normal"/>
    <w:next w:val="Normal"/>
    <w:link w:val="IntenseQuoteChar"/>
    <w:uiPriority w:val="30"/>
    <w:qFormat/>
    <w:rsid w:val="006D21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21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2160"/>
    <w:rPr>
      <w:smallCaps/>
      <w:color w:val="auto"/>
      <w:u w:val="single"/>
    </w:rPr>
  </w:style>
  <w:style w:type="character" w:styleId="IntenseReference">
    <w:name w:val="Intense Reference"/>
    <w:basedOn w:val="DefaultParagraphFont"/>
    <w:uiPriority w:val="32"/>
    <w:qFormat/>
    <w:rsid w:val="006D2160"/>
    <w:rPr>
      <w:b/>
      <w:bCs/>
      <w:smallCaps/>
      <w:color w:val="auto"/>
      <w:spacing w:val="5"/>
      <w:u w:val="single"/>
    </w:rPr>
  </w:style>
  <w:style w:type="paragraph" w:customStyle="1" w:styleId="2ColumnHeading">
    <w:name w:val="2Column Heading"/>
    <w:basedOn w:val="BodyText"/>
    <w:qFormat/>
    <w:rsid w:val="006D2160"/>
    <w:pPr>
      <w:spacing w:after="60"/>
      <w:ind w:left="-2268"/>
    </w:pPr>
    <w:rPr>
      <w:b/>
    </w:rPr>
  </w:style>
  <w:style w:type="paragraph" w:customStyle="1" w:styleId="Heading1TOC">
    <w:name w:val="Heading1 TOC"/>
    <w:basedOn w:val="Normal"/>
    <w:qFormat/>
    <w:rsid w:val="006D2160"/>
    <w:pPr>
      <w:spacing w:before="240" w:after="120"/>
    </w:pPr>
    <w:rPr>
      <w:rFonts w:ascii="Times New Roman" w:hAnsi="Times New Roman"/>
      <w:b/>
      <w:sz w:val="32"/>
    </w:rPr>
  </w:style>
  <w:style w:type="paragraph" w:customStyle="1" w:styleId="Heading2TOC">
    <w:name w:val="Heading2 TOC"/>
    <w:basedOn w:val="Normal"/>
    <w:qFormat/>
    <w:rsid w:val="006D2160"/>
    <w:pPr>
      <w:spacing w:before="240" w:after="60"/>
    </w:pPr>
    <w:rPr>
      <w:rFonts w:ascii="Times New Roman" w:hAnsi="Times New Roman"/>
      <w:b/>
      <w:sz w:val="28"/>
    </w:rPr>
  </w:style>
  <w:style w:type="paragraph" w:styleId="BalloonText">
    <w:name w:val="Balloon Text"/>
    <w:basedOn w:val="Normal"/>
    <w:link w:val="BalloonTextChar"/>
    <w:rsid w:val="006D2160"/>
    <w:rPr>
      <w:rFonts w:ascii="Tahoma" w:hAnsi="Tahoma" w:cs="Tahoma"/>
      <w:sz w:val="16"/>
      <w:szCs w:val="16"/>
    </w:rPr>
  </w:style>
  <w:style w:type="character" w:customStyle="1" w:styleId="BalloonTextChar">
    <w:name w:val="Balloon Text Char"/>
    <w:basedOn w:val="DefaultParagraphFont"/>
    <w:link w:val="BalloonText"/>
    <w:rsid w:val="006D21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216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D21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2160"/>
    <w:rPr>
      <w:b/>
      <w:color w:val="660033"/>
      <w:spacing w:val="0"/>
    </w:rPr>
  </w:style>
  <w:style w:type="paragraph" w:customStyle="1" w:styleId="Nameditemlist">
    <w:name w:val="Named item list"/>
    <w:basedOn w:val="BodyText"/>
    <w:qFormat/>
    <w:rsid w:val="006D216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1150</Words>
  <Characters>7144</Characters>
  <Application>Microsoft Office Word</Application>
  <DocSecurity>0</DocSecurity>
  <Lines>240</Lines>
  <Paragraphs>152</Paragraphs>
  <ScaleCrop>false</ScaleCrop>
  <Company>Author-it Software Corporation Ltd.</Company>
  <LinksUpToDate>false</LinksUpToDate>
  <CharactersWithSpaces>8237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PSPREG416A Conduct data analysis</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2012-11-01T18:44:00Z</dcterms:created>
  <dcterms:modified xsi:type="dcterms:W3CDTF">2012-11-01T18:44:00Z</dcterms:modified>
</cp:coreProperties>
</file>